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TEAM AGREEMENT GUIDELINES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Version 1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Cameron Gartner 09682091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Dimitrios Karanasios 09389491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Mitchell Dame 09474218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Jon Meyer 09491546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Chee Ho Chan 09359478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for: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Tutor Name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7/26/2016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Sign-off and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41.0" w:type="dxa"/>
        <w:jc w:val="left"/>
        <w:tblInd w:w="-115.0" w:type="dxa"/>
        <w:tblBorders>
          <w:top w:color="c0c0c0" w:space="0" w:sz="18" w:val="single"/>
          <w:left w:color="c0c0c0" w:space="0" w:sz="18" w:val="single"/>
          <w:bottom w:color="c0c0c0" w:space="0" w:sz="18" w:val="single"/>
          <w:right w:color="c0c0c0" w:space="0" w:sz="18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3510"/>
        <w:gridCol w:w="3828"/>
        <w:gridCol w:w="2403"/>
        <w:tblGridChange w:id="0">
          <w:tblGrid>
            <w:gridCol w:w="3510"/>
            <w:gridCol w:w="3828"/>
            <w:gridCol w:w="2403"/>
          </w:tblGrid>
        </w:tblGridChange>
      </w:tblGrid>
      <w:tr>
        <w:trPr>
          <w:trHeight w:val="280" w:hRule="atLeast"/>
        </w:trPr>
        <w:tc>
          <w:tcPr>
            <w:gridSpan w:val="3"/>
            <w:shd w:fill="f3f3f3"/>
          </w:tcPr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Team Agreement Sign-Off:  </w:t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The undersigned members of this team agree to abide by this team agreement to ensure the successful completion of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Meditation Centre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 project to meet the client’s requirements and timeframes.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Person’s name &amp; 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after="120" w:before="120" w:line="240" w:lineRule="auto"/>
              <w:ind w:left="720" w:hanging="36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Cameron Gartner n9682091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C.G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29/7/2016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after="120" w:before="120" w:line="240" w:lineRule="auto"/>
              <w:ind w:left="720" w:hanging="36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Chee Ho Chan</w:t>
              <w:br w:type="textWrapping"/>
              <w:t xml:space="preserve">n9359478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G.C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29/7/2016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after="120" w:before="120" w:line="240" w:lineRule="auto"/>
              <w:ind w:left="720" w:hanging="36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Jon Meyer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n9491546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J.M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29/7/2016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after="120" w:before="120" w:line="240" w:lineRule="auto"/>
              <w:ind w:left="720" w:hanging="36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Dimitrios Karansios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n9389491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D.K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29/7/2016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after="120" w:before="120" w:line="240" w:lineRule="auto"/>
              <w:ind w:left="720" w:hanging="36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Mitchell Dame</w:t>
              <w:br w:type="textWrapping"/>
              <w:t xml:space="preserve">n9474218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M.D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29/7/2016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spacing w:after="120" w:before="120" w:line="240" w:lineRule="auto"/>
              <w:ind w:left="720" w:hanging="360"/>
              <w:jc w:val="center"/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Tutor Approval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contextualSpacing w:val="0"/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Sign-off and Approvals</w:t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1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Introduction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Team Agreement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2.1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Team Principles and Processes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2.2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Non-Compliance</w:t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2.3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Dispute Resolution &amp; Conflict Management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3.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Conclusion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contextualSpacing w:val="0"/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References</w:t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contextualSpacing w:val="0"/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Appendix – Team Agreement Guidelines</w:t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627"/>
        </w:tabs>
        <w:spacing w:after="0" w:before="0" w:line="240" w:lineRule="auto"/>
        <w:ind w:left="220" w:firstLine="0"/>
        <w:contextualSpacing w:val="0"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Possible Topics for Agreement Principles</w:t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627"/>
        </w:tabs>
        <w:spacing w:after="0" w:before="0" w:line="240" w:lineRule="auto"/>
        <w:ind w:left="220" w:firstLine="0"/>
        <w:contextualSpacing w:val="0"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Communication and Operational Process Topics</w:t>
        </w:r>
      </w:hyperlink>
      <w:hyperlink w:anchor="_3rdcrjn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627"/>
        </w:tabs>
        <w:spacing w:after="0" w:before="0" w:line="240" w:lineRule="auto"/>
        <w:ind w:left="220" w:firstLine="0"/>
        <w:contextualSpacing w:val="0"/>
      </w:pPr>
      <w:hyperlink w:anchor="_26in1rg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Defining Major and Minor Non-Compliance</w:t>
        </w:r>
      </w:hyperlink>
      <w:hyperlink w:anchor="_26in1rg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right" w:pos="9627"/>
        </w:tabs>
        <w:spacing w:after="0" w:before="0" w:line="240" w:lineRule="auto"/>
        <w:ind w:left="220" w:firstLine="0"/>
        <w:contextualSpacing w:val="0"/>
      </w:pPr>
      <w:hyperlink w:anchor="_lnxbz9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Penalties for Major and Minor Non-Compliance</w:t>
        </w:r>
      </w:hyperlink>
      <w:hyperlink w:anchor="_lnxbz9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120" w:line="240" w:lineRule="auto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The purpose of this document is to discuss and agree on the operating norms (principles and communication processes) for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Instinct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who are a team of students in IFB299 Application Design and Development.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The aim of the team agreement is to describe the principles underpinning effective teamwork and how they will be applied by this team during the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Meditation Centre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project.  In this way the agreement provides a communication tool and contract between team members and their tutor regarding their obligations, responsibilities and activities to ensure successful processes, product, and outcome.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This document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High level principles contributing to an effective team;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Agreed communication and operational processes to action the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Definitions of minor and major non-compliance and examples of instances that may constitute a breach of the agreement’s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Dispute resolution and conflict management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Team Agreement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All team members must have participated in the formulation of this Team Agreement and are committed to abide by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Team Principles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Principles of behaviour: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Don’t be a leech and do what is assigned to you, if unable to make sure everyone in the group knows.  Principle: to allow for all work to be completed on time.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Respect Everyone's opinions. Principle: to allow everyone to have their own voice within the project.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Communication processes: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Google Drive, Teamspeak, Facebook and Skype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Operation Processes: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Meeting minutes filled out weekly, doing your work outside of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5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3"/>
        <w:tblGridChange w:id="0">
          <w:tblGrid>
            <w:gridCol w:w="9853"/>
          </w:tblGrid>
        </w:tblGridChange>
      </w:tblGrid>
      <w:tr>
        <w:trPr>
          <w:trHeight w:val="33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Principle (What): Show respect for one another.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Rationale (Why): A healthy professional atmosphere will facilitate positive team outcomes.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Operational Processes (How)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listen to each others ideas,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avoid abusive language,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try not to dominate the other team members,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give equal speaking time to all members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Non-Compliance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Record your team’s agreed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definitions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 of minor non-compliance (not meeting or breaching agreed team agreement conditions and team commitments in a way that may adversely affect the project) here.  Illustrate your definitions by providing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relevant examples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Record your team’s agreed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definitions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 of major non-compliance (not</w:t>
      </w: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meeting or breaching agreed team agreement conditions and team commitments in a way that has a major negative impact upon the team’s success) here.  Illustrate your definitions by providing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relevant examples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Major Non-Compliance include: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sz w:val="20"/>
          <w:szCs w:val="20"/>
          <w:rtl w:val="0"/>
        </w:rPr>
        <w:t xml:space="preserve">Leaving the course/not showing up to any classes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sz w:val="20"/>
          <w:szCs w:val="20"/>
          <w:rtl w:val="0"/>
        </w:rPr>
        <w:t xml:space="preserve">Not contributing to meetings/work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Minor Non-Compliance include: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sz w:val="20"/>
          <w:szCs w:val="20"/>
          <w:rtl w:val="0"/>
        </w:rPr>
        <w:t xml:space="preserve">Not attending workshops or agreed meetings outside of class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sz w:val="20"/>
          <w:szCs w:val="20"/>
          <w:rtl w:val="0"/>
        </w:rPr>
        <w:t xml:space="preserve">sickness/injury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Dispute Resolution &amp; Conflict Management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Minor or major non-compliance with this Agreement is likely to manifest as disputes or conflicts between team members.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State how your team has agreed to deal with or manage minor breaches of this Agreement.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Have a Chat with the member and find out what is happening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State how your team has agreed to deal with or manage major breaches of this Agreement. 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Contact Tutor about the student after finding out what is happening and receives 0% if there is no excuse.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</w:t>
        <w:tab/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This document has articulated the high level and operational processes agreed to by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Instinct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. 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This team agreement will apply for the duration of the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Meditation Centre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. 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To meet the objectives of the project and demonstrate their abilities as IT professionals, team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Instinct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will implement the principles, processes and management activities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4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Provide any references you have used to construct this proposal.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right" w:pos="9540"/>
      </w:tabs>
      <w:spacing w:after="720" w:before="0" w:line="240" w:lineRule="auto"/>
      <w:ind w:right="360"/>
      <w:contextualSpacing w:val="0"/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Team Agreement and Guide</w:t>
      <w:tab/>
      <w:t xml:space="preserve">                    </w:t>
      <w:tab/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"/>
      <w:lvlJc w:val="left"/>
      <w:pPr>
        <w:ind w:left="1008" w:firstLine="0"/>
      </w:pPr>
      <w:rPr/>
    </w:lvl>
    <w:lvl w:ilvl="1">
      <w:start w:val="1"/>
      <w:numFmt w:val="decimal"/>
      <w:lvlText w:val="%1.%2"/>
      <w:lvlJc w:val="left"/>
      <w:pPr>
        <w:ind w:left="5796" w:firstLine="4788"/>
      </w:pPr>
      <w:rPr>
        <w:b w:val="1"/>
        <w:i w:val="0"/>
      </w:rPr>
    </w:lvl>
    <w:lvl w:ilvl="2">
      <w:start w:val="1"/>
      <w:numFmt w:val="decimal"/>
      <w:lvlText w:val="%1.%2.%3"/>
      <w:lvlJc w:val="left"/>
      <w:pPr>
        <w:ind w:left="1008" w:firstLine="0"/>
      </w:pPr>
      <w:rPr/>
    </w:lvl>
    <w:lvl w:ilvl="3">
      <w:start w:val="1"/>
      <w:numFmt w:val="decimal"/>
      <w:lvlText w:val="%1.%2.%3.%4"/>
      <w:lvlJc w:val="left"/>
      <w:pPr>
        <w:ind w:left="504" w:hanging="144"/>
      </w:pPr>
      <w:rPr/>
    </w:lvl>
    <w:lvl w:ilvl="4">
      <w:start w:val="1"/>
      <w:numFmt w:val="decimal"/>
      <w:lvlText w:val="%1.%2.%3.%4.%5."/>
      <w:lvlJc w:val="left"/>
      <w:pPr>
        <w:ind w:left="1008" w:firstLine="215.99999999999994"/>
      </w:pPr>
      <w:rPr/>
    </w:lvl>
    <w:lvl w:ilvl="5">
      <w:start w:val="1"/>
      <w:numFmt w:val="decimal"/>
      <w:lvlText w:val="%1.%2.%3.%4.%5.%6."/>
      <w:lvlJc w:val="left"/>
      <w:pPr>
        <w:ind w:left="1512" w:firstLine="576"/>
      </w:pPr>
      <w:rPr/>
    </w:lvl>
    <w:lvl w:ilvl="6">
      <w:start w:val="1"/>
      <w:numFmt w:val="decimal"/>
      <w:lvlText w:val="%1.%2.%3.%4.%5.%6.%7."/>
      <w:lvlJc w:val="left"/>
      <w:pPr>
        <w:ind w:left="2016" w:firstLine="936"/>
      </w:pPr>
      <w:rPr/>
    </w:lvl>
    <w:lvl w:ilvl="7">
      <w:start w:val="1"/>
      <w:numFmt w:val="decimal"/>
      <w:lvlText w:val="%1.%2.%3.%4.%5.%6.%7.%8."/>
      <w:lvlJc w:val="left"/>
      <w:pPr>
        <w:ind w:left="2520" w:firstLine="1296"/>
      </w:pPr>
      <w:rPr/>
    </w:lvl>
    <w:lvl w:ilvl="8">
      <w:start w:val="1"/>
      <w:numFmt w:val="decimal"/>
      <w:lvlText w:val="%1.%2.%3.%4.%5.%6.%7.%8.%9."/>
      <w:lvlJc w:val="left"/>
      <w:pPr>
        <w:ind w:left="3096" w:firstLine="1656.0000000000002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ind w:left="1008" w:hanging="1008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tabs>
        <w:tab w:val="left" w:pos="0"/>
      </w:tabs>
      <w:spacing w:after="60" w:before="240" w:line="240" w:lineRule="auto"/>
      <w:ind w:left="1009" w:hanging="1009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1008" w:hanging="1008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ind w:left="504" w:hanging="648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299977993" TargetMode="External"/><Relationship Id="rId6" Type="http://schemas.openxmlformats.org/officeDocument/2006/relationships/hyperlink" Target="http://#_Toc299977993" TargetMode="External"/><Relationship Id="rId7" Type="http://schemas.openxmlformats.org/officeDocument/2006/relationships/footer" Target="footer1.xml"/></Relationships>
</file>