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00"/>
        <w:jc w:val="center"/>
      </w:pPr>
      <w:r>
        <w:rPr>
          <w:rFonts w:ascii="Arial" w:cs="Arial" w:eastAsia="Arial" w:hAnsi="Arial"/>
          <w:b/>
          <w:bCs/>
          <w:color w:val="1F3864"/>
          <w:sz w:val="36"/>
          <w:szCs w:val="36"/>
        </w:rPr>
        <w:t xml:space="preserve">UrbanHub — Plateforme de Surveillance de la Seine</w:t>
      </w:r>
    </w:p>
    <w:p>
      <w:pPr>
        <w:spacing w:after="200"/>
        <w:jc w:val="center"/>
      </w:pPr>
      <w:r>
        <w:rPr>
          <w:rFonts w:ascii="Arial" w:cs="Arial" w:eastAsia="Arial" w:hAnsi="Arial"/>
          <w:color w:val="2E5797"/>
          <w:sz w:val="28"/>
          <w:szCs w:val="28"/>
        </w:rPr>
        <w:t xml:space="preserve">Atelier 3 — Adapter XP à la Smart City distribuée</w:t>
      </w:r>
    </w:p>
    <w:p>
      <w:pPr>
        <w:pBdr>
          <w:bottom w:val="single" w:color="2E5797" w:sz="4" w:space="1"/>
        </w:pBdr>
        <w:spacing w:after="200"/>
      </w:pPr>
    </w:p>
    <w:p>
      <w:pPr>
        <w:spacing w:after="80"/>
        <w:jc w:val="center"/>
      </w:pPr>
      <w:r>
        <w:rPr>
          <w:rFonts w:ascii="Arial" w:cs="Arial" w:eastAsia="Arial" w:hAnsi="Arial"/>
          <w:b/>
          <w:bCs/>
          <w:color w:val="1D6B3A"/>
          <w:sz w:val="32"/>
          <w:szCs w:val="32"/>
        </w:rPr>
        <w:t xml:space="preserve">LIVRABLE 1 — CONTRAT &amp; SCÉNARIOS</w:t>
      </w:r>
    </w:p>
    <w:p>
      <w:pPr>
        <w:spacing w:after="400"/>
        <w:jc w:val="center"/>
      </w:pPr>
      <w:r>
        <w:rPr>
          <w:rFonts w:ascii="Arial" w:cs="Arial" w:eastAsia="Arial" w:hAnsi="Arial"/>
          <w:color w:val="444444"/>
          <w:sz w:val="22"/>
          <w:szCs w:val="22"/>
        </w:rPr>
        <w:t xml:space="preserve">Définition API / Events · Tests d'acceptation</w:t>
      </w:r>
    </w:p>
    <w:p>
      <w:pPr>
        <w:spacing w:after="160"/>
      </w:pP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5797" w:sz="1"/>
              <w:left w:val="single" w:color="2E5797" w:sz="1"/>
              <w:bottom w:val="single" w:color="2E5797" w:sz="1"/>
              <w:right w:val="single" w:color="2E5797" w:sz="1"/>
            </w:tcBorders>
            <w:shd w:fill="D6E8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Projet</w:t>
            </w:r>
          </w:p>
        </w:tc>
        <w:tc>
          <w:tcPr>
            <w:tcW w:type="dxa" w:w="6626"/>
            <w:tcBorders>
              <w:top w:val="single" w:color="2E5797" w:sz="1"/>
              <w:left w:val="single" w:color="2E5797" w:sz="1"/>
              <w:bottom w:val="single" w:color="2E5797" w:sz="1"/>
              <w:right w:val="single" w:color="2E5797"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UrbanHub — Surveillance de la Seine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Module</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 — Génie logiciel · Niveau Master</w:t>
            </w:r>
          </w:p>
        </w:tc>
      </w:tr>
      <w:tr>
        <w:tc>
          <w:tcPr>
            <w:tcW w:type="dxa" w:w="2400"/>
            <w:tcBorders>
              <w:top w:val="single" w:color="2E5797" w:sz="1"/>
              <w:left w:val="single" w:color="2E5797" w:sz="1"/>
              <w:bottom w:val="single" w:color="2E5797" w:sz="1"/>
              <w:right w:val="single" w:color="2E5797" w:sz="1"/>
            </w:tcBorders>
            <w:shd w:fill="D6E8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Atelier</w:t>
            </w:r>
          </w:p>
        </w:tc>
        <w:tc>
          <w:tcPr>
            <w:tcW w:type="dxa" w:w="6626"/>
            <w:tcBorders>
              <w:top w:val="single" w:color="2E5797" w:sz="1"/>
              <w:left w:val="single" w:color="2E5797" w:sz="1"/>
              <w:bottom w:val="single" w:color="2E5797" w:sz="1"/>
              <w:right w:val="single" w:color="2E5797"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Atelier 3 — Architecture distribuée &amp; XP</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Interaction cartographiée</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Capteur IoT → Qualité eau → Alertes → Notification citoyen</w:t>
            </w:r>
          </w:p>
        </w:tc>
      </w:tr>
      <w:tr>
        <w:tc>
          <w:tcPr>
            <w:tcW w:type="dxa" w:w="2400"/>
            <w:tcBorders>
              <w:top w:val="single" w:color="2E5797" w:sz="1"/>
              <w:left w:val="single" w:color="2E5797" w:sz="1"/>
              <w:bottom w:val="single" w:color="2E5797" w:sz="1"/>
              <w:right w:val="single" w:color="2E5797" w:sz="1"/>
            </w:tcBorders>
            <w:shd w:fill="D6E8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Type</w:t>
            </w:r>
          </w:p>
        </w:tc>
        <w:tc>
          <w:tcPr>
            <w:tcW w:type="dxa" w:w="6626"/>
            <w:tcBorders>
              <w:top w:val="single" w:color="2E5797" w:sz="1"/>
              <w:left w:val="single" w:color="2E5797" w:sz="1"/>
              <w:bottom w:val="single" w:color="2E5797" w:sz="1"/>
              <w:right w:val="single" w:color="2E5797"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Hybride : Event asynchrone + API REST synchrone</w:t>
            </w:r>
          </w:p>
        </w:tc>
      </w:tr>
    </w:tbl>
    <w:p>
      <w:pPr>
        <w:spacing w:after="160"/>
      </w:pPr>
    </w:p>
    <w:p>
      <w:pPr>
        <w:spacing w:after="160"/>
      </w:pPr>
    </w:p>
    <w:p>
      <w:pPr>
        <w:pStyle w:val="Heading1"/>
      </w:pPr>
      <w:r>
        <w:rPr>
          <w:rFonts w:ascii="Arial" w:cs="Arial" w:eastAsia="Arial" w:hAnsi="Arial"/>
          <w:b/>
          <w:bCs/>
          <w:color w:val="1F3864"/>
          <w:sz w:val="32"/>
          <w:szCs w:val="32"/>
        </w:rPr>
        <w:t xml:space="preserve">1. Cartographie de l'interaction critique</w:t>
      </w:r>
    </w:p>
    <w:p>
      <w:pPr>
        <w:spacing w:after="100"/>
      </w:pPr>
      <w:r>
        <w:rPr>
          <w:rFonts w:ascii="Arial" w:cs="Arial" w:eastAsia="Arial" w:hAnsi="Arial"/>
          <w:b w:val="false"/>
          <w:bCs w:val="false"/>
          <w:color w:val="000000"/>
          <w:sz w:val="20"/>
          <w:szCs w:val="20"/>
        </w:rPr>
        <w:t xml:space="preserve">L'interaction critique retenue est le flux de détection et notification en cas de pollution fluviale. Ce flux implique quatre services indépendants communicant via un broker de messages (asynchrone) et une API REST (synchrone).</w:t>
      </w:r>
    </w:p>
    <w:p>
      <w:pPr>
        <w:spacing w:after="160"/>
      </w:pPr>
    </w:p>
    <w:p>
      <w:pPr>
        <w:pStyle w:val="Heading2"/>
      </w:pPr>
      <w:r>
        <w:rPr>
          <w:rFonts w:ascii="Arial" w:cs="Arial" w:eastAsia="Arial" w:hAnsi="Arial"/>
          <w:b/>
          <w:bCs/>
          <w:color w:val="2E5797"/>
          <w:sz w:val="26"/>
          <w:szCs w:val="26"/>
        </w:rPr>
        <w:t xml:space="preserve">1.1 Flux bout en 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800"/>
        <w:gridCol w:w="2000"/>
        <w:gridCol w:w="3026"/>
      </w:tblGrid>
      <w:tr>
        <w:tc>
          <w:tcPr>
            <w:tcW w:type="dxa" w:w="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Émetteur</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Récepteur</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Canal</w:t>
            </w:r>
          </w:p>
        </w:tc>
        <w:tc>
          <w:tcPr>
            <w:tcW w:type="dxa" w:w="30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Payload / Action</w:t>
            </w:r>
          </w:p>
        </w:tc>
      </w:tr>
      <w:tr>
        <w:tc>
          <w:tcPr>
            <w:tcW w:type="dxa" w:w="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Capteur IoT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Broker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Event async (Kafka)</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Publie mesure.qualite.eau avec UUID</w:t>
            </w:r>
          </w:p>
        </w:tc>
      </w:tr>
      <w:tr>
        <w:tc>
          <w:tcPr>
            <w:tcW w:type="dxa" w:w="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Broker</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 Qualité Eau</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Consommation async</w:t>
            </w:r>
          </w:p>
        </w:tc>
        <w:tc>
          <w:tcPr>
            <w:tcW w:type="dxa" w:w="30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Dépile et analyse la mesure</w:t>
            </w:r>
          </w:p>
        </w:tc>
      </w:tr>
      <w:tr>
        <w:tc>
          <w:tcPr>
            <w:tcW w:type="dxa" w:w="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 Qualité Eau</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 Alertes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 /alertes (REST sync)</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Appel API si seuil dépassé (pH &lt; 6.5 ou turbidité &gt; 100 NTU)</w:t>
            </w:r>
          </w:p>
        </w:tc>
      </w:tr>
      <w:tr>
        <w:tc>
          <w:tcPr>
            <w:tcW w:type="dxa" w:w="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 Alertes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Broker</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Event async</w:t>
            </w:r>
          </w:p>
        </w:tc>
        <w:tc>
          <w:tcPr>
            <w:tcW w:type="dxa" w:w="30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Publie alerte.pollution.detectee</w:t>
            </w:r>
          </w:p>
        </w:tc>
      </w:tr>
      <w:tr>
        <w:tc>
          <w:tcPr>
            <w:tcW w:type="dxa" w:w="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Broker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 Notifications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Consommation async</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Push citoyen (push · email · SMS) en &lt; 2 min total</w:t>
            </w:r>
          </w:p>
        </w:tc>
      </w:tr>
    </w:tbl>
    <w:p>
      <w:pPr>
        <w:spacing w:after="160"/>
      </w:pPr>
    </w:p>
    <w:p>
      <w:pPr>
        <w:pStyle w:val="Heading2"/>
      </w:pPr>
      <w:r>
        <w:rPr>
          <w:rFonts w:ascii="Arial" w:cs="Arial" w:eastAsia="Arial" w:hAnsi="Arial"/>
          <w:b/>
          <w:bCs/>
          <w:color w:val="2E5797"/>
          <w:sz w:val="26"/>
          <w:szCs w:val="26"/>
        </w:rPr>
        <w:t xml:space="preserve">1.2 Contraintes de qualité de service</w:t>
      </w:r>
    </w:p>
    <w:p>
      <w:pPr>
        <w:pStyle w:val="ListParagraph"/>
        <w:numPr>
          <w:ilvl w:val="0"/>
          <w:numId w:val="2"/>
        </w:numPr>
        <w:spacing w:after="80"/>
      </w:pPr>
      <w:r>
        <w:rPr>
          <w:rFonts w:ascii="Arial" w:cs="Arial" w:eastAsia="Arial" w:hAnsi="Arial"/>
          <w:sz w:val="20"/>
          <w:szCs w:val="20"/>
        </w:rPr>
        <w:t xml:space="preserve">Latence bout en bout : &lt; 2 minutes (NFR01)</w:t>
      </w:r>
    </w:p>
    <w:p>
      <w:pPr>
        <w:pStyle w:val="ListParagraph"/>
        <w:numPr>
          <w:ilvl w:val="0"/>
          <w:numId w:val="2"/>
        </w:numPr>
        <w:spacing w:after="80"/>
      </w:pPr>
      <w:r>
        <w:rPr>
          <w:rFonts w:ascii="Arial" w:cs="Arial" w:eastAsia="Arial" w:hAnsi="Arial"/>
          <w:sz w:val="20"/>
          <w:szCs w:val="20"/>
        </w:rPr>
        <w:t xml:space="preserve">Disponibilité : 99.5 % hors maintenance planifiée</w:t>
      </w:r>
    </w:p>
    <w:p>
      <w:pPr>
        <w:pStyle w:val="ListParagraph"/>
        <w:numPr>
          <w:ilvl w:val="0"/>
          <w:numId w:val="2"/>
        </w:numPr>
        <w:spacing w:after="80"/>
      </w:pPr>
      <w:r>
        <w:rPr>
          <w:rFonts w:ascii="Arial" w:cs="Arial" w:eastAsia="Arial" w:hAnsi="Arial"/>
          <w:sz w:val="20"/>
          <w:szCs w:val="20"/>
        </w:rPr>
        <w:t xml:space="preserve">Traçabilité : trace_id propagé sur tout le flux</w:t>
      </w:r>
    </w:p>
    <w:p>
      <w:pPr>
        <w:pStyle w:val="ListParagraph"/>
        <w:numPr>
          <w:ilvl w:val="0"/>
          <w:numId w:val="2"/>
        </w:numPr>
        <w:spacing w:after="80"/>
      </w:pPr>
      <w:r>
        <w:rPr>
          <w:rFonts w:ascii="Arial" w:cs="Arial" w:eastAsia="Arial" w:hAnsi="Arial"/>
          <w:sz w:val="20"/>
          <w:szCs w:val="20"/>
        </w:rPr>
        <w:t xml:space="preserve">Sécurité : authentification mTLS entre services internes</w:t>
      </w:r>
    </w:p>
    <w:p>
      <w:pPr>
        <w:spacing w:after="160"/>
      </w:pPr>
    </w:p>
    <w:p>
      <w:pPr>
        <w:pBdr>
          <w:bottom w:val="single" w:color="2E5797" w:sz="4" w:space="1"/>
        </w:pBdr>
        <w:spacing w:after="200"/>
      </w:pPr>
    </w:p>
    <w:p>
      <w:pPr>
        <w:pStyle w:val="Heading1"/>
      </w:pPr>
      <w:r>
        <w:rPr>
          <w:rFonts w:ascii="Arial" w:cs="Arial" w:eastAsia="Arial" w:hAnsi="Arial"/>
          <w:b/>
          <w:bCs/>
          <w:color w:val="1F3864"/>
          <w:sz w:val="32"/>
          <w:szCs w:val="32"/>
        </w:rPr>
        <w:t xml:space="preserve">2. Contrat AsyncAPI — mesure.qualite.eau</w:t>
      </w:r>
    </w:p>
    <w:p>
      <w:pPr>
        <w:spacing w:after="100"/>
      </w:pPr>
      <w:r>
        <w:rPr>
          <w:rFonts w:ascii="Arial" w:cs="Arial" w:eastAsia="Arial" w:hAnsi="Arial"/>
          <w:b w:val="false"/>
          <w:bCs w:val="false"/>
          <w:color w:val="000000"/>
          <w:sz w:val="20"/>
          <w:szCs w:val="20"/>
        </w:rPr>
        <w:t xml:space="preserve">Le contrat suivant définit le schéma de l'événement publié par le capteur IoT sur le broker. Ce contrat est le fondement de l'interopérabilité entre le capteur et le service Qualité Eau.</w:t>
      </w:r>
    </w:p>
    <w:p>
      <w:pPr>
        <w:spacing w:after="160"/>
      </w:pPr>
    </w:p>
    <w:p>
      <w:pPr>
        <w:pStyle w:val="Heading2"/>
      </w:pPr>
      <w:r>
        <w:rPr>
          <w:rFonts w:ascii="Arial" w:cs="Arial" w:eastAsia="Arial" w:hAnsi="Arial"/>
          <w:b/>
          <w:bCs/>
          <w:color w:val="2E5797"/>
          <w:sz w:val="26"/>
          <w:szCs w:val="26"/>
        </w:rPr>
        <w:t xml:space="preserve">2.1 Spécification du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2E5797" w:sz="1"/>
              <w:left w:val="single" w:color="2E5797" w:sz="1"/>
              <w:bottom w:val="single" w:color="2E5797" w:sz="1"/>
              <w:right w:val="single" w:color="2E5797" w:sz="1"/>
            </w:tcBorders>
            <w:shd w:fill="D6E8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Attribut</w:t>
            </w:r>
          </w:p>
        </w:tc>
        <w:tc>
          <w:tcPr>
            <w:tcW w:type="dxa" w:w="6426"/>
            <w:tcBorders>
              <w:top w:val="single" w:color="2E5797" w:sz="1"/>
              <w:left w:val="single" w:color="2E5797" w:sz="1"/>
              <w:bottom w:val="single" w:color="2E5797" w:sz="1"/>
              <w:right w:val="single" w:color="2E5797" w:sz="1"/>
            </w:tcBorders>
            <w:shd w:fill="D6E8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Valeur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Topic</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mesure.qualite.eau</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Protocol</w:t>
            </w:r>
          </w:p>
        </w:tc>
        <w:tc>
          <w:tcPr>
            <w:tcW w:type="dxa" w:w="64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Kafka 3.x (ou AMQP pour RabbitMQ)</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Rétention</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jours (replay possible)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Partitionnement</w:t>
            </w:r>
          </w:p>
        </w:tc>
        <w:tc>
          <w:tcPr>
            <w:tcW w:type="dxa" w:w="64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 capteur_id (ordre garanti par capteur)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Delivery</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at-least-once (idempotence côté consommateur)</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Format</w:t>
            </w:r>
          </w:p>
        </w:tc>
        <w:tc>
          <w:tcPr>
            <w:tcW w:type="dxa" w:w="64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JSON UTF-8</w:t>
            </w:r>
          </w:p>
        </w:tc>
      </w:tr>
    </w:tbl>
    <w:p>
      <w:pPr>
        <w:spacing w:after="160"/>
      </w:pPr>
    </w:p>
    <w:p>
      <w:pPr>
        <w:pStyle w:val="Heading2"/>
      </w:pPr>
      <w:r>
        <w:rPr>
          <w:rFonts w:ascii="Arial" w:cs="Arial" w:eastAsia="Arial" w:hAnsi="Arial"/>
          <w:b/>
          <w:bCs/>
          <w:color w:val="2E5797"/>
          <w:sz w:val="26"/>
          <w:szCs w:val="26"/>
        </w:rPr>
        <w:t xml:space="preserve">2.2 Schéma du payload</w:t>
      </w:r>
    </w:p>
    <w:p>
      <w:pPr>
        <w:spacing w:after="100"/>
      </w:pPr>
      <w:r>
        <w:rPr>
          <w:rFonts w:ascii="Courier New" w:cs="Courier New" w:eastAsia="Courier New" w:hAnsi="Courier New"/>
          <w:color w:val="1F3864"/>
          <w:sz w:val="18"/>
          <w:szCs w:val="18"/>
        </w:rPr>
        <w:t xml:space="preserve">{
  "event_type": "mesure.qualite.eau",
  "event_id": "uuid-v4",
  "capteur_id": "SEINE-PONT-ALMA-001",
  "timestamp": "2025-03-15T08:32:00Z",
  "localisation": {
    "latitude": 48.8637,
    "longitude": 2.3017,
    "point_reference": "Pont de l'Alma"
  },
  "mesures": {
    "ph": 6.2,
    "turbidite_ntu": 145,
    "temperature_c": 14.3,
    "niveau_m": 2.87,
    "debit_m3s": 312.5,
    "oxygene_dissous_mgl": 7.1
  },
  "qualite_signal": "GOOD",
  "firmware_version": "2.4.1"
}</w:t>
      </w:r>
    </w:p>
    <w:p>
      <w:pPr>
        <w:spacing w:after="160"/>
      </w:pPr>
    </w:p>
    <w:p>
      <w:pPr>
        <w:pStyle w:val="Heading2"/>
      </w:pPr>
      <w:r>
        <w:rPr>
          <w:rFonts w:ascii="Arial" w:cs="Arial" w:eastAsia="Arial" w:hAnsi="Arial"/>
          <w:b/>
          <w:bCs/>
          <w:color w:val="2E5797"/>
          <w:sz w:val="26"/>
          <w:szCs w:val="26"/>
        </w:rPr>
        <w:t xml:space="preserve">2.3 Seuils déclencheurs d'alerte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26"/>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Paramètre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Seuil attention</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Seuil critique</w:t>
            </w:r>
          </w:p>
        </w:tc>
        <w:tc>
          <w:tcPr>
            <w:tcW w:type="dxa" w:w="32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déclenchée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6.5 ou &gt; 8.5</w:t>
            </w:r>
          </w:p>
        </w:tc>
        <w:tc>
          <w:tcPr>
            <w:tcW w:type="dxa" w:w="1800"/>
            <w:tcBorders>
              <w:top w:val="single" w:color="BBBBBB" w:sz="1"/>
              <w:left w:val="single" w:color="BBBBBB" w:sz="1"/>
              <w:bottom w:val="single" w:color="BBBBBB" w:sz="1"/>
              <w:right w:val="single" w:color="BBBBBB" w:sz="1"/>
            </w:tcBorders>
            <w:shd w:fill="FCE4E4" w:val="clear"/>
            <w:tcMar>
              <w:top w:type="dxa" w:w="80"/>
              <w:left w:type="dxa" w:w="120"/>
              <w:bottom w:type="dxa" w:w="80"/>
              <w:right w:type="dxa" w:w="120"/>
            </w:tcMar>
          </w:tcPr>
          <w:p>
            <w:pPr>
              <w:jc w:val="center"/>
            </w:pPr>
            <w:r>
              <w:rPr>
                <w:rFonts w:ascii="Arial" w:cs="Arial" w:eastAsia="Arial" w:hAnsi="Arial"/>
                <w:b w:val="false"/>
                <w:bCs w:val="false"/>
                <w:color w:val="8B0000"/>
                <w:sz w:val="20"/>
                <w:szCs w:val="20"/>
              </w:rPr>
              <w:t xml:space="preserve">&lt; 5.5 ou &gt; 9.5</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WARN / CRITICAL → POST /alertes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Turbidité (NTU)</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100 NTU</w:t>
            </w:r>
          </w:p>
        </w:tc>
        <w:tc>
          <w:tcPr>
            <w:tcW w:type="dxa" w:w="1800"/>
            <w:tcBorders>
              <w:top w:val="single" w:color="BBBBBB" w:sz="1"/>
              <w:left w:val="single" w:color="BBBBBB" w:sz="1"/>
              <w:bottom w:val="single" w:color="BBBBBB" w:sz="1"/>
              <w:right w:val="single" w:color="BBBBBB" w:sz="1"/>
            </w:tcBorders>
            <w:shd w:fill="FCE4E4" w:val="clear"/>
            <w:tcMar>
              <w:top w:type="dxa" w:w="80"/>
              <w:left w:type="dxa" w:w="120"/>
              <w:bottom w:type="dxa" w:w="80"/>
              <w:right w:type="dxa" w:w="120"/>
            </w:tcMar>
          </w:tcPr>
          <w:p>
            <w:pPr>
              <w:jc w:val="center"/>
            </w:pPr>
            <w:r>
              <w:rPr>
                <w:rFonts w:ascii="Arial" w:cs="Arial" w:eastAsia="Arial" w:hAnsi="Arial"/>
                <w:b w:val="false"/>
                <w:bCs w:val="false"/>
                <w:color w:val="8B0000"/>
                <w:sz w:val="20"/>
                <w:szCs w:val="20"/>
              </w:rPr>
              <w:t xml:space="preserve">&gt; 500 NTU</w:t>
            </w:r>
          </w:p>
        </w:tc>
        <w:tc>
          <w:tcPr>
            <w:tcW w:type="dxa" w:w="32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WARN / CRITICAL → POST /alertes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Niveau (m)</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4.5 m</w:t>
            </w:r>
          </w:p>
        </w:tc>
        <w:tc>
          <w:tcPr>
            <w:tcW w:type="dxa" w:w="1800"/>
            <w:tcBorders>
              <w:top w:val="single" w:color="BBBBBB" w:sz="1"/>
              <w:left w:val="single" w:color="BBBBBB" w:sz="1"/>
              <w:bottom w:val="single" w:color="BBBBBB" w:sz="1"/>
              <w:right w:val="single" w:color="BBBBBB" w:sz="1"/>
            </w:tcBorders>
            <w:shd w:fill="FCE4E4" w:val="clear"/>
            <w:tcMar>
              <w:top w:type="dxa" w:w="80"/>
              <w:left w:type="dxa" w:w="120"/>
              <w:bottom w:type="dxa" w:w="80"/>
              <w:right w:type="dxa" w:w="120"/>
            </w:tcMar>
          </w:tcPr>
          <w:p>
            <w:pPr>
              <w:jc w:val="center"/>
            </w:pPr>
            <w:r>
              <w:rPr>
                <w:rFonts w:ascii="Arial" w:cs="Arial" w:eastAsia="Arial" w:hAnsi="Arial"/>
                <w:b w:val="false"/>
                <w:bCs w:val="false"/>
                <w:color w:val="8B0000"/>
                <w:sz w:val="20"/>
                <w:szCs w:val="20"/>
              </w:rPr>
              <w:t xml:space="preserve">&gt; 6.0 m</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WARN / CRITICAL → alerte inondation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Oxygène dissous (mg/L)</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5.0</w:t>
            </w:r>
          </w:p>
        </w:tc>
        <w:tc>
          <w:tcPr>
            <w:tcW w:type="dxa" w:w="1800"/>
            <w:tcBorders>
              <w:top w:val="single" w:color="BBBBBB" w:sz="1"/>
              <w:left w:val="single" w:color="BBBBBB" w:sz="1"/>
              <w:bottom w:val="single" w:color="BBBBBB" w:sz="1"/>
              <w:right w:val="single" w:color="BBBBBB" w:sz="1"/>
            </w:tcBorders>
            <w:shd w:fill="FCE4E4" w:val="clear"/>
            <w:tcMar>
              <w:top w:type="dxa" w:w="80"/>
              <w:left w:type="dxa" w:w="120"/>
              <w:bottom w:type="dxa" w:w="80"/>
              <w:right w:type="dxa" w:w="120"/>
            </w:tcMar>
          </w:tcPr>
          <w:p>
            <w:pPr>
              <w:jc w:val="center"/>
            </w:pPr>
            <w:r>
              <w:rPr>
                <w:rFonts w:ascii="Arial" w:cs="Arial" w:eastAsia="Arial" w:hAnsi="Arial"/>
                <w:b w:val="false"/>
                <w:bCs w:val="false"/>
                <w:color w:val="8B0000"/>
                <w:sz w:val="20"/>
                <w:szCs w:val="20"/>
              </w:rPr>
              <w:t xml:space="preserve">&lt; 3.0</w:t>
            </w:r>
          </w:p>
        </w:tc>
        <w:tc>
          <w:tcPr>
            <w:tcW w:type="dxa" w:w="3226"/>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WARN / CRITICAL → alerte faune</w:t>
            </w:r>
          </w:p>
        </w:tc>
      </w:tr>
    </w:tbl>
    <w:p>
      <w:pPr>
        <w:spacing w:after="160"/>
      </w:pPr>
    </w:p>
    <w:p>
      <w:pPr>
        <w:spacing w:after="160"/>
      </w:pPr>
    </w:p>
    <w:p>
      <w:pPr>
        <w:pBdr>
          <w:bottom w:val="single" w:color="2E5797" w:sz="4" w:space="1"/>
        </w:pBdr>
        <w:spacing w:after="200"/>
      </w:pPr>
    </w:p>
    <w:p>
      <w:pPr>
        <w:pStyle w:val="Heading1"/>
      </w:pPr>
      <w:r>
        <w:rPr>
          <w:rFonts w:ascii="Arial" w:cs="Arial" w:eastAsia="Arial" w:hAnsi="Arial"/>
          <w:b/>
          <w:bCs/>
          <w:color w:val="1F3864"/>
          <w:sz w:val="32"/>
          <w:szCs w:val="32"/>
        </w:rPr>
        <w:t xml:space="preserve">3. Tests d'acceptation (Gherkin)</w:t>
      </w:r>
    </w:p>
    <w:p>
      <w:pPr>
        <w:spacing w:after="100"/>
      </w:pPr>
      <w:r>
        <w:rPr>
          <w:rFonts w:ascii="Arial" w:cs="Arial" w:eastAsia="Arial" w:hAnsi="Arial"/>
          <w:b w:val="false"/>
          <w:bCs w:val="false"/>
          <w:color w:val="000000"/>
          <w:sz w:val="20"/>
          <w:szCs w:val="20"/>
        </w:rPr>
        <w:t xml:space="preserve">Les deux scénarios suivants constituent les tests d'acceptation du flux critique. Ils sont rédigés en Gherkin et couvrent le cas nominal et le cas de résilience (capteur hors ligne avec DLQ).</w:t>
      </w:r>
    </w:p>
    <w:p>
      <w:pPr>
        <w:spacing w:after="160"/>
      </w:pPr>
    </w:p>
    <w:p>
      <w:pPr>
        <w:pStyle w:val="Heading2"/>
      </w:pPr>
      <w:r>
        <w:rPr>
          <w:rFonts w:ascii="Arial" w:cs="Arial" w:eastAsia="Arial" w:hAnsi="Arial"/>
          <w:b/>
          <w:bCs/>
          <w:color w:val="2E5797"/>
          <w:sz w:val="26"/>
          <w:szCs w:val="26"/>
        </w:rPr>
        <w:t xml:space="preserve">Test A — Détection pollution et notification en moins de 2 minutes</w:t>
      </w:r>
    </w:p>
    <w:p>
      <w:pPr>
        <w:spacing w:after="100"/>
      </w:pPr>
      <w:r>
        <w:rPr>
          <w:rFonts w:ascii="Courier New" w:cs="Courier New" w:eastAsia="Courier New" w:hAnsi="Courier New"/>
          <w:color w:val="1D3A1A"/>
          <w:sz w:val="18"/>
          <w:szCs w:val="18"/>
        </w:rPr>
        <w:t xml:space="preserve">Feature: Détection pollution fluviale et notification citoyens
  Scenario: pH critique détecté → alerte citoyen &lt; 2 min
    Given un capteur IoT "SEINE-PONT-ALMA-001" est opérationnel
    And le seuil critique de pH est configuré à 5.5
    When le capteur publie la mesure :
      | event_id | capteur_id           | ph  | timestamp            |
      | uuid-001 | SEINE-PONT-ALMA-001  | 5.2 | 2025-03-15T08:32:00Z |
    And le Service Qualité Eau consomme l'événement
    And le pH 5.2 est inférieur au seuil critique 5.5
    Then le Service Qualité Eau appelle POST /alertes avec severity=CRITICAL
    And le Service Alertes publie l'événement alerte.pollution.detectee
    And le Service Notifications envoie une notification push aux citoyens
    And le délai total entre la mesure et la notification est inférieur à 120 secondes
    And le trace_id est identique sur tous les événements du flux</w:t>
      </w:r>
    </w:p>
    <w:p>
      <w:pPr>
        <w:spacing w:after="160"/>
      </w:pPr>
    </w:p>
    <w:p>
      <w:pPr>
        <w:pStyle w:val="Heading2"/>
      </w:pPr>
      <w:r>
        <w:rPr>
          <w:rFonts w:ascii="Arial" w:cs="Arial" w:eastAsia="Arial" w:hAnsi="Arial"/>
          <w:b/>
          <w:bCs/>
          <w:color w:val="2E5797"/>
          <w:sz w:val="26"/>
          <w:szCs w:val="26"/>
        </w:rPr>
        <w:t xml:space="preserve">Test B — Résilience : capteur hors ligne et DLQ</w:t>
      </w:r>
    </w:p>
    <w:p>
      <w:pPr>
        <w:spacing w:after="100"/>
      </w:pPr>
      <w:r>
        <w:rPr>
          <w:rFonts w:ascii="Courier New" w:cs="Courier New" w:eastAsia="Courier New" w:hAnsi="Courier New"/>
          <w:color w:val="1D3A1A"/>
          <w:sz w:val="18"/>
          <w:szCs w:val="18"/>
        </w:rPr>
        <w:t xml:space="preserve">  Scenario: Service Qualité Eau indisponible → DLQ activée, zéro perte
    Given un capteur IoT "SEINE-PONT-ALMA-002" est opérationnel
    And le Service Qualité Eau est temporairement indisponible
    When le capteur publie 3 mesures consécutives sur le broker
    Then le broker retente la livraison 3 fois avec backoff exponentiel
      | tentative | délai avant retry |
      | 1         | 1 seconde         |
      | 2         | 2 secondes        |
      | 3         | 4 secondes        |
    And après 3 échecs, les 3 mesures sont routées vers la Dead Letter Queue
    And une alerte opérationnelle est émise sur le canal monitoring
    And quand le Service Qualité Eau redevient disponible
    Then les 3 mesures sont rejouées depuis la DLQ sans duplication
    And l'idempotence est garantie par l'event_id unique de chaque mesure</w:t>
      </w:r>
    </w:p>
    <w:p>
      <w:pPr>
        <w:spacing w:after="160"/>
      </w:pPr>
    </w:p>
    <w:p>
      <w:pPr>
        <w:spacing w:after="100"/>
      </w:pPr>
      <w:r>
        <w:rPr>
          <w:rFonts w:ascii="Arial" w:cs="Arial" w:eastAsia="Arial" w:hAnsi="Arial"/>
          <w:b w:val="false"/>
          <w:bCs w:val="false"/>
          <w:color w:val="666666"/>
          <w:sz w:val="20"/>
          <w:szCs w:val="20"/>
        </w:rPr>
        <w:t xml:space="preserve">Note : les tests sont exécutables via Cucumber (JVM) ou Behave (Python). L'environnement de test doit disposer d'un broker Kafka embarqué (TestContainers) pour les tests d'intégration.</w:t>
      </w:r>
    </w:p>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2026-05-06T11:44:27.722Z</dcterms:created>
  <dcterms:modified xsi:type="dcterms:W3CDTF">2026-05-06T11:44:27.723Z</dcterms:modified>
</cp:coreProperties>
</file>

<file path=docProps/custom.xml><?xml version="1.0" encoding="utf-8"?>
<Properties xmlns="http://schemas.openxmlformats.org/officeDocument/2006/custom-properties" xmlns:vt="http://schemas.openxmlformats.org/officeDocument/2006/docPropsVTypes"/>
</file>