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eastAsia="Times New Roman"/>
          <w:b/>
          <w:i w:val="0"/>
          <w:sz w:val="28"/>
        </w:rPr>
        <w:t>A Runtime Permission Enforcement Layer for Mitigating Tool Poisoning Attacks in MCP-Based Agentic Systems</w:t>
      </w:r>
    </w:p>
    <w:p>
      <w:pPr>
        <w:spacing w:after="160" w:before="0"/>
      </w:pPr>
      <w:r>
        <w:rPr>
          <w:rFonts w:ascii="Times New Roman" w:hAnsi="Times New Roman" w:eastAsia="Times New Roman"/>
          <w:b/>
          <w:i w:val="0"/>
          <w:sz w:val="24"/>
        </w:rPr>
        <w:t>Abstract</w:t>
      </w:r>
    </w:p>
    <w:p>
      <w:pPr>
        <w:spacing w:after="120" w:before="0"/>
      </w:pPr>
      <w:r>
        <w:rPr>
          <w:rFonts w:ascii="Times New Roman" w:hAnsi="Times New Roman" w:eastAsia="Times New Roman"/>
          <w:b w:val="0"/>
          <w:i w:val="0"/>
          <w:sz w:val="20"/>
        </w:rPr>
        <w:t>Tool poisoning attacks manipulate metadata or parameters of tools exposed through the Model Context Protocol (MCP), inducing agentic systems to perform unauthorized file access, data exfiltration, or code execution. Existing MCP clients largely rely on user approval and static allowlists and lack fine-grained runtime least-privilege enforcement. This paper presents a client-side runtime permission enforcement layer that intercepts tool calls, infers permission categories from tool names and arguments, and enforces declarative default-deny policies without modifying clients or servers. We derive a six-category permission taxonomy, formalize the inference algorithm, and define four policy profiles. We evaluate the prototype on a hand-curated pilot of 87 cases, a 20,000-case template stress corpus, remapped-name and organic-style hold-outs (MCPTox-like / realistic workflows), adaptive and multi-step suites, component ablations, and a live MCP deployment path (client → enforcement proxy → real upstream servers). Against simple baselines, the full layer achieves substantially lower ASR. Under limited-network: pilot ASR 6.56% (TSR 76.92%), template stress ASR 4.36% (TSR 78.74%), organic hold-out ASR 0% (TSR 100%), and live MCP ASR 0% (TSR 100%). An author-as-user ASK study restores benign write utility versus auto-DENY. Artifacts include code, policies, datasets, and one-command evaluation scripts.</w:t>
      </w:r>
    </w:p>
    <w:p>
      <w:pPr>
        <w:spacing w:after="120" w:before="0"/>
      </w:pPr>
      <w:r>
        <w:rPr>
          <w:rFonts w:ascii="Times New Roman" w:hAnsi="Times New Roman" w:eastAsia="Times New Roman"/>
          <w:b w:val="0"/>
          <w:i/>
          <w:sz w:val="20"/>
        </w:rPr>
        <w:t>Index Terms— Model Context Protocol, tool poisoning, agentic systems, runtime enforcement, least privilege, LLM security.</w:t>
      </w:r>
    </w:p>
    <w:p>
      <w:pPr>
        <w:spacing w:after="160" w:before="0"/>
      </w:pPr>
      <w:r>
        <w:rPr>
          <w:rFonts w:ascii="Times New Roman" w:hAnsi="Times New Roman" w:eastAsia="Times New Roman"/>
          <w:b/>
          <w:i w:val="0"/>
          <w:sz w:val="24"/>
        </w:rPr>
        <w:t>I. Introduction</w:t>
      </w:r>
    </w:p>
    <w:p>
      <w:pPr>
        <w:spacing w:after="120" w:before="0"/>
      </w:pPr>
      <w:r>
        <w:rPr>
          <w:rFonts w:ascii="Times New Roman" w:hAnsi="Times New Roman" w:eastAsia="Times New Roman"/>
          <w:b w:val="0"/>
          <w:i w:val="0"/>
          <w:sz w:val="20"/>
        </w:rPr>
        <w:t>Large language model (LLM) agents increasingly read and write files, call web APIs, and execute commands on behalf of users. The Model Context Protocol (MCP) standardizes tool discovery and invocation. This improves interoperability but places tool metadata and arguments into the model context, creating a high-leverage attack surface.</w:t>
      </w:r>
    </w:p>
    <w:p>
      <w:pPr>
        <w:spacing w:after="120" w:before="0"/>
      </w:pPr>
      <w:r>
        <w:rPr>
          <w:rFonts w:ascii="Times New Roman" w:hAnsi="Times New Roman" w:eastAsia="Times New Roman"/>
          <w:b w:val="0"/>
          <w:i w:val="0"/>
          <w:sz w:val="20"/>
        </w:rPr>
        <w:t>Tool poisoning manipulates tool descriptions, schemas, or arguments so that the agent performs harmful actions while appearing legitimate. MCPTox reported attack success rates up to 72.8% against agents attached to real MCP servers. MCP-ITP automated implicit tool poisoning with success up to 84.2%. OWASP lists tool poisoning among the MCP Top 10 risks.</w:t>
      </w:r>
    </w:p>
    <w:p>
      <w:pPr>
        <w:spacing w:after="120" w:before="0"/>
      </w:pPr>
      <w:r>
        <w:rPr>
          <w:rFonts w:ascii="Times New Roman" w:hAnsi="Times New Roman" w:eastAsia="Times New Roman"/>
          <w:b w:val="0"/>
          <w:i w:val="0"/>
          <w:sz w:val="20"/>
        </w:rPr>
        <w:t>Popular MCP clients primarily use approval dialogs and static allowlists. After approval, fine-grained runtime least privilege at the tool-call boundary is typically absent. Related defenses include server-side manifests (AgentBound), gateways/firewalls, and classical least-privilege models. What remains under-explored is a minimal client-side interceptor that (i) requires no client or server source modification, (ii) reasons over categories and argument values, (iii) exposes declarative profiles, and (iv) reports both attack reduction and legitimate-task success against baselines and live MCP servers.</w:t>
      </w:r>
    </w:p>
    <w:p>
      <w:pPr>
        <w:spacing w:after="120" w:before="0"/>
      </w:pPr>
      <w:r>
        <w:rPr>
          <w:rFonts w:ascii="Times New Roman" w:hAnsi="Times New Roman" w:eastAsia="Times New Roman"/>
          <w:b w:val="0"/>
          <w:i w:val="0"/>
          <w:sz w:val="20"/>
        </w:rPr>
        <w:t>This paper presents such a layer: intercept tool calls, infer categories, enforce default-deny policy, return allow/deny/ask. Contributions: (1) a behavior-derived taxonomy and formal fail-closed inference algorithm; (2) a zero-modification prototype with a real stdio MCP enforcement proxy; (3) pilot, template-stress, unseen hold-out, adaptive, multi-step, ablation, baseline, live-MCP, and ASK evaluations with statistical and latency reporting; (4) released artifacts for reproduction.</w:t>
      </w:r>
    </w:p>
    <w:p>
      <w:pPr>
        <w:spacing w:after="160" w:before="0"/>
      </w:pPr>
      <w:r>
        <w:rPr>
          <w:rFonts w:ascii="Times New Roman" w:hAnsi="Times New Roman" w:eastAsia="Times New Roman"/>
          <w:b/>
          <w:i w:val="0"/>
          <w:sz w:val="24"/>
        </w:rPr>
        <w:t>II. Related Work</w:t>
      </w:r>
    </w:p>
    <w:p>
      <w:pPr>
        <w:spacing w:after="120" w:before="0"/>
      </w:pPr>
      <w:r>
        <w:rPr>
          <w:rFonts w:ascii="Times New Roman" w:hAnsi="Times New Roman" w:eastAsia="Times New Roman"/>
          <w:b w:val="0"/>
          <w:i w:val="0"/>
          <w:sz w:val="20"/>
        </w:rPr>
        <w:t>Greshake et al. showed that untrusted retrieved content can compromise LLM-integrated applications. Tool poisoning specializes this threat to tool metadata and parameters. MCPTox and MCP-ITP provide attack evidence and automation. Defenses include AgentBound manifests, gateway scanning/allowlists, and interface firewalls. Client products still center on approval and static allowlists. Our gap target is a client-side, argument-aware, default-deny gate deployable without modifying MCP software, reporting both security and utility.</w:t>
      </w:r>
    </w:p>
    <w:p>
      <w:pPr>
        <w:spacing w:after="80" w:before="0"/>
        <w:jc w:val="center"/>
      </w:pPr>
      <w:r>
        <w:rPr>
          <w:rFonts w:ascii="Times New Roman" w:hAnsi="Times New Roman" w:eastAsia="Times New Roman"/>
          <w:b/>
          <w:i w:val="0"/>
          <w:sz w:val="18"/>
        </w:rPr>
        <w:t>TABLE I. GAP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eastAsia="Times New Roman"/>
                <w:b/>
                <w:i w:val="0"/>
                <w:sz w:val="16"/>
              </w:rPr>
              <w:t>Work / Family</w:t>
            </w:r>
          </w:p>
        </w:tc>
        <w:tc>
          <w:tcPr>
            <w:tcW w:type="dxa" w:w="1680"/>
          </w:tcPr>
          <w:p>
            <w:r/>
            <w:r>
              <w:rPr>
                <w:rFonts w:ascii="Times New Roman" w:hAnsi="Times New Roman" w:eastAsia="Times New Roman"/>
                <w:b/>
                <w:i w:val="0"/>
                <w:sz w:val="16"/>
              </w:rPr>
              <w:t>Client-side</w:t>
            </w:r>
          </w:p>
        </w:tc>
        <w:tc>
          <w:tcPr>
            <w:tcW w:type="dxa" w:w="1680"/>
          </w:tcPr>
          <w:p>
            <w:r/>
            <w:r>
              <w:rPr>
                <w:rFonts w:ascii="Times New Roman" w:hAnsi="Times New Roman" w:eastAsia="Times New Roman"/>
                <w:b/>
                <w:i w:val="0"/>
                <w:sz w:val="16"/>
              </w:rPr>
              <w:t>Zero modify</w:t>
            </w:r>
          </w:p>
        </w:tc>
        <w:tc>
          <w:tcPr>
            <w:tcW w:type="dxa" w:w="1680"/>
          </w:tcPr>
          <w:p>
            <w:r/>
            <w:r>
              <w:rPr>
                <w:rFonts w:ascii="Times New Roman" w:hAnsi="Times New Roman" w:eastAsia="Times New Roman"/>
                <w:b/>
                <w:i w:val="0"/>
                <w:sz w:val="16"/>
              </w:rPr>
              <w:t>Cat.+args runtime</w:t>
            </w:r>
          </w:p>
        </w:tc>
        <w:tc>
          <w:tcPr>
            <w:tcW w:type="dxa" w:w="1680"/>
          </w:tcPr>
          <w:p>
            <w:r/>
            <w:r>
              <w:rPr>
                <w:rFonts w:ascii="Times New Roman" w:hAnsi="Times New Roman" w:eastAsia="Times New Roman"/>
                <w:b/>
                <w:i w:val="0"/>
                <w:sz w:val="16"/>
              </w:rPr>
              <w:t>Profiles</w:t>
            </w:r>
          </w:p>
        </w:tc>
        <w:tc>
          <w:tcPr>
            <w:tcW w:type="dxa" w:w="1680"/>
          </w:tcPr>
          <w:p>
            <w:r/>
            <w:r>
              <w:rPr>
                <w:rFonts w:ascii="Times New Roman" w:hAnsi="Times New Roman" w:eastAsia="Times New Roman"/>
                <w:b/>
                <w:i w:val="0"/>
                <w:sz w:val="16"/>
              </w:rPr>
              <w:t>Sec.+utility</w:t>
            </w:r>
          </w:p>
        </w:tc>
      </w:tr>
      <w:tr>
        <w:tc>
          <w:tcPr>
            <w:tcW w:type="dxa" w:w="1680"/>
          </w:tcPr>
          <w:p>
            <w:r/>
            <w:r>
              <w:rPr>
                <w:rFonts w:ascii="Times New Roman" w:hAnsi="Times New Roman" w:eastAsia="Times New Roman"/>
                <w:b w:val="0"/>
                <w:i w:val="0"/>
                <w:sz w:val="16"/>
              </w:rPr>
              <w:t>Attack benches</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Attack only</w:t>
            </w:r>
          </w:p>
        </w:tc>
      </w:tr>
      <w:tr>
        <w:tc>
          <w:tcPr>
            <w:tcW w:type="dxa" w:w="1680"/>
          </w:tcPr>
          <w:p>
            <w:r/>
            <w:r>
              <w:rPr>
                <w:rFonts w:ascii="Times New Roman" w:hAnsi="Times New Roman" w:eastAsia="Times New Roman"/>
                <w:b w:val="0"/>
                <w:i w:val="0"/>
                <w:sz w:val="16"/>
              </w:rPr>
              <w:t>AgentBound</w:t>
            </w:r>
          </w:p>
        </w:tc>
        <w:tc>
          <w:tcPr>
            <w:tcW w:type="dxa" w:w="1680"/>
          </w:tcPr>
          <w:p>
            <w:r/>
            <w:r>
              <w:rPr>
                <w:rFonts w:ascii="Times New Roman" w:hAnsi="Times New Roman" w:eastAsia="Times New Roman"/>
                <w:b w:val="0"/>
                <w:i w:val="0"/>
                <w:sz w:val="16"/>
              </w:rPr>
              <w:t>No</w:t>
            </w:r>
          </w:p>
        </w:tc>
        <w:tc>
          <w:tcPr>
            <w:tcW w:type="dxa" w:w="1680"/>
          </w:tcPr>
          <w:p>
            <w:r/>
            <w:r>
              <w:rPr>
                <w:rFonts w:ascii="Times New Roman" w:hAnsi="Times New Roman" w:eastAsia="Times New Roman"/>
                <w:b w:val="0"/>
                <w:i w:val="0"/>
                <w:sz w:val="16"/>
              </w:rPr>
              <w:t>Server</w:t>
            </w:r>
          </w:p>
        </w:tc>
        <w:tc>
          <w:tcPr>
            <w:tcW w:type="dxa" w:w="1680"/>
          </w:tcPr>
          <w:p>
            <w:r/>
            <w:r>
              <w:rPr>
                <w:rFonts w:ascii="Times New Roman" w:hAnsi="Times New Roman" w:eastAsia="Times New Roman"/>
                <w:b w:val="0"/>
                <w:i w:val="0"/>
                <w:sz w:val="16"/>
              </w:rPr>
              <w:t>Server perms</w:t>
            </w:r>
          </w:p>
        </w:tc>
        <w:tc>
          <w:tcPr>
            <w:tcW w:type="dxa" w:w="1680"/>
          </w:tcPr>
          <w:p>
            <w:r/>
            <w:r>
              <w:rPr>
                <w:rFonts w:ascii="Times New Roman" w:hAnsi="Times New Roman" w:eastAsia="Times New Roman"/>
                <w:b w:val="0"/>
                <w:i w:val="0"/>
                <w:sz w:val="16"/>
              </w:rPr>
              <w:t>Manifests</w:t>
            </w:r>
          </w:p>
        </w:tc>
        <w:tc>
          <w:tcPr>
            <w:tcW w:type="dxa" w:w="1680"/>
          </w:tcPr>
          <w:p>
            <w:r/>
            <w:r>
              <w:rPr>
                <w:rFonts w:ascii="Times New Roman" w:hAnsi="Times New Roman" w:eastAsia="Times New Roman"/>
                <w:b w:val="0"/>
                <w:i w:val="0"/>
                <w:sz w:val="16"/>
              </w:rPr>
              <w:t>Server focus</w:t>
            </w:r>
          </w:p>
        </w:tc>
      </w:tr>
      <w:tr>
        <w:tc>
          <w:tcPr>
            <w:tcW w:type="dxa" w:w="1680"/>
          </w:tcPr>
          <w:p>
            <w:r/>
            <w:r>
              <w:rPr>
                <w:rFonts w:ascii="Times New Roman" w:hAnsi="Times New Roman" w:eastAsia="Times New Roman"/>
                <w:b w:val="0"/>
                <w:i w:val="0"/>
                <w:sz w:val="16"/>
              </w:rPr>
              <w:t>Gateway/firewall</w:t>
            </w:r>
          </w:p>
        </w:tc>
        <w:tc>
          <w:tcPr>
            <w:tcW w:type="dxa" w:w="1680"/>
          </w:tcPr>
          <w:p>
            <w:r/>
            <w:r>
              <w:rPr>
                <w:rFonts w:ascii="Times New Roman" w:hAnsi="Times New Roman" w:eastAsia="Times New Roman"/>
                <w:b w:val="0"/>
                <w:i w:val="0"/>
                <w:sz w:val="16"/>
              </w:rPr>
              <w:t>Partial</w:t>
            </w:r>
          </w:p>
        </w:tc>
        <w:tc>
          <w:tcPr>
            <w:tcW w:type="dxa" w:w="1680"/>
          </w:tcPr>
          <w:p>
            <w:r/>
            <w:r>
              <w:rPr>
                <w:rFonts w:ascii="Times New Roman" w:hAnsi="Times New Roman" w:eastAsia="Times New Roman"/>
                <w:b w:val="0"/>
                <w:i w:val="0"/>
                <w:sz w:val="16"/>
              </w:rPr>
              <w:t>Varies</w:t>
            </w:r>
          </w:p>
        </w:tc>
        <w:tc>
          <w:tcPr>
            <w:tcW w:type="dxa" w:w="1680"/>
          </w:tcPr>
          <w:p>
            <w:r/>
            <w:r>
              <w:rPr>
                <w:rFonts w:ascii="Times New Roman" w:hAnsi="Times New Roman" w:eastAsia="Times New Roman"/>
                <w:b w:val="0"/>
                <w:i w:val="0"/>
                <w:sz w:val="16"/>
              </w:rPr>
              <w:t>Partial</w:t>
            </w:r>
          </w:p>
        </w:tc>
        <w:tc>
          <w:tcPr>
            <w:tcW w:type="dxa" w:w="1680"/>
          </w:tcPr>
          <w:p>
            <w:r/>
            <w:r>
              <w:rPr>
                <w:rFonts w:ascii="Times New Roman" w:hAnsi="Times New Roman" w:eastAsia="Times New Roman"/>
                <w:b w:val="0"/>
                <w:i w:val="0"/>
                <w:sz w:val="16"/>
              </w:rPr>
              <w:t>Varies</w:t>
            </w:r>
          </w:p>
        </w:tc>
        <w:tc>
          <w:tcPr>
            <w:tcW w:type="dxa" w:w="1680"/>
          </w:tcPr>
          <w:p>
            <w:r/>
            <w:r>
              <w:rPr>
                <w:rFonts w:ascii="Times New Roman" w:hAnsi="Times New Roman" w:eastAsia="Times New Roman"/>
                <w:b w:val="0"/>
                <w:i w:val="0"/>
                <w:sz w:val="16"/>
              </w:rPr>
              <w:t>Often sec. only</w:t>
            </w:r>
          </w:p>
        </w:tc>
      </w:tr>
      <w:tr>
        <w:tc>
          <w:tcPr>
            <w:tcW w:type="dxa" w:w="1680"/>
          </w:tcPr>
          <w:p>
            <w:r/>
            <w:r>
              <w:rPr>
                <w:rFonts w:ascii="Times New Roman" w:hAnsi="Times New Roman" w:eastAsia="Times New Roman"/>
                <w:b w:val="0"/>
                <w:i w:val="0"/>
                <w:sz w:val="16"/>
              </w:rPr>
              <w:t>Client allowlists</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No (static)</w:t>
            </w:r>
          </w:p>
        </w:tc>
        <w:tc>
          <w:tcPr>
            <w:tcW w:type="dxa" w:w="1680"/>
          </w:tcPr>
          <w:p>
            <w:r/>
            <w:r>
              <w:rPr>
                <w:rFonts w:ascii="Times New Roman" w:hAnsi="Times New Roman" w:eastAsia="Times New Roman"/>
                <w:b w:val="0"/>
                <w:i w:val="0"/>
                <w:sz w:val="16"/>
              </w:rPr>
              <w:t>No</w:t>
            </w:r>
          </w:p>
        </w:tc>
        <w:tc>
          <w:tcPr>
            <w:tcW w:type="dxa" w:w="1680"/>
          </w:tcPr>
          <w:p>
            <w:r/>
            <w:r>
              <w:rPr>
                <w:rFonts w:ascii="Times New Roman" w:hAnsi="Times New Roman" w:eastAsia="Times New Roman"/>
                <w:b w:val="0"/>
                <w:i w:val="0"/>
                <w:sz w:val="16"/>
              </w:rPr>
              <w:t>Rare</w:t>
            </w:r>
          </w:p>
        </w:tc>
      </w:tr>
      <w:tr>
        <w:tc>
          <w:tcPr>
            <w:tcW w:type="dxa" w:w="1680"/>
          </w:tcPr>
          <w:p>
            <w:r/>
            <w:r>
              <w:rPr>
                <w:rFonts w:ascii="Times New Roman" w:hAnsi="Times New Roman" w:eastAsia="Times New Roman"/>
                <w:b w:val="0"/>
                <w:i w:val="0"/>
                <w:sz w:val="16"/>
              </w:rPr>
              <w:t>This work</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Yes (4)</w:t>
            </w:r>
          </w:p>
        </w:tc>
        <w:tc>
          <w:tcPr>
            <w:tcW w:type="dxa" w:w="1680"/>
          </w:tcPr>
          <w:p>
            <w:r/>
            <w:r>
              <w:rPr>
                <w:rFonts w:ascii="Times New Roman" w:hAnsi="Times New Roman" w:eastAsia="Times New Roman"/>
                <w:b w:val="0"/>
                <w:i w:val="0"/>
                <w:sz w:val="16"/>
              </w:rPr>
              <w:t>Yes (full suite)</w:t>
            </w:r>
          </w:p>
        </w:tc>
      </w:tr>
    </w:tbl>
    <w:p/>
    <w:p>
      <w:pPr>
        <w:spacing w:after="160" w:before="0"/>
      </w:pPr>
      <w:r>
        <w:rPr>
          <w:rFonts w:ascii="Times New Roman" w:hAnsi="Times New Roman" w:eastAsia="Times New Roman"/>
          <w:b/>
          <w:i w:val="0"/>
          <w:sz w:val="24"/>
        </w:rPr>
        <w:t>III. System Design</w:t>
      </w:r>
    </w:p>
    <w:p>
      <w:pPr>
        <w:spacing w:after="120" w:before="0"/>
      </w:pPr>
      <w:r>
        <w:rPr>
          <w:rFonts w:ascii="Times New Roman" w:hAnsi="Times New Roman" w:eastAsia="Times New Roman"/>
          <w:b w:val="0"/>
          <w:i w:val="0"/>
          <w:sz w:val="20"/>
        </w:rPr>
        <w:t>Threat model: the attacker can supply or influence tool names, descriptions, schemas, and arguments; register malicious MCP servers; craft multi-parameter payloads; and know the six categories, path heuristics, and domain rules. The attacker cannot modify the enforcement proxy, policy files, or audit logger, nor disable routing through the proxy.</w:t>
      </w:r>
    </w:p>
    <w:p>
      <w:pPr>
        <w:spacing w:after="120" w:before="0"/>
      </w:pPr>
      <w:r>
        <w:rPr>
          <w:rFonts w:ascii="Times New Roman" w:hAnsi="Times New Roman" w:eastAsia="Times New Roman"/>
          <w:b w:val="0"/>
          <w:i w:val="0"/>
          <w:sz w:val="20"/>
        </w:rPr>
        <w:t>Categories (fs.read, fs.write, net.http, code.exec, env.read, process) are derived from observed poisoning behaviors. Algorithm 1 is deterministic and fail-closed: name heuristics, argument inspection, sensitive-path elevation, then unknown-tool default to code.exec. Aggregation uses Deny &gt; Ask &gt; Allow with path/domain restrictions.</w:t>
      </w:r>
    </w:p>
    <w:p>
      <w:pPr>
        <w:spacing w:after="80" w:before="0"/>
        <w:jc w:val="center"/>
      </w:pPr>
      <w:r>
        <w:rPr>
          <w:rFonts w:ascii="Times New Roman" w:hAnsi="Times New Roman" w:eastAsia="Times New Roman"/>
          <w:b/>
          <w:i w:val="0"/>
          <w:sz w:val="18"/>
        </w:rPr>
        <w:t>TABLE II. POLICY PROFILES</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eastAsia="Times New Roman"/>
                <w:b/>
                <w:i w:val="0"/>
                <w:sz w:val="16"/>
              </w:rPr>
              <w:t>Profile</w:t>
            </w:r>
          </w:p>
        </w:tc>
        <w:tc>
          <w:tcPr>
            <w:tcW w:type="dxa" w:w="3360"/>
          </w:tcPr>
          <w:p>
            <w:r/>
            <w:r>
              <w:rPr>
                <w:rFonts w:ascii="Times New Roman" w:hAnsi="Times New Roman" w:eastAsia="Times New Roman"/>
                <w:b/>
                <w:i w:val="0"/>
                <w:sz w:val="16"/>
              </w:rPr>
              <w:t>Allowed</w:t>
            </w:r>
          </w:p>
        </w:tc>
        <w:tc>
          <w:tcPr>
            <w:tcW w:type="dxa" w:w="3360"/>
          </w:tcPr>
          <w:p>
            <w:r/>
            <w:r>
              <w:rPr>
                <w:rFonts w:ascii="Times New Roman" w:hAnsi="Times New Roman" w:eastAsia="Times New Roman"/>
                <w:b/>
                <w:i w:val="0"/>
                <w:sz w:val="16"/>
              </w:rPr>
              <w:t>Restriction</w:t>
            </w:r>
          </w:p>
        </w:tc>
      </w:tr>
      <w:tr>
        <w:tc>
          <w:tcPr>
            <w:tcW w:type="dxa" w:w="3360"/>
          </w:tcPr>
          <w:p>
            <w:r/>
            <w:r>
              <w:rPr>
                <w:rFonts w:ascii="Times New Roman" w:hAnsi="Times New Roman" w:eastAsia="Times New Roman"/>
                <w:b w:val="0"/>
                <w:i w:val="0"/>
                <w:sz w:val="16"/>
              </w:rPr>
              <w:t>read-only</w:t>
            </w:r>
          </w:p>
        </w:tc>
        <w:tc>
          <w:tcPr>
            <w:tcW w:type="dxa" w:w="3360"/>
          </w:tcPr>
          <w:p>
            <w:r/>
            <w:r>
              <w:rPr>
                <w:rFonts w:ascii="Times New Roman" w:hAnsi="Times New Roman" w:eastAsia="Times New Roman"/>
                <w:b w:val="0"/>
                <w:i w:val="0"/>
                <w:sz w:val="16"/>
              </w:rPr>
              <w:t>fs.read</w:t>
            </w:r>
          </w:p>
        </w:tc>
        <w:tc>
          <w:tcPr>
            <w:tcW w:type="dxa" w:w="3360"/>
          </w:tcPr>
          <w:p>
            <w:r/>
            <w:r>
              <w:rPr>
                <w:rFonts w:ascii="Times New Roman" w:hAnsi="Times New Roman" w:eastAsia="Times New Roman"/>
                <w:b w:val="0"/>
                <w:i w:val="0"/>
                <w:sz w:val="16"/>
              </w:rPr>
              <w:t>Sensitive paths denied</w:t>
            </w:r>
          </w:p>
        </w:tc>
      </w:tr>
      <w:tr>
        <w:tc>
          <w:tcPr>
            <w:tcW w:type="dxa" w:w="3360"/>
          </w:tcPr>
          <w:p>
            <w:r/>
            <w:r>
              <w:rPr>
                <w:rFonts w:ascii="Times New Roman" w:hAnsi="Times New Roman" w:eastAsia="Times New Roman"/>
                <w:b w:val="0"/>
                <w:i w:val="0"/>
                <w:sz w:val="16"/>
              </w:rPr>
              <w:t>limited-network</w:t>
            </w:r>
          </w:p>
        </w:tc>
        <w:tc>
          <w:tcPr>
            <w:tcW w:type="dxa" w:w="3360"/>
          </w:tcPr>
          <w:p>
            <w:r/>
            <w:r>
              <w:rPr>
                <w:rFonts w:ascii="Times New Roman" w:hAnsi="Times New Roman" w:eastAsia="Times New Roman"/>
                <w:b w:val="0"/>
                <w:i w:val="0"/>
                <w:sz w:val="16"/>
              </w:rPr>
              <w:t>fs.read, net.http</w:t>
            </w:r>
          </w:p>
        </w:tc>
        <w:tc>
          <w:tcPr>
            <w:tcW w:type="dxa" w:w="3360"/>
          </w:tcPr>
          <w:p>
            <w:r/>
            <w:r>
              <w:rPr>
                <w:rFonts w:ascii="Times New Roman" w:hAnsi="Times New Roman" w:eastAsia="Times New Roman"/>
                <w:b w:val="0"/>
                <w:i w:val="0"/>
                <w:sz w:val="16"/>
              </w:rPr>
              <w:t>Domain allow-list</w:t>
            </w:r>
          </w:p>
        </w:tc>
      </w:tr>
      <w:tr>
        <w:tc>
          <w:tcPr>
            <w:tcW w:type="dxa" w:w="3360"/>
          </w:tcPr>
          <w:p>
            <w:r/>
            <w:r>
              <w:rPr>
                <w:rFonts w:ascii="Times New Roman" w:hAnsi="Times New Roman" w:eastAsia="Times New Roman"/>
                <w:b w:val="0"/>
                <w:i w:val="0"/>
                <w:sz w:val="16"/>
              </w:rPr>
              <w:t>no-code-exec</w:t>
            </w:r>
          </w:p>
        </w:tc>
        <w:tc>
          <w:tcPr>
            <w:tcW w:type="dxa" w:w="3360"/>
          </w:tcPr>
          <w:p>
            <w:r/>
            <w:r>
              <w:rPr>
                <w:rFonts w:ascii="Times New Roman" w:hAnsi="Times New Roman" w:eastAsia="Times New Roman"/>
                <w:b w:val="0"/>
                <w:i w:val="0"/>
                <w:sz w:val="16"/>
              </w:rPr>
              <w:t>fs.read/write, net.http</w:t>
            </w:r>
          </w:p>
        </w:tc>
        <w:tc>
          <w:tcPr>
            <w:tcW w:type="dxa" w:w="3360"/>
          </w:tcPr>
          <w:p>
            <w:r/>
            <w:r>
              <w:rPr>
                <w:rFonts w:ascii="Times New Roman" w:hAnsi="Times New Roman" w:eastAsia="Times New Roman"/>
                <w:b w:val="0"/>
                <w:i w:val="0"/>
                <w:sz w:val="16"/>
              </w:rPr>
              <w:t>code.exec denied</w:t>
            </w:r>
          </w:p>
        </w:tc>
      </w:tr>
      <w:tr>
        <w:tc>
          <w:tcPr>
            <w:tcW w:type="dxa" w:w="3360"/>
          </w:tcPr>
          <w:p>
            <w:r/>
            <w:r>
              <w:rPr>
                <w:rFonts w:ascii="Times New Roman" w:hAnsi="Times New Roman" w:eastAsia="Times New Roman"/>
                <w:b w:val="0"/>
                <w:i w:val="0"/>
                <w:sz w:val="16"/>
              </w:rPr>
              <w:t>approval-gated</w:t>
            </w:r>
          </w:p>
        </w:tc>
        <w:tc>
          <w:tcPr>
            <w:tcW w:type="dxa" w:w="3360"/>
          </w:tcPr>
          <w:p>
            <w:r/>
            <w:r>
              <w:rPr>
                <w:rFonts w:ascii="Times New Roman" w:hAnsi="Times New Roman" w:eastAsia="Times New Roman"/>
                <w:b w:val="0"/>
                <w:i w:val="0"/>
                <w:sz w:val="16"/>
              </w:rPr>
              <w:t>Most; high-risk → ask</w:t>
            </w:r>
          </w:p>
        </w:tc>
        <w:tc>
          <w:tcPr>
            <w:tcW w:type="dxa" w:w="3360"/>
          </w:tcPr>
          <w:p>
            <w:r/>
            <w:r>
              <w:rPr>
                <w:rFonts w:ascii="Times New Roman" w:hAnsi="Times New Roman" w:eastAsia="Times New Roman"/>
                <w:b w:val="0"/>
                <w:i w:val="0"/>
                <w:sz w:val="16"/>
              </w:rPr>
              <w:t>Human confirm on risk</w:t>
            </w:r>
          </w:p>
        </w:tc>
      </w:tr>
    </w:tbl>
    <w:p/>
    <w:p>
      <w:pPr>
        <w:spacing w:after="120" w:before="0"/>
      </w:pPr>
      <w:r>
        <w:rPr>
          <w:rFonts w:ascii="Times New Roman" w:hAnsi="Times New Roman" w:eastAsia="Times New Roman"/>
          <w:b w:val="0"/>
          <w:i w:val="0"/>
          <w:sz w:val="20"/>
        </w:rPr>
        <w:t>Architecture: Policy Manager (YAML), Permission Checker (Algorithm 1), Enforcement Proxy (Python API and stdio MCP mediator), Audit Logger (JSON Lines). Live deployment inserts the proxy between an MCP client and real upstream servers.</w:t>
      </w:r>
    </w:p>
    <w:p>
      <w:pPr>
        <w:spacing w:after="160" w:before="0"/>
      </w:pPr>
      <w:r>
        <w:rPr>
          <w:rFonts w:ascii="Times New Roman" w:hAnsi="Times New Roman" w:eastAsia="Times New Roman"/>
          <w:b/>
          <w:i w:val="0"/>
          <w:sz w:val="24"/>
        </w:rPr>
        <w:t>IV. Implementation</w:t>
      </w:r>
    </w:p>
    <w:p>
      <w:pPr>
        <w:spacing w:after="120" w:before="0"/>
      </w:pPr>
      <w:r>
        <w:rPr>
          <w:rFonts w:ascii="Times New Roman" w:hAnsi="Times New Roman" w:eastAsia="Times New Roman"/>
          <w:b w:val="0"/>
          <w:i w:val="0"/>
          <w:sz w:val="20"/>
        </w:rPr>
        <w:t>Prototype language: Python 3. Modules implement models, Algorithm 1, policy loading, checker, audit logger, programmatic proxy, and a stdio MCP enforcement proxy that speaks JSON-RPC to clients while forwarding allowed tools/call requests to upstream MCP servers (official filesystem server via npx; fetch/git/shell servers in-repo). Thirty-three unit tests passed. Cursor can attach via generated mcp.json entries that launch enforced-* proxy wrappers. Deployment remains configuration redirection: clients target the proxy; upstream servers need no source changes.</w:t>
      </w:r>
    </w:p>
    <w:p>
      <w:pPr>
        <w:spacing w:after="160" w:before="0"/>
      </w:pPr>
      <w:r>
        <w:rPr>
          <w:rFonts w:ascii="Times New Roman" w:hAnsi="Times New Roman" w:eastAsia="Times New Roman"/>
          <w:b/>
          <w:i w:val="0"/>
          <w:sz w:val="24"/>
        </w:rPr>
        <w:t>V. Experimental Setup</w:t>
      </w:r>
    </w:p>
    <w:p>
      <w:pPr>
        <w:spacing w:after="120" w:before="0"/>
      </w:pPr>
      <w:r>
        <w:rPr>
          <w:rFonts w:ascii="Times New Roman" w:hAnsi="Times New Roman" w:eastAsia="Times New Roman"/>
          <w:b w:val="0"/>
          <w:i w:val="0"/>
          <w:sz w:val="20"/>
        </w:rPr>
        <w:t>Datasets: (i) pilot_87 — 61 malicious + 26 benign; (ii) 20,000-case template stress corpus; (iii) remapped-name unseen split; (iv) organic-style hold-out — 90 hand-authored MCPTox-like / realistic workflow cases (50 attack / 40 benign) with diverse tool names, not template-expanded; (v) adaptive set; (vi) multi-step chains; (vii) 25 live MCP workflows; (viii) 20 ASK prompts. Hold-outs are never used for tuning.</w:t>
      </w:r>
    </w:p>
    <w:p>
      <w:pPr>
        <w:spacing w:after="120" w:before="0"/>
      </w:pPr>
      <w:r>
        <w:rPr>
          <w:rFonts w:ascii="Times New Roman" w:hAnsi="Times New Roman" w:eastAsia="Times New Roman"/>
          <w:b w:val="0"/>
          <w:i w:val="0"/>
          <w:sz w:val="20"/>
        </w:rPr>
        <w:t>Metrics: ASR, Block Rate, TSR, F1 (attack = positive), Damage Reduction, latency (mean/median/p95/p99), and bootstrap 95% CIs. Automated non-ASK runs map ASK→DENY unless stated. Baselines: B0 no defense; B1 static tool-name allowlist; B2 definition keyword scanning without argument checks; B3 gateway-style high-risk name/argument filter; B4 full layer (limited-network unless stated).</w:t>
      </w:r>
    </w:p>
    <w:p>
      <w:pPr>
        <w:spacing w:after="120" w:before="0"/>
      </w:pPr>
      <w:r>
        <w:rPr>
          <w:rFonts w:ascii="Times New Roman" w:hAnsi="Times New Roman" w:eastAsia="Times New Roman"/>
          <w:b w:val="0"/>
          <w:i w:val="0"/>
          <w:sz w:val="20"/>
        </w:rPr>
        <w:t>Environment (decision-path microbenchmark): Windows 10, Python 3.11.9, Intel CPU; MCP transport serialization excluded unless reporting live end-to-end latency. Live MCP mean latency under limited-network was 54.8 ms/call including upstream server time.</w:t>
      </w:r>
    </w:p>
    <w:p>
      <w:pPr>
        <w:spacing w:after="160" w:before="0"/>
      </w:pPr>
      <w:r>
        <w:rPr>
          <w:rFonts w:ascii="Times New Roman" w:hAnsi="Times New Roman" w:eastAsia="Times New Roman"/>
          <w:b/>
          <w:i w:val="0"/>
          <w:sz w:val="24"/>
        </w:rPr>
        <w:t>VI. Results</w:t>
      </w:r>
    </w:p>
    <w:p>
      <w:pPr>
        <w:spacing w:after="160" w:before="0"/>
      </w:pPr>
      <w:r>
        <w:rPr>
          <w:rFonts w:ascii="Times New Roman" w:hAnsi="Times New Roman" w:eastAsia="Times New Roman"/>
          <w:b/>
          <w:i w:val="0"/>
          <w:sz w:val="22"/>
        </w:rPr>
        <w:t>A. Pilot and Template Stress</w:t>
      </w:r>
    </w:p>
    <w:p>
      <w:pPr>
        <w:spacing w:after="120" w:before="0"/>
      </w:pPr>
      <w:r>
        <w:rPr>
          <w:rFonts w:ascii="Times New Roman" w:hAnsi="Times New Roman" w:eastAsia="Times New Roman"/>
          <w:b w:val="0"/>
          <w:i w:val="0"/>
          <w:sz w:val="20"/>
        </w:rPr>
        <w:t>On pilot_87, baseline ASR = 100%. Limited-network yields ASR 6.56%, benign success/TSR 76.92%, F1 91.94%. Read-only is stricter on utility; no-code-exec and approval-gated (ASK=DENY) trade higher ASR for higher utility. On the 20,000-case template corpus, limited-network achieves ASR 4.36% and TSR 78.74% (F1 88.19%), matching the stress-test characterization that this corpus exercises repeated patterns rather than claiming organic diversity.</w:t>
      </w:r>
    </w:p>
    <w:p>
      <w:pPr>
        <w:spacing w:after="80" w:before="0"/>
        <w:jc w:val="center"/>
      </w:pPr>
      <w:r>
        <w:rPr>
          <w:rFonts w:ascii="Times New Roman" w:hAnsi="Times New Roman" w:eastAsia="Times New Roman"/>
          <w:b/>
          <w:i w:val="0"/>
          <w:sz w:val="18"/>
        </w:rPr>
        <w:t>TABLE III. PILOT / PROFILE SUMMARY (SEE ALSO STRESS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Policy</w:t>
            </w:r>
          </w:p>
        </w:tc>
        <w:tc>
          <w:tcPr>
            <w:tcW w:type="dxa" w:w="2016"/>
          </w:tcPr>
          <w:p>
            <w:r/>
            <w:r>
              <w:rPr>
                <w:rFonts w:ascii="Times New Roman" w:hAnsi="Times New Roman" w:eastAsia="Times New Roman"/>
                <w:b/>
                <w:i w:val="0"/>
                <w:sz w:val="16"/>
              </w:rPr>
              <w:t>ASR</w:t>
            </w:r>
          </w:p>
        </w:tc>
        <w:tc>
          <w:tcPr>
            <w:tcW w:type="dxa" w:w="2016"/>
          </w:tcPr>
          <w:p>
            <w:r/>
            <w:r>
              <w:rPr>
                <w:rFonts w:ascii="Times New Roman" w:hAnsi="Times New Roman" w:eastAsia="Times New Roman"/>
                <w:b/>
                <w:i w:val="0"/>
                <w:sz w:val="16"/>
              </w:rPr>
              <w:t>Block</w:t>
            </w:r>
          </w:p>
        </w:tc>
        <w:tc>
          <w:tcPr>
            <w:tcW w:type="dxa" w:w="2016"/>
          </w:tcPr>
          <w:p>
            <w:r/>
            <w:r>
              <w:rPr>
                <w:rFonts w:ascii="Times New Roman" w:hAnsi="Times New Roman" w:eastAsia="Times New Roman"/>
                <w:b/>
                <w:i w:val="0"/>
                <w:sz w:val="16"/>
              </w:rPr>
              <w:t>Benign SR / TSR</w:t>
            </w:r>
          </w:p>
        </w:tc>
        <w:tc>
          <w:tcPr>
            <w:tcW w:type="dxa" w:w="2016"/>
          </w:tcPr>
          <w:p>
            <w:r/>
            <w:r>
              <w:rPr>
                <w:rFonts w:ascii="Times New Roman" w:hAnsi="Times New Roman" w:eastAsia="Times New Roman"/>
                <w:b/>
                <w:i w:val="0"/>
                <w:sz w:val="16"/>
              </w:rPr>
              <w:t>Notes</w:t>
            </w:r>
          </w:p>
        </w:tc>
      </w:tr>
      <w:tr>
        <w:tc>
          <w:tcPr>
            <w:tcW w:type="dxa" w:w="2016"/>
          </w:tcPr>
          <w:p>
            <w:r/>
            <w:r>
              <w:rPr>
                <w:rFonts w:ascii="Times New Roman" w:hAnsi="Times New Roman" w:eastAsia="Times New Roman"/>
                <w:b w:val="0"/>
                <w:i w:val="0"/>
                <w:sz w:val="16"/>
              </w:rPr>
              <w:t>baseline (B0)</w:t>
            </w:r>
          </w:p>
        </w:tc>
        <w:tc>
          <w:tcPr>
            <w:tcW w:type="dxa" w:w="2016"/>
          </w:tcPr>
          <w:p>
            <w:r/>
            <w:r>
              <w:rPr>
                <w:rFonts w:ascii="Times New Roman" w:hAnsi="Times New Roman" w:eastAsia="Times New Roman"/>
                <w:b w:val="0"/>
                <w:i w:val="0"/>
                <w:sz w:val="16"/>
              </w:rPr>
              <w:t>100%</w:t>
            </w:r>
          </w:p>
        </w:tc>
        <w:tc>
          <w:tcPr>
            <w:tcW w:type="dxa" w:w="2016"/>
          </w:tcPr>
          <w:p>
            <w:r/>
            <w:r>
              <w:rPr>
                <w:rFonts w:ascii="Times New Roman" w:hAnsi="Times New Roman" w:eastAsia="Times New Roman"/>
                <w:b w:val="0"/>
                <w:i w:val="0"/>
                <w:sz w:val="16"/>
              </w:rPr>
              <w:t>0%</w:t>
            </w:r>
          </w:p>
        </w:tc>
        <w:tc>
          <w:tcPr>
            <w:tcW w:type="dxa" w:w="2016"/>
          </w:tcPr>
          <w:p>
            <w:r/>
            <w:r>
              <w:rPr>
                <w:rFonts w:ascii="Times New Roman" w:hAnsi="Times New Roman" w:eastAsia="Times New Roman"/>
                <w:b w:val="0"/>
                <w:i w:val="0"/>
                <w:sz w:val="16"/>
              </w:rPr>
              <w:t>100%</w:t>
            </w:r>
          </w:p>
        </w:tc>
        <w:tc>
          <w:tcPr>
            <w:tcW w:type="dxa" w:w="2016"/>
          </w:tcPr>
          <w:p>
            <w:r/>
            <w:r>
              <w:rPr>
                <w:rFonts w:ascii="Times New Roman" w:hAnsi="Times New Roman" w:eastAsia="Times New Roman"/>
                <w:b w:val="0"/>
                <w:i w:val="0"/>
                <w:sz w:val="16"/>
              </w:rPr>
              <w:t>No enforcement</w:t>
            </w:r>
          </w:p>
        </w:tc>
      </w:tr>
      <w:tr>
        <w:tc>
          <w:tcPr>
            <w:tcW w:type="dxa" w:w="2016"/>
          </w:tcPr>
          <w:p>
            <w:r/>
            <w:r>
              <w:rPr>
                <w:rFonts w:ascii="Times New Roman" w:hAnsi="Times New Roman" w:eastAsia="Times New Roman"/>
                <w:b w:val="0"/>
                <w:i w:val="0"/>
                <w:sz w:val="16"/>
              </w:rPr>
              <w:t>read_only</w:t>
            </w:r>
          </w:p>
        </w:tc>
        <w:tc>
          <w:tcPr>
            <w:tcW w:type="dxa" w:w="2016"/>
          </w:tcPr>
          <w:p>
            <w:r/>
            <w:r>
              <w:rPr>
                <w:rFonts w:ascii="Times New Roman" w:hAnsi="Times New Roman" w:eastAsia="Times New Roman"/>
                <w:b w:val="0"/>
                <w:i w:val="0"/>
                <w:sz w:val="16"/>
              </w:rPr>
              <w:t>3.3% (pilot table)</w:t>
            </w:r>
          </w:p>
        </w:tc>
        <w:tc>
          <w:tcPr>
            <w:tcW w:type="dxa" w:w="2016"/>
          </w:tcPr>
          <w:p>
            <w:r/>
            <w:r>
              <w:rPr>
                <w:rFonts w:ascii="Times New Roman" w:hAnsi="Times New Roman" w:eastAsia="Times New Roman"/>
                <w:b w:val="0"/>
                <w:i w:val="0"/>
                <w:sz w:val="16"/>
              </w:rPr>
              <w:t>96.7%</w:t>
            </w:r>
          </w:p>
        </w:tc>
        <w:tc>
          <w:tcPr>
            <w:tcW w:type="dxa" w:w="2016"/>
          </w:tcPr>
          <w:p>
            <w:r/>
            <w:r>
              <w:rPr>
                <w:rFonts w:ascii="Times New Roman" w:hAnsi="Times New Roman" w:eastAsia="Times New Roman"/>
                <w:b w:val="0"/>
                <w:i w:val="0"/>
                <w:sz w:val="16"/>
              </w:rPr>
              <w:t>53.8%</w:t>
            </w:r>
          </w:p>
        </w:tc>
        <w:tc>
          <w:tcPr>
            <w:tcW w:type="dxa" w:w="2016"/>
          </w:tcPr>
          <w:p>
            <w:r/>
            <w:r>
              <w:rPr>
                <w:rFonts w:ascii="Times New Roman" w:hAnsi="Times New Roman" w:eastAsia="Times New Roman"/>
                <w:b w:val="0"/>
                <w:i w:val="0"/>
                <w:sz w:val="16"/>
              </w:rPr>
              <w:t>Point estimate on earlier pilot split</w:t>
            </w:r>
          </w:p>
        </w:tc>
      </w:tr>
      <w:tr>
        <w:tc>
          <w:tcPr>
            <w:tcW w:type="dxa" w:w="2016"/>
          </w:tcPr>
          <w:p>
            <w:r/>
            <w:r>
              <w:rPr>
                <w:rFonts w:ascii="Times New Roman" w:hAnsi="Times New Roman" w:eastAsia="Times New Roman"/>
                <w:b w:val="0"/>
                <w:i w:val="0"/>
                <w:sz w:val="16"/>
              </w:rPr>
              <w:t>limited_network</w:t>
            </w:r>
          </w:p>
        </w:tc>
        <w:tc>
          <w:tcPr>
            <w:tcW w:type="dxa" w:w="2016"/>
          </w:tcPr>
          <w:p>
            <w:r/>
            <w:r>
              <w:rPr>
                <w:rFonts w:ascii="Times New Roman" w:hAnsi="Times New Roman" w:eastAsia="Times New Roman"/>
                <w:b w:val="0"/>
                <w:i w:val="0"/>
                <w:sz w:val="16"/>
              </w:rPr>
              <w:t>6.56%</w:t>
            </w:r>
          </w:p>
        </w:tc>
        <w:tc>
          <w:tcPr>
            <w:tcW w:type="dxa" w:w="2016"/>
          </w:tcPr>
          <w:p>
            <w:r/>
            <w:r>
              <w:rPr>
                <w:rFonts w:ascii="Times New Roman" w:hAnsi="Times New Roman" w:eastAsia="Times New Roman"/>
                <w:b w:val="0"/>
                <w:i w:val="0"/>
                <w:sz w:val="16"/>
              </w:rPr>
              <w:t>93.44%</w:t>
            </w:r>
          </w:p>
        </w:tc>
        <w:tc>
          <w:tcPr>
            <w:tcW w:type="dxa" w:w="2016"/>
          </w:tcPr>
          <w:p>
            <w:r/>
            <w:r>
              <w:rPr>
                <w:rFonts w:ascii="Times New Roman" w:hAnsi="Times New Roman" w:eastAsia="Times New Roman"/>
                <w:b w:val="0"/>
                <w:i w:val="0"/>
                <w:sz w:val="16"/>
              </w:rPr>
              <w:t>76.92%</w:t>
            </w:r>
          </w:p>
        </w:tc>
        <w:tc>
          <w:tcPr>
            <w:tcW w:type="dxa" w:w="2016"/>
          </w:tcPr>
          <w:p>
            <w:r/>
            <w:r>
              <w:rPr>
                <w:rFonts w:ascii="Times New Roman" w:hAnsi="Times New Roman" w:eastAsia="Times New Roman"/>
                <w:b w:val="0"/>
                <w:i w:val="0"/>
                <w:sz w:val="16"/>
              </w:rPr>
              <w:t>pilot_87 primary</w:t>
            </w:r>
          </w:p>
        </w:tc>
      </w:tr>
      <w:tr>
        <w:tc>
          <w:tcPr>
            <w:tcW w:type="dxa" w:w="2016"/>
          </w:tcPr>
          <w:p>
            <w:r/>
            <w:r>
              <w:rPr>
                <w:rFonts w:ascii="Times New Roman" w:hAnsi="Times New Roman" w:eastAsia="Times New Roman"/>
                <w:b w:val="0"/>
                <w:i w:val="0"/>
                <w:sz w:val="16"/>
              </w:rPr>
              <w:t>no_code_exec</w:t>
            </w:r>
          </w:p>
        </w:tc>
        <w:tc>
          <w:tcPr>
            <w:tcW w:type="dxa" w:w="2016"/>
          </w:tcPr>
          <w:p>
            <w:r/>
            <w:r>
              <w:rPr>
                <w:rFonts w:ascii="Times New Roman" w:hAnsi="Times New Roman" w:eastAsia="Times New Roman"/>
                <w:b w:val="0"/>
                <w:i w:val="0"/>
                <w:sz w:val="16"/>
              </w:rPr>
              <w:t>32.8% / higher on large</w:t>
            </w:r>
          </w:p>
        </w:tc>
        <w:tc>
          <w:tcPr>
            <w:tcW w:type="dxa" w:w="2016"/>
          </w:tcPr>
          <w:p>
            <w:r/>
            <w:r>
              <w:rPr>
                <w:rFonts w:ascii="Times New Roman" w:hAnsi="Times New Roman" w:eastAsia="Times New Roman"/>
                <w:b w:val="0"/>
                <w:i w:val="0"/>
                <w:sz w:val="16"/>
              </w:rPr>
              <w:t>—</w:t>
            </w:r>
          </w:p>
        </w:tc>
        <w:tc>
          <w:tcPr>
            <w:tcW w:type="dxa" w:w="2016"/>
          </w:tcPr>
          <w:p>
            <w:r/>
            <w:r>
              <w:rPr>
                <w:rFonts w:ascii="Times New Roman" w:hAnsi="Times New Roman" w:eastAsia="Times New Roman"/>
                <w:b w:val="0"/>
                <w:i w:val="0"/>
                <w:sz w:val="16"/>
              </w:rPr>
              <w:t>high utility</w:t>
            </w:r>
          </w:p>
        </w:tc>
        <w:tc>
          <w:tcPr>
            <w:tcW w:type="dxa" w:w="2016"/>
          </w:tcPr>
          <w:p>
            <w:r/>
            <w:r>
              <w:rPr>
                <w:rFonts w:ascii="Times New Roman" w:hAnsi="Times New Roman" w:eastAsia="Times New Roman"/>
                <w:b w:val="0"/>
                <w:i w:val="0"/>
                <w:sz w:val="16"/>
              </w:rPr>
              <w:t>Permits writes/net</w:t>
            </w:r>
          </w:p>
        </w:tc>
      </w:tr>
      <w:tr>
        <w:tc>
          <w:tcPr>
            <w:tcW w:type="dxa" w:w="2016"/>
          </w:tcPr>
          <w:p>
            <w:r/>
            <w:r>
              <w:rPr>
                <w:rFonts w:ascii="Times New Roman" w:hAnsi="Times New Roman" w:eastAsia="Times New Roman"/>
                <w:b w:val="0"/>
                <w:i w:val="0"/>
                <w:sz w:val="16"/>
              </w:rPr>
              <w:t>approval_gated (ASK=DENY)</w:t>
            </w:r>
          </w:p>
        </w:tc>
        <w:tc>
          <w:tcPr>
            <w:tcW w:type="dxa" w:w="2016"/>
          </w:tcPr>
          <w:p>
            <w:r/>
            <w:r>
              <w:rPr>
                <w:rFonts w:ascii="Times New Roman" w:hAnsi="Times New Roman" w:eastAsia="Times New Roman"/>
                <w:b w:val="0"/>
                <w:i w:val="0"/>
                <w:sz w:val="16"/>
              </w:rPr>
              <w:t>27.9% / 30.28% large</w:t>
            </w:r>
          </w:p>
        </w:tc>
        <w:tc>
          <w:tcPr>
            <w:tcW w:type="dxa" w:w="2016"/>
          </w:tcPr>
          <w:p>
            <w:r/>
            <w:r>
              <w:rPr>
                <w:rFonts w:ascii="Times New Roman" w:hAnsi="Times New Roman" w:eastAsia="Times New Roman"/>
                <w:b w:val="0"/>
                <w:i w:val="0"/>
                <w:sz w:val="16"/>
              </w:rPr>
              <w:t>—</w:t>
            </w:r>
          </w:p>
        </w:tc>
        <w:tc>
          <w:tcPr>
            <w:tcW w:type="dxa" w:w="2016"/>
          </w:tcPr>
          <w:p>
            <w:r/>
            <w:r>
              <w:rPr>
                <w:rFonts w:ascii="Times New Roman" w:hAnsi="Times New Roman" w:eastAsia="Times New Roman"/>
                <w:b w:val="0"/>
                <w:i w:val="0"/>
                <w:sz w:val="16"/>
              </w:rPr>
              <w:t>high utility</w:t>
            </w:r>
          </w:p>
        </w:tc>
        <w:tc>
          <w:tcPr>
            <w:tcW w:type="dxa" w:w="2016"/>
          </w:tcPr>
          <w:p>
            <w:r/>
            <w:r>
              <w:rPr>
                <w:rFonts w:ascii="Times New Roman" w:hAnsi="Times New Roman" w:eastAsia="Times New Roman"/>
                <w:b w:val="0"/>
                <w:i w:val="0"/>
                <w:sz w:val="16"/>
              </w:rPr>
              <w:t>Conservative ASK mapping</w:t>
            </w:r>
          </w:p>
        </w:tc>
      </w:tr>
    </w:tbl>
    <w:p/>
    <w:p>
      <w:pPr>
        <w:spacing w:after="80" w:before="0"/>
        <w:jc w:val="center"/>
      </w:pPr>
      <w:r>
        <w:rPr>
          <w:rFonts w:ascii="Times New Roman" w:hAnsi="Times New Roman" w:eastAsia="Times New Roman"/>
          <w:b/>
          <w:i w:val="0"/>
          <w:sz w:val="18"/>
        </w:rPr>
        <w:t>TABLE IV. TEMPLATE STRESS TEST (20,000 CASES)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Policy</w:t>
            </w:r>
          </w:p>
        </w:tc>
        <w:tc>
          <w:tcPr>
            <w:tcW w:type="dxa" w:w="2016"/>
          </w:tcPr>
          <w:p>
            <w:r/>
            <w:r>
              <w:rPr>
                <w:rFonts w:ascii="Times New Roman" w:hAnsi="Times New Roman" w:eastAsia="Times New Roman"/>
                <w:b/>
                <w:i w:val="0"/>
                <w:sz w:val="16"/>
              </w:rPr>
              <w:t>ASR</w:t>
            </w:r>
          </w:p>
        </w:tc>
        <w:tc>
          <w:tcPr>
            <w:tcW w:type="dxa" w:w="2016"/>
          </w:tcPr>
          <w:p>
            <w:r/>
            <w:r>
              <w:rPr>
                <w:rFonts w:ascii="Times New Roman" w:hAnsi="Times New Roman" w:eastAsia="Times New Roman"/>
                <w:b/>
                <w:i w:val="0"/>
                <w:sz w:val="16"/>
              </w:rPr>
              <w:t>TSR</w:t>
            </w:r>
          </w:p>
        </w:tc>
        <w:tc>
          <w:tcPr>
            <w:tcW w:type="dxa" w:w="2016"/>
          </w:tcPr>
          <w:p>
            <w:r/>
            <w:r>
              <w:rPr>
                <w:rFonts w:ascii="Times New Roman" w:hAnsi="Times New Roman" w:eastAsia="Times New Roman"/>
                <w:b/>
                <w:i w:val="0"/>
                <w:sz w:val="16"/>
              </w:rPr>
              <w:t>F1</w:t>
            </w:r>
          </w:p>
        </w:tc>
        <w:tc>
          <w:tcPr>
            <w:tcW w:type="dxa" w:w="2016"/>
          </w:tcPr>
          <w:p>
            <w:r/>
            <w:r>
              <w:rPr>
                <w:rFonts w:ascii="Times New Roman" w:hAnsi="Times New Roman" w:eastAsia="Times New Roman"/>
                <w:b/>
                <w:i w:val="0"/>
                <w:sz w:val="16"/>
              </w:rPr>
              <w:t>ms/call (mean)</w:t>
            </w:r>
          </w:p>
        </w:tc>
      </w:tr>
      <w:tr>
        <w:tc>
          <w:tcPr>
            <w:tcW w:type="dxa" w:w="2016"/>
          </w:tcPr>
          <w:p>
            <w:r/>
            <w:r>
              <w:rPr>
                <w:rFonts w:ascii="Times New Roman" w:hAnsi="Times New Roman" w:eastAsia="Times New Roman"/>
                <w:b w:val="0"/>
                <w:i w:val="0"/>
                <w:sz w:val="16"/>
              </w:rPr>
              <w:t>read_only</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57.62%</w:t>
            </w:r>
          </w:p>
        </w:tc>
        <w:tc>
          <w:tcPr>
            <w:tcW w:type="dxa" w:w="2016"/>
          </w:tcPr>
          <w:p>
            <w:r/>
            <w:r>
              <w:rPr>
                <w:rFonts w:ascii="Times New Roman" w:hAnsi="Times New Roman" w:eastAsia="Times New Roman"/>
                <w:b w:val="0"/>
                <w:i w:val="0"/>
                <w:sz w:val="16"/>
              </w:rPr>
              <w:t>80.36%</w:t>
            </w:r>
          </w:p>
        </w:tc>
        <w:tc>
          <w:tcPr>
            <w:tcW w:type="dxa" w:w="2016"/>
          </w:tcPr>
          <w:p>
            <w:r/>
            <w:r>
              <w:rPr>
                <w:rFonts w:ascii="Times New Roman" w:hAnsi="Times New Roman" w:eastAsia="Times New Roman"/>
                <w:b w:val="0"/>
                <w:i w:val="0"/>
                <w:sz w:val="16"/>
              </w:rPr>
              <w:t>0.12</w:t>
            </w:r>
          </w:p>
        </w:tc>
      </w:tr>
      <w:tr>
        <w:tc>
          <w:tcPr>
            <w:tcW w:type="dxa" w:w="2016"/>
          </w:tcPr>
          <w:p>
            <w:r/>
            <w:r>
              <w:rPr>
                <w:rFonts w:ascii="Times New Roman" w:hAnsi="Times New Roman" w:eastAsia="Times New Roman"/>
                <w:b w:val="0"/>
                <w:i w:val="0"/>
                <w:sz w:val="16"/>
              </w:rPr>
              <w:t>limited_network</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78.74%</w:t>
            </w:r>
          </w:p>
        </w:tc>
        <w:tc>
          <w:tcPr>
            <w:tcW w:type="dxa" w:w="2016"/>
          </w:tcPr>
          <w:p>
            <w:r/>
            <w:r>
              <w:rPr>
                <w:rFonts w:ascii="Times New Roman" w:hAnsi="Times New Roman" w:eastAsia="Times New Roman"/>
                <w:b w:val="0"/>
                <w:i w:val="0"/>
                <w:sz w:val="16"/>
              </w:rPr>
              <w:t>88.19%</w:t>
            </w:r>
          </w:p>
        </w:tc>
        <w:tc>
          <w:tcPr>
            <w:tcW w:type="dxa" w:w="2016"/>
          </w:tcPr>
          <w:p>
            <w:r/>
            <w:r>
              <w:rPr>
                <w:rFonts w:ascii="Times New Roman" w:hAnsi="Times New Roman" w:eastAsia="Times New Roman"/>
                <w:b w:val="0"/>
                <w:i w:val="0"/>
                <w:sz w:val="16"/>
              </w:rPr>
              <w:t>0.12</w:t>
            </w:r>
          </w:p>
        </w:tc>
      </w:tr>
      <w:tr>
        <w:tc>
          <w:tcPr>
            <w:tcW w:type="dxa" w:w="2016"/>
          </w:tcPr>
          <w:p>
            <w:r/>
            <w:r>
              <w:rPr>
                <w:rFonts w:ascii="Times New Roman" w:hAnsi="Times New Roman" w:eastAsia="Times New Roman"/>
                <w:b w:val="0"/>
                <w:i w:val="0"/>
                <w:sz w:val="16"/>
              </w:rPr>
              <w:t>no_code_exec</w:t>
            </w:r>
          </w:p>
        </w:tc>
        <w:tc>
          <w:tcPr>
            <w:tcW w:type="dxa" w:w="2016"/>
          </w:tcPr>
          <w:p>
            <w:r/>
            <w:r>
              <w:rPr>
                <w:rFonts w:ascii="Times New Roman" w:hAnsi="Times New Roman" w:eastAsia="Times New Roman"/>
                <w:b w:val="0"/>
                <w:i w:val="0"/>
                <w:sz w:val="16"/>
              </w:rPr>
              <w:t>38.92%</w:t>
            </w:r>
          </w:p>
        </w:tc>
        <w:tc>
          <w:tcPr>
            <w:tcW w:type="dxa" w:w="2016"/>
          </w:tcPr>
          <w:p>
            <w:r/>
            <w:r>
              <w:rPr>
                <w:rFonts w:ascii="Times New Roman" w:hAnsi="Times New Roman" w:eastAsia="Times New Roman"/>
                <w:b w:val="0"/>
                <w:i w:val="0"/>
                <w:sz w:val="16"/>
              </w:rPr>
              <w:t>97.32%</w:t>
            </w:r>
          </w:p>
        </w:tc>
        <w:tc>
          <w:tcPr>
            <w:tcW w:type="dxa" w:w="2016"/>
          </w:tcPr>
          <w:p>
            <w:r/>
            <w:r>
              <w:rPr>
                <w:rFonts w:ascii="Times New Roman" w:hAnsi="Times New Roman" w:eastAsia="Times New Roman"/>
                <w:b w:val="0"/>
                <w:i w:val="0"/>
                <w:sz w:val="16"/>
              </w:rPr>
              <w:t>74.60%</w:t>
            </w:r>
          </w:p>
        </w:tc>
        <w:tc>
          <w:tcPr>
            <w:tcW w:type="dxa" w:w="2016"/>
          </w:tcPr>
          <w:p>
            <w:r/>
            <w:r>
              <w:rPr>
                <w:rFonts w:ascii="Times New Roman" w:hAnsi="Times New Roman" w:eastAsia="Times New Roman"/>
                <w:b w:val="0"/>
                <w:i w:val="0"/>
                <w:sz w:val="16"/>
              </w:rPr>
              <w:t>0.11</w:t>
            </w:r>
          </w:p>
        </w:tc>
      </w:tr>
      <w:tr>
        <w:tc>
          <w:tcPr>
            <w:tcW w:type="dxa" w:w="2016"/>
          </w:tcPr>
          <w:p>
            <w:r/>
            <w:r>
              <w:rPr>
                <w:rFonts w:ascii="Times New Roman" w:hAnsi="Times New Roman" w:eastAsia="Times New Roman"/>
                <w:b w:val="0"/>
                <w:i w:val="0"/>
                <w:sz w:val="16"/>
              </w:rPr>
              <w:t>approval_gated</w:t>
            </w:r>
          </w:p>
        </w:tc>
        <w:tc>
          <w:tcPr>
            <w:tcW w:type="dxa" w:w="2016"/>
          </w:tcPr>
          <w:p>
            <w:r/>
            <w:r>
              <w:rPr>
                <w:rFonts w:ascii="Times New Roman" w:hAnsi="Times New Roman" w:eastAsia="Times New Roman"/>
                <w:b w:val="0"/>
                <w:i w:val="0"/>
                <w:sz w:val="16"/>
              </w:rPr>
              <w:t>30.28%</w:t>
            </w:r>
          </w:p>
        </w:tc>
        <w:tc>
          <w:tcPr>
            <w:tcW w:type="dxa" w:w="2016"/>
          </w:tcPr>
          <w:p>
            <w:r/>
            <w:r>
              <w:rPr>
                <w:rFonts w:ascii="Times New Roman" w:hAnsi="Times New Roman" w:eastAsia="Times New Roman"/>
                <w:b w:val="0"/>
                <w:i w:val="0"/>
                <w:sz w:val="16"/>
              </w:rPr>
              <w:t>81.38%</w:t>
            </w:r>
          </w:p>
        </w:tc>
        <w:tc>
          <w:tcPr>
            <w:tcW w:type="dxa" w:w="2016"/>
          </w:tcPr>
          <w:p>
            <w:r/>
            <w:r>
              <w:rPr>
                <w:rFonts w:ascii="Times New Roman" w:hAnsi="Times New Roman" w:eastAsia="Times New Roman"/>
                <w:b w:val="0"/>
                <w:i w:val="0"/>
                <w:sz w:val="16"/>
              </w:rPr>
              <w:t>74.04%</w:t>
            </w:r>
          </w:p>
        </w:tc>
        <w:tc>
          <w:tcPr>
            <w:tcW w:type="dxa" w:w="2016"/>
          </w:tcPr>
          <w:p>
            <w:r/>
            <w:r>
              <w:rPr>
                <w:rFonts w:ascii="Times New Roman" w:hAnsi="Times New Roman" w:eastAsia="Times New Roman"/>
                <w:b w:val="0"/>
                <w:i w:val="0"/>
                <w:sz w:val="16"/>
              </w:rPr>
              <w:t>0.11</w:t>
            </w:r>
          </w:p>
        </w:tc>
      </w:tr>
    </w:tbl>
    <w:p/>
    <w:p>
      <w:pPr>
        <w:spacing w:after="160" w:before="0"/>
      </w:pPr>
      <w:r>
        <w:rPr>
          <w:rFonts w:ascii="Times New Roman" w:hAnsi="Times New Roman" w:eastAsia="Times New Roman"/>
          <w:b/>
          <w:i w:val="0"/>
          <w:sz w:val="22"/>
        </w:rPr>
        <w:t>B. Baseline Comparison</w:t>
      </w:r>
    </w:p>
    <w:p>
      <w:pPr>
        <w:spacing w:after="120" w:before="0"/>
      </w:pPr>
      <w:r>
        <w:rPr>
          <w:rFonts w:ascii="Times New Roman" w:hAnsi="Times New Roman" w:eastAsia="Times New Roman"/>
          <w:b w:val="0"/>
          <w:i w:val="0"/>
          <w:sz w:val="20"/>
        </w:rPr>
        <w:t>On the same pilot_87 attack set, simple defenses underperform the full layer. B1 and B2 leave majority ASR; B3 improves blocking but remains well above B4. Limited-network B4 reaches ASR 6.56% and F1 91.94% versus B3 ASR 24.59%. On the live real-MCP workflow set, B4 limited-network reaches ASR 0% / TSR 100%, again ahead of B1–B3.</w:t>
      </w:r>
    </w:p>
    <w:p>
      <w:pPr>
        <w:spacing w:after="80" w:before="0"/>
        <w:jc w:val="center"/>
      </w:pPr>
      <w:r>
        <w:rPr>
          <w:rFonts w:ascii="Times New Roman" w:hAnsi="Times New Roman" w:eastAsia="Times New Roman"/>
          <w:b/>
          <w:i w:val="0"/>
          <w:sz w:val="18"/>
        </w:rPr>
        <w:t>TABLE V. BASELINE COMPARISON (PILOT_87)</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Baseline</w:t>
            </w:r>
          </w:p>
        </w:tc>
        <w:tc>
          <w:tcPr>
            <w:tcW w:type="dxa" w:w="2016"/>
          </w:tcPr>
          <w:p>
            <w:r/>
            <w:r>
              <w:rPr>
                <w:rFonts w:ascii="Times New Roman" w:hAnsi="Times New Roman" w:eastAsia="Times New Roman"/>
                <w:b/>
                <w:i w:val="0"/>
                <w:sz w:val="16"/>
              </w:rPr>
              <w:t>ASR (%)</w:t>
            </w:r>
          </w:p>
        </w:tc>
        <w:tc>
          <w:tcPr>
            <w:tcW w:type="dxa" w:w="2016"/>
          </w:tcPr>
          <w:p>
            <w:r/>
            <w:r>
              <w:rPr>
                <w:rFonts w:ascii="Times New Roman" w:hAnsi="Times New Roman" w:eastAsia="Times New Roman"/>
                <w:b/>
                <w:i w:val="0"/>
                <w:sz w:val="16"/>
              </w:rPr>
              <w:t>Block (%)</w:t>
            </w:r>
          </w:p>
        </w:tc>
        <w:tc>
          <w:tcPr>
            <w:tcW w:type="dxa" w:w="2016"/>
          </w:tcPr>
          <w:p>
            <w:r/>
            <w:r>
              <w:rPr>
                <w:rFonts w:ascii="Times New Roman" w:hAnsi="Times New Roman" w:eastAsia="Times New Roman"/>
                <w:b/>
                <w:i w:val="0"/>
                <w:sz w:val="16"/>
              </w:rPr>
              <w:t>TSR (%)</w:t>
            </w:r>
          </w:p>
        </w:tc>
        <w:tc>
          <w:tcPr>
            <w:tcW w:type="dxa" w:w="2016"/>
          </w:tcPr>
          <w:p>
            <w:r/>
            <w:r>
              <w:rPr>
                <w:rFonts w:ascii="Times New Roman" w:hAnsi="Times New Roman" w:eastAsia="Times New Roman"/>
                <w:b/>
                <w:i w:val="0"/>
                <w:sz w:val="16"/>
              </w:rPr>
              <w:t>F1 (%)</w:t>
            </w:r>
          </w:p>
        </w:tc>
      </w:tr>
      <w:tr>
        <w:tc>
          <w:tcPr>
            <w:tcW w:type="dxa" w:w="2016"/>
          </w:tcPr>
          <w:p>
            <w:r/>
            <w:r>
              <w:rPr>
                <w:rFonts w:ascii="Times New Roman" w:hAnsi="Times New Roman" w:eastAsia="Times New Roman"/>
                <w:b w:val="0"/>
                <w:i w:val="0"/>
                <w:sz w:val="16"/>
              </w:rPr>
              <w:t>B0 no defense</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0.00</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0.00</w:t>
            </w:r>
          </w:p>
        </w:tc>
      </w:tr>
      <w:tr>
        <w:tc>
          <w:tcPr>
            <w:tcW w:type="dxa" w:w="2016"/>
          </w:tcPr>
          <w:p>
            <w:r/>
            <w:r>
              <w:rPr>
                <w:rFonts w:ascii="Times New Roman" w:hAnsi="Times New Roman" w:eastAsia="Times New Roman"/>
                <w:b w:val="0"/>
                <w:i w:val="0"/>
                <w:sz w:val="16"/>
              </w:rPr>
              <w:t>B1 static allowlist</w:t>
            </w:r>
          </w:p>
        </w:tc>
        <w:tc>
          <w:tcPr>
            <w:tcW w:type="dxa" w:w="2016"/>
          </w:tcPr>
          <w:p>
            <w:r/>
            <w:r>
              <w:rPr>
                <w:rFonts w:ascii="Times New Roman" w:hAnsi="Times New Roman" w:eastAsia="Times New Roman"/>
                <w:b w:val="0"/>
                <w:i w:val="0"/>
                <w:sz w:val="16"/>
              </w:rPr>
              <w:t>54.10</w:t>
            </w:r>
          </w:p>
        </w:tc>
        <w:tc>
          <w:tcPr>
            <w:tcW w:type="dxa" w:w="2016"/>
          </w:tcPr>
          <w:p>
            <w:r/>
            <w:r>
              <w:rPr>
                <w:rFonts w:ascii="Times New Roman" w:hAnsi="Times New Roman" w:eastAsia="Times New Roman"/>
                <w:b w:val="0"/>
                <w:i w:val="0"/>
                <w:sz w:val="16"/>
              </w:rPr>
              <w:t>45.90</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62.92</w:t>
            </w:r>
          </w:p>
        </w:tc>
      </w:tr>
      <w:tr>
        <w:tc>
          <w:tcPr>
            <w:tcW w:type="dxa" w:w="2016"/>
          </w:tcPr>
          <w:p>
            <w:r/>
            <w:r>
              <w:rPr>
                <w:rFonts w:ascii="Times New Roman" w:hAnsi="Times New Roman" w:eastAsia="Times New Roman"/>
                <w:b w:val="0"/>
                <w:i w:val="0"/>
                <w:sz w:val="16"/>
              </w:rPr>
              <w:t>B2 definition scan</w:t>
            </w:r>
          </w:p>
        </w:tc>
        <w:tc>
          <w:tcPr>
            <w:tcW w:type="dxa" w:w="2016"/>
          </w:tcPr>
          <w:p>
            <w:r/>
            <w:r>
              <w:rPr>
                <w:rFonts w:ascii="Times New Roman" w:hAnsi="Times New Roman" w:eastAsia="Times New Roman"/>
                <w:b w:val="0"/>
                <w:i w:val="0"/>
                <w:sz w:val="16"/>
              </w:rPr>
              <w:t>65.57</w:t>
            </w:r>
          </w:p>
        </w:tc>
        <w:tc>
          <w:tcPr>
            <w:tcW w:type="dxa" w:w="2016"/>
          </w:tcPr>
          <w:p>
            <w:r/>
            <w:r>
              <w:rPr>
                <w:rFonts w:ascii="Times New Roman" w:hAnsi="Times New Roman" w:eastAsia="Times New Roman"/>
                <w:b w:val="0"/>
                <w:i w:val="0"/>
                <w:sz w:val="16"/>
              </w:rPr>
              <w:t>34.43</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51.22</w:t>
            </w:r>
          </w:p>
        </w:tc>
      </w:tr>
      <w:tr>
        <w:tc>
          <w:tcPr>
            <w:tcW w:type="dxa" w:w="2016"/>
          </w:tcPr>
          <w:p>
            <w:r/>
            <w:r>
              <w:rPr>
                <w:rFonts w:ascii="Times New Roman" w:hAnsi="Times New Roman" w:eastAsia="Times New Roman"/>
                <w:b w:val="0"/>
                <w:i w:val="0"/>
                <w:sz w:val="16"/>
              </w:rPr>
              <w:t>B3 gateway filter</w:t>
            </w:r>
          </w:p>
        </w:tc>
        <w:tc>
          <w:tcPr>
            <w:tcW w:type="dxa" w:w="2016"/>
          </w:tcPr>
          <w:p>
            <w:r/>
            <w:r>
              <w:rPr>
                <w:rFonts w:ascii="Times New Roman" w:hAnsi="Times New Roman" w:eastAsia="Times New Roman"/>
                <w:b w:val="0"/>
                <w:i w:val="0"/>
                <w:sz w:val="16"/>
              </w:rPr>
              <w:t>24.59</w:t>
            </w:r>
          </w:p>
        </w:tc>
        <w:tc>
          <w:tcPr>
            <w:tcW w:type="dxa" w:w="2016"/>
          </w:tcPr>
          <w:p>
            <w:r/>
            <w:r>
              <w:rPr>
                <w:rFonts w:ascii="Times New Roman" w:hAnsi="Times New Roman" w:eastAsia="Times New Roman"/>
                <w:b w:val="0"/>
                <w:i w:val="0"/>
                <w:sz w:val="16"/>
              </w:rPr>
              <w:t>75.41</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85.98</w:t>
            </w:r>
          </w:p>
        </w:tc>
      </w:tr>
      <w:tr>
        <w:tc>
          <w:tcPr>
            <w:tcW w:type="dxa" w:w="2016"/>
          </w:tcPr>
          <w:p>
            <w:r/>
            <w:r>
              <w:rPr>
                <w:rFonts w:ascii="Times New Roman" w:hAnsi="Times New Roman" w:eastAsia="Times New Roman"/>
                <w:b w:val="0"/>
                <w:i w:val="0"/>
                <w:sz w:val="16"/>
              </w:rPr>
              <w:t>B4 full layer (limited-network)</w:t>
            </w:r>
          </w:p>
        </w:tc>
        <w:tc>
          <w:tcPr>
            <w:tcW w:type="dxa" w:w="2016"/>
          </w:tcPr>
          <w:p>
            <w:r/>
            <w:r>
              <w:rPr>
                <w:rFonts w:ascii="Times New Roman" w:hAnsi="Times New Roman" w:eastAsia="Times New Roman"/>
                <w:b w:val="0"/>
                <w:i w:val="0"/>
                <w:sz w:val="16"/>
              </w:rPr>
              <w:t>6.56</w:t>
            </w:r>
          </w:p>
        </w:tc>
        <w:tc>
          <w:tcPr>
            <w:tcW w:type="dxa" w:w="2016"/>
          </w:tcPr>
          <w:p>
            <w:r/>
            <w:r>
              <w:rPr>
                <w:rFonts w:ascii="Times New Roman" w:hAnsi="Times New Roman" w:eastAsia="Times New Roman"/>
                <w:b w:val="0"/>
                <w:i w:val="0"/>
                <w:sz w:val="16"/>
              </w:rPr>
              <w:t>93.44</w:t>
            </w:r>
          </w:p>
        </w:tc>
        <w:tc>
          <w:tcPr>
            <w:tcW w:type="dxa" w:w="2016"/>
          </w:tcPr>
          <w:p>
            <w:r/>
            <w:r>
              <w:rPr>
                <w:rFonts w:ascii="Times New Roman" w:hAnsi="Times New Roman" w:eastAsia="Times New Roman"/>
                <w:b w:val="0"/>
                <w:i w:val="0"/>
                <w:sz w:val="16"/>
              </w:rPr>
              <w:t>76.92</w:t>
            </w:r>
          </w:p>
        </w:tc>
        <w:tc>
          <w:tcPr>
            <w:tcW w:type="dxa" w:w="2016"/>
          </w:tcPr>
          <w:p>
            <w:r/>
            <w:r>
              <w:rPr>
                <w:rFonts w:ascii="Times New Roman" w:hAnsi="Times New Roman" w:eastAsia="Times New Roman"/>
                <w:b w:val="0"/>
                <w:i w:val="0"/>
                <w:sz w:val="16"/>
              </w:rPr>
              <w:t>91.94</w:t>
            </w:r>
          </w:p>
        </w:tc>
      </w:tr>
    </w:tbl>
    <w:p/>
    <w:p>
      <w:pPr>
        <w:spacing w:after="160" w:before="0"/>
      </w:pPr>
      <w:r>
        <w:rPr>
          <w:rFonts w:ascii="Times New Roman" w:hAnsi="Times New Roman" w:eastAsia="Times New Roman"/>
          <w:b/>
          <w:i w:val="0"/>
          <w:sz w:val="22"/>
        </w:rPr>
        <w:t>C. Hold-out: Template, Remapped-Name, and Organic-Style</w:t>
      </w:r>
    </w:p>
    <w:p>
      <w:pPr>
        <w:spacing w:after="120" w:before="0"/>
      </w:pPr>
      <w:r>
        <w:rPr>
          <w:rFonts w:ascii="Times New Roman" w:hAnsi="Times New Roman" w:eastAsia="Times New Roman"/>
          <w:b w:val="0"/>
          <w:i w:val="0"/>
          <w:sz w:val="20"/>
        </w:rPr>
        <w:t>We never tune on hold-outs. Remapping tool names raises limited-network ASR from 4.36% (template) to 11.48% and lowers TSR to 65.38%, showing name-heuristic brittleness. Separately, a 90-case organic-style hold-out (hand-authored MCPTox-like attacks and realistic benign workflows with diverse tool names) yields limited-network ASR 0% and TSR 100%, indicating that argument inspection, sensitive-path elevation, and fail-closed unknown-tool handling recover strong security–utility balance on non-template cases. The 20k corpus remains a complementary stress test of repeated patterns.</w:t>
      </w:r>
    </w:p>
    <w:p>
      <w:pPr>
        <w:spacing w:after="80" w:before="0"/>
        <w:jc w:val="center"/>
      </w:pPr>
      <w:r>
        <w:rPr>
          <w:rFonts w:ascii="Times New Roman" w:hAnsi="Times New Roman" w:eastAsia="Times New Roman"/>
          <w:b/>
          <w:i w:val="0"/>
          <w:sz w:val="18"/>
        </w:rPr>
        <w:t>TABLE VI. TEMPLATE STRESS VS REMAPPED-NAME UNSEEN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Profile</w:t>
            </w:r>
          </w:p>
        </w:tc>
        <w:tc>
          <w:tcPr>
            <w:tcW w:type="dxa" w:w="2016"/>
          </w:tcPr>
          <w:p>
            <w:r/>
            <w:r>
              <w:rPr>
                <w:rFonts w:ascii="Times New Roman" w:hAnsi="Times New Roman" w:eastAsia="Times New Roman"/>
                <w:b/>
                <w:i w:val="0"/>
                <w:sz w:val="16"/>
              </w:rPr>
              <w:t>Stress ASR</w:t>
            </w:r>
          </w:p>
        </w:tc>
        <w:tc>
          <w:tcPr>
            <w:tcW w:type="dxa" w:w="2016"/>
          </w:tcPr>
          <w:p>
            <w:r/>
            <w:r>
              <w:rPr>
                <w:rFonts w:ascii="Times New Roman" w:hAnsi="Times New Roman" w:eastAsia="Times New Roman"/>
                <w:b/>
                <w:i w:val="0"/>
                <w:sz w:val="16"/>
              </w:rPr>
              <w:t>Stress TSR</w:t>
            </w:r>
          </w:p>
        </w:tc>
        <w:tc>
          <w:tcPr>
            <w:tcW w:type="dxa" w:w="2016"/>
          </w:tcPr>
          <w:p>
            <w:r/>
            <w:r>
              <w:rPr>
                <w:rFonts w:ascii="Times New Roman" w:hAnsi="Times New Roman" w:eastAsia="Times New Roman"/>
                <w:b/>
                <w:i w:val="0"/>
                <w:sz w:val="16"/>
              </w:rPr>
              <w:t>Remap ASR</w:t>
            </w:r>
          </w:p>
        </w:tc>
        <w:tc>
          <w:tcPr>
            <w:tcW w:type="dxa" w:w="2016"/>
          </w:tcPr>
          <w:p>
            <w:r/>
            <w:r>
              <w:rPr>
                <w:rFonts w:ascii="Times New Roman" w:hAnsi="Times New Roman" w:eastAsia="Times New Roman"/>
                <w:b/>
                <w:i w:val="0"/>
                <w:sz w:val="16"/>
              </w:rPr>
              <w:t>Remap TSR</w:t>
            </w:r>
          </w:p>
        </w:tc>
      </w:tr>
      <w:tr>
        <w:tc>
          <w:tcPr>
            <w:tcW w:type="dxa" w:w="2016"/>
          </w:tcPr>
          <w:p>
            <w:r/>
            <w:r>
              <w:rPr>
                <w:rFonts w:ascii="Times New Roman" w:hAnsi="Times New Roman" w:eastAsia="Times New Roman"/>
                <w:b w:val="0"/>
                <w:i w:val="0"/>
                <w:sz w:val="16"/>
              </w:rPr>
              <w:t>read_only</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57.62</w:t>
            </w:r>
          </w:p>
        </w:tc>
        <w:tc>
          <w:tcPr>
            <w:tcW w:type="dxa" w:w="2016"/>
          </w:tcPr>
          <w:p>
            <w:r/>
            <w:r>
              <w:rPr>
                <w:rFonts w:ascii="Times New Roman" w:hAnsi="Times New Roman" w:eastAsia="Times New Roman"/>
                <w:b w:val="0"/>
                <w:i w:val="0"/>
                <w:sz w:val="16"/>
              </w:rPr>
              <w:t>8.20</w:t>
            </w:r>
          </w:p>
        </w:tc>
        <w:tc>
          <w:tcPr>
            <w:tcW w:type="dxa" w:w="2016"/>
          </w:tcPr>
          <w:p>
            <w:r/>
            <w:r>
              <w:rPr>
                <w:rFonts w:ascii="Times New Roman" w:hAnsi="Times New Roman" w:eastAsia="Times New Roman"/>
                <w:b w:val="0"/>
                <w:i w:val="0"/>
                <w:sz w:val="16"/>
              </w:rPr>
              <w:t>46.15</w:t>
            </w:r>
          </w:p>
        </w:tc>
      </w:tr>
      <w:tr>
        <w:tc>
          <w:tcPr>
            <w:tcW w:type="dxa" w:w="2016"/>
          </w:tcPr>
          <w:p>
            <w:r/>
            <w:r>
              <w:rPr>
                <w:rFonts w:ascii="Times New Roman" w:hAnsi="Times New Roman" w:eastAsia="Times New Roman"/>
                <w:b w:val="0"/>
                <w:i w:val="0"/>
                <w:sz w:val="16"/>
              </w:rPr>
              <w:t>limited_network</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78.74</w:t>
            </w:r>
          </w:p>
        </w:tc>
        <w:tc>
          <w:tcPr>
            <w:tcW w:type="dxa" w:w="2016"/>
          </w:tcPr>
          <w:p>
            <w:r/>
            <w:r>
              <w:rPr>
                <w:rFonts w:ascii="Times New Roman" w:hAnsi="Times New Roman" w:eastAsia="Times New Roman"/>
                <w:b w:val="0"/>
                <w:i w:val="0"/>
                <w:sz w:val="16"/>
              </w:rPr>
              <w:t>11.48</w:t>
            </w:r>
          </w:p>
        </w:tc>
        <w:tc>
          <w:tcPr>
            <w:tcW w:type="dxa" w:w="2016"/>
          </w:tcPr>
          <w:p>
            <w:r/>
            <w:r>
              <w:rPr>
                <w:rFonts w:ascii="Times New Roman" w:hAnsi="Times New Roman" w:eastAsia="Times New Roman"/>
                <w:b w:val="0"/>
                <w:i w:val="0"/>
                <w:sz w:val="16"/>
              </w:rPr>
              <w:t>65.38</w:t>
            </w:r>
          </w:p>
        </w:tc>
      </w:tr>
      <w:tr>
        <w:tc>
          <w:tcPr>
            <w:tcW w:type="dxa" w:w="2016"/>
          </w:tcPr>
          <w:p>
            <w:r/>
            <w:r>
              <w:rPr>
                <w:rFonts w:ascii="Times New Roman" w:hAnsi="Times New Roman" w:eastAsia="Times New Roman"/>
                <w:b w:val="0"/>
                <w:i w:val="0"/>
                <w:sz w:val="16"/>
              </w:rPr>
              <w:t>no_code_exec</w:t>
            </w:r>
          </w:p>
        </w:tc>
        <w:tc>
          <w:tcPr>
            <w:tcW w:type="dxa" w:w="2016"/>
          </w:tcPr>
          <w:p>
            <w:r/>
            <w:r>
              <w:rPr>
                <w:rFonts w:ascii="Times New Roman" w:hAnsi="Times New Roman" w:eastAsia="Times New Roman"/>
                <w:b w:val="0"/>
                <w:i w:val="0"/>
                <w:sz w:val="16"/>
              </w:rPr>
              <w:t>38.92</w:t>
            </w:r>
          </w:p>
        </w:tc>
        <w:tc>
          <w:tcPr>
            <w:tcW w:type="dxa" w:w="2016"/>
          </w:tcPr>
          <w:p>
            <w:r/>
            <w:r>
              <w:rPr>
                <w:rFonts w:ascii="Times New Roman" w:hAnsi="Times New Roman" w:eastAsia="Times New Roman"/>
                <w:b w:val="0"/>
                <w:i w:val="0"/>
                <w:sz w:val="16"/>
              </w:rPr>
              <w:t>97.32</w:t>
            </w:r>
          </w:p>
        </w:tc>
        <w:tc>
          <w:tcPr>
            <w:tcW w:type="dxa" w:w="2016"/>
          </w:tcPr>
          <w:p>
            <w:r/>
            <w:r>
              <w:rPr>
                <w:rFonts w:ascii="Times New Roman" w:hAnsi="Times New Roman" w:eastAsia="Times New Roman"/>
                <w:b w:val="0"/>
                <w:i w:val="0"/>
                <w:sz w:val="16"/>
              </w:rPr>
              <w:t>32.79</w:t>
            </w:r>
          </w:p>
        </w:tc>
        <w:tc>
          <w:tcPr>
            <w:tcW w:type="dxa" w:w="2016"/>
          </w:tcPr>
          <w:p>
            <w:r/>
            <w:r>
              <w:rPr>
                <w:rFonts w:ascii="Times New Roman" w:hAnsi="Times New Roman" w:eastAsia="Times New Roman"/>
                <w:b w:val="0"/>
                <w:i w:val="0"/>
                <w:sz w:val="16"/>
              </w:rPr>
              <w:t>65.38</w:t>
            </w:r>
          </w:p>
        </w:tc>
      </w:tr>
      <w:tr>
        <w:tc>
          <w:tcPr>
            <w:tcW w:type="dxa" w:w="2016"/>
          </w:tcPr>
          <w:p>
            <w:r/>
            <w:r>
              <w:rPr>
                <w:rFonts w:ascii="Times New Roman" w:hAnsi="Times New Roman" w:eastAsia="Times New Roman"/>
                <w:b w:val="0"/>
                <w:i w:val="0"/>
                <w:sz w:val="16"/>
              </w:rPr>
              <w:t>approval_gated</w:t>
            </w:r>
          </w:p>
        </w:tc>
        <w:tc>
          <w:tcPr>
            <w:tcW w:type="dxa" w:w="2016"/>
          </w:tcPr>
          <w:p>
            <w:r/>
            <w:r>
              <w:rPr>
                <w:rFonts w:ascii="Times New Roman" w:hAnsi="Times New Roman" w:eastAsia="Times New Roman"/>
                <w:b w:val="0"/>
                <w:i w:val="0"/>
                <w:sz w:val="16"/>
              </w:rPr>
              <w:t>30.28</w:t>
            </w:r>
          </w:p>
        </w:tc>
        <w:tc>
          <w:tcPr>
            <w:tcW w:type="dxa" w:w="2016"/>
          </w:tcPr>
          <w:p>
            <w:r/>
            <w:r>
              <w:rPr>
                <w:rFonts w:ascii="Times New Roman" w:hAnsi="Times New Roman" w:eastAsia="Times New Roman"/>
                <w:b w:val="0"/>
                <w:i w:val="0"/>
                <w:sz w:val="16"/>
              </w:rPr>
              <w:t>81.38</w:t>
            </w:r>
          </w:p>
        </w:tc>
        <w:tc>
          <w:tcPr>
            <w:tcW w:type="dxa" w:w="2016"/>
          </w:tcPr>
          <w:p>
            <w:r/>
            <w:r>
              <w:rPr>
                <w:rFonts w:ascii="Times New Roman" w:hAnsi="Times New Roman" w:eastAsia="Times New Roman"/>
                <w:b w:val="0"/>
                <w:i w:val="0"/>
                <w:sz w:val="16"/>
              </w:rPr>
              <w:t>32.79</w:t>
            </w:r>
          </w:p>
        </w:tc>
        <w:tc>
          <w:tcPr>
            <w:tcW w:type="dxa" w:w="2016"/>
          </w:tcPr>
          <w:p>
            <w:r/>
            <w:r>
              <w:rPr>
                <w:rFonts w:ascii="Times New Roman" w:hAnsi="Times New Roman" w:eastAsia="Times New Roman"/>
                <w:b w:val="0"/>
                <w:i w:val="0"/>
                <w:sz w:val="16"/>
              </w:rPr>
              <w:t>65.38</w:t>
            </w:r>
          </w:p>
        </w:tc>
      </w:tr>
    </w:tbl>
    <w:p/>
    <w:p>
      <w:pPr>
        <w:spacing w:after="80" w:before="0"/>
        <w:jc w:val="center"/>
      </w:pPr>
      <w:r>
        <w:rPr>
          <w:rFonts w:ascii="Times New Roman" w:hAnsi="Times New Roman" w:eastAsia="Times New Roman"/>
          <w:b/>
          <w:i w:val="0"/>
          <w:sz w:val="18"/>
        </w:rPr>
        <w:t>TABLE VI-B. ORGANIC-STYLE HOLD-OUT (90 CASES, NON-TEMPLATE)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Profile</w:t>
            </w:r>
          </w:p>
        </w:tc>
        <w:tc>
          <w:tcPr>
            <w:tcW w:type="dxa" w:w="2520"/>
          </w:tcPr>
          <w:p>
            <w:r/>
            <w:r>
              <w:rPr>
                <w:rFonts w:ascii="Times New Roman" w:hAnsi="Times New Roman" w:eastAsia="Times New Roman"/>
                <w:b/>
                <w:i w:val="0"/>
                <w:sz w:val="16"/>
              </w:rPr>
              <w:t>ASR (%)</w:t>
            </w:r>
          </w:p>
        </w:tc>
        <w:tc>
          <w:tcPr>
            <w:tcW w:type="dxa" w:w="2520"/>
          </w:tcPr>
          <w:p>
            <w:r/>
            <w:r>
              <w:rPr>
                <w:rFonts w:ascii="Times New Roman" w:hAnsi="Times New Roman" w:eastAsia="Times New Roman"/>
                <w:b/>
                <w:i w:val="0"/>
                <w:sz w:val="16"/>
              </w:rPr>
              <w:t>TSR (%)</w:t>
            </w:r>
          </w:p>
        </w:tc>
        <w:tc>
          <w:tcPr>
            <w:tcW w:type="dxa" w:w="2520"/>
          </w:tcPr>
          <w:p>
            <w:r/>
            <w:r>
              <w:rPr>
                <w:rFonts w:ascii="Times New Roman" w:hAnsi="Times New Roman" w:eastAsia="Times New Roman"/>
                <w:b/>
                <w:i w:val="0"/>
                <w:sz w:val="16"/>
              </w:rPr>
              <w:t>F1 (%)</w:t>
            </w:r>
          </w:p>
        </w:tc>
      </w:tr>
      <w:tr>
        <w:tc>
          <w:tcPr>
            <w:tcW w:type="dxa" w:w="2520"/>
          </w:tcPr>
          <w:p>
            <w:r/>
            <w:r>
              <w:rPr>
                <w:rFonts w:ascii="Times New Roman" w:hAnsi="Times New Roman" w:eastAsia="Times New Roman"/>
                <w:b w:val="0"/>
                <w:i w:val="0"/>
                <w:sz w:val="16"/>
              </w:rPr>
              <w:t>read_only</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75.00</w:t>
            </w:r>
          </w:p>
        </w:tc>
        <w:tc>
          <w:tcPr>
            <w:tcW w:type="dxa" w:w="2520"/>
          </w:tcPr>
          <w:p>
            <w:r/>
            <w:r>
              <w:rPr>
                <w:rFonts w:ascii="Times New Roman" w:hAnsi="Times New Roman" w:eastAsia="Times New Roman"/>
                <w:b w:val="0"/>
                <w:i w:val="0"/>
                <w:sz w:val="16"/>
              </w:rPr>
              <w:t>90.91</w:t>
            </w:r>
          </w:p>
        </w:tc>
      </w:tr>
      <w:tr>
        <w:tc>
          <w:tcPr>
            <w:tcW w:type="dxa" w:w="2520"/>
          </w:tcPr>
          <w:p>
            <w:r/>
            <w:r>
              <w:rPr>
                <w:rFonts w:ascii="Times New Roman" w:hAnsi="Times New Roman" w:eastAsia="Times New Roman"/>
                <w:b w:val="0"/>
                <w:i w:val="0"/>
                <w:sz w:val="16"/>
              </w:rPr>
              <w:t>limited_network</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100.00</w:t>
            </w:r>
          </w:p>
        </w:tc>
      </w:tr>
      <w:tr>
        <w:tc>
          <w:tcPr>
            <w:tcW w:type="dxa" w:w="2520"/>
          </w:tcPr>
          <w:p>
            <w:r/>
            <w:r>
              <w:rPr>
                <w:rFonts w:ascii="Times New Roman" w:hAnsi="Times New Roman" w:eastAsia="Times New Roman"/>
                <w:b w:val="0"/>
                <w:i w:val="0"/>
                <w:sz w:val="16"/>
              </w:rPr>
              <w:t>no_code_exec</w:t>
            </w:r>
          </w:p>
        </w:tc>
        <w:tc>
          <w:tcPr>
            <w:tcW w:type="dxa" w:w="2520"/>
          </w:tcPr>
          <w:p>
            <w:r/>
            <w:r>
              <w:rPr>
                <w:rFonts w:ascii="Times New Roman" w:hAnsi="Times New Roman" w:eastAsia="Times New Roman"/>
                <w:b w:val="0"/>
                <w:i w:val="0"/>
                <w:sz w:val="16"/>
              </w:rPr>
              <w:t>2.00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98.99</w:t>
            </w:r>
          </w:p>
        </w:tc>
      </w:tr>
      <w:tr>
        <w:tc>
          <w:tcPr>
            <w:tcW w:type="dxa" w:w="2520"/>
          </w:tcPr>
          <w:p>
            <w:r/>
            <w:r>
              <w:rPr>
                <w:rFonts w:ascii="Times New Roman" w:hAnsi="Times New Roman" w:eastAsia="Times New Roman"/>
                <w:b w:val="0"/>
                <w:i w:val="0"/>
                <w:sz w:val="16"/>
              </w:rPr>
              <w:t>approval_gated</w:t>
            </w:r>
          </w:p>
        </w:tc>
        <w:tc>
          <w:tcPr>
            <w:tcW w:type="dxa" w:w="2520"/>
          </w:tcPr>
          <w:p>
            <w:r/>
            <w:r>
              <w:rPr>
                <w:rFonts w:ascii="Times New Roman" w:hAnsi="Times New Roman" w:eastAsia="Times New Roman"/>
                <w:b w:val="0"/>
                <w:i w:val="0"/>
                <w:sz w:val="16"/>
              </w:rPr>
              <w:t>2.00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98.99</w:t>
            </w:r>
          </w:p>
        </w:tc>
      </w:tr>
    </w:tbl>
    <w:p/>
    <w:p>
      <w:pPr>
        <w:spacing w:after="160" w:before="0"/>
      </w:pPr>
      <w:r>
        <w:rPr>
          <w:rFonts w:ascii="Times New Roman" w:hAnsi="Times New Roman" w:eastAsia="Times New Roman"/>
          <w:b/>
          <w:i w:val="0"/>
          <w:sz w:val="22"/>
        </w:rPr>
        <w:t>D. Live Real MCP Deployment</w:t>
      </w:r>
    </w:p>
    <w:p>
      <w:pPr>
        <w:spacing w:after="120" w:before="0"/>
      </w:pPr>
      <w:r>
        <w:rPr>
          <w:rFonts w:ascii="Times New Roman" w:hAnsi="Times New Roman" w:eastAsia="Times New Roman"/>
          <w:b w:val="0"/>
          <w:i w:val="0"/>
          <w:sz w:val="20"/>
        </w:rPr>
        <w:t>We executed 25 workflows on a live path: MCP client harness → stdio enforcement proxy → real upstream MCP servers (official filesystem server; real fetch/git/shell servers). Under limited-network, all malicious workflows were denied before upstream execution (ASR 0%) while all benign workflows were allowed (TSR 100%). End-to-end mean latency was 54.8 ms/call (dominated by upstream I/O, not the decision path).</w:t>
      </w:r>
    </w:p>
    <w:p>
      <w:pPr>
        <w:spacing w:after="80" w:before="0"/>
        <w:jc w:val="center"/>
      </w:pPr>
      <w:r>
        <w:rPr>
          <w:rFonts w:ascii="Times New Roman" w:hAnsi="Times New Roman" w:eastAsia="Times New Roman"/>
          <w:b/>
          <w:i w:val="0"/>
          <w:sz w:val="18"/>
        </w:rPr>
        <w:t>TABLE VII. REAL MCP DEPLOYMENT RESULTS (LIVE)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eastAsia="Times New Roman"/>
                <w:b/>
                <w:i w:val="0"/>
                <w:sz w:val="16"/>
              </w:rPr>
              <w:t>Defense</w:t>
            </w:r>
          </w:p>
        </w:tc>
        <w:tc>
          <w:tcPr>
            <w:tcW w:type="dxa" w:w="1680"/>
          </w:tcPr>
          <w:p>
            <w:r/>
            <w:r>
              <w:rPr>
                <w:rFonts w:ascii="Times New Roman" w:hAnsi="Times New Roman" w:eastAsia="Times New Roman"/>
                <w:b/>
                <w:i w:val="0"/>
                <w:sz w:val="16"/>
              </w:rPr>
              <w:t>ASR (%)</w:t>
            </w:r>
          </w:p>
        </w:tc>
        <w:tc>
          <w:tcPr>
            <w:tcW w:type="dxa" w:w="1680"/>
          </w:tcPr>
          <w:p>
            <w:r/>
            <w:r>
              <w:rPr>
                <w:rFonts w:ascii="Times New Roman" w:hAnsi="Times New Roman" w:eastAsia="Times New Roman"/>
                <w:b/>
                <w:i w:val="0"/>
                <w:sz w:val="16"/>
              </w:rPr>
              <w:t>Block (%)</w:t>
            </w:r>
          </w:p>
        </w:tc>
        <w:tc>
          <w:tcPr>
            <w:tcW w:type="dxa" w:w="1680"/>
          </w:tcPr>
          <w:p>
            <w:r/>
            <w:r>
              <w:rPr>
                <w:rFonts w:ascii="Times New Roman" w:hAnsi="Times New Roman" w:eastAsia="Times New Roman"/>
                <w:b/>
                <w:i w:val="0"/>
                <w:sz w:val="16"/>
              </w:rPr>
              <w:t>TSR (%)</w:t>
            </w:r>
          </w:p>
        </w:tc>
        <w:tc>
          <w:tcPr>
            <w:tcW w:type="dxa" w:w="1680"/>
          </w:tcPr>
          <w:p>
            <w:r/>
            <w:r>
              <w:rPr>
                <w:rFonts w:ascii="Times New Roman" w:hAnsi="Times New Roman" w:eastAsia="Times New Roman"/>
                <w:b/>
                <w:i w:val="0"/>
                <w:sz w:val="16"/>
              </w:rPr>
              <w:t>F1 (%)</w:t>
            </w:r>
          </w:p>
        </w:tc>
        <w:tc>
          <w:tcPr>
            <w:tcW w:type="dxa" w:w="1680"/>
          </w:tcPr>
          <w:p>
            <w:r/>
            <w:r>
              <w:rPr>
                <w:rFonts w:ascii="Times New Roman" w:hAnsi="Times New Roman" w:eastAsia="Times New Roman"/>
                <w:b/>
                <w:i w:val="0"/>
                <w:sz w:val="16"/>
              </w:rPr>
              <w:t>Latency ms</w:t>
            </w:r>
          </w:p>
        </w:tc>
      </w:tr>
      <w:tr>
        <w:tc>
          <w:tcPr>
            <w:tcW w:type="dxa" w:w="1680"/>
          </w:tcPr>
          <w:p>
            <w:r/>
            <w:r>
              <w:rPr>
                <w:rFonts w:ascii="Times New Roman" w:hAnsi="Times New Roman" w:eastAsia="Times New Roman"/>
                <w:b w:val="0"/>
                <w:i w:val="0"/>
                <w:sz w:val="16"/>
              </w:rPr>
              <w:t>B0 no defense</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n/a</w:t>
            </w:r>
          </w:p>
        </w:tc>
      </w:tr>
      <w:tr>
        <w:tc>
          <w:tcPr>
            <w:tcW w:type="dxa" w:w="1680"/>
          </w:tcPr>
          <w:p>
            <w:r/>
            <w:r>
              <w:rPr>
                <w:rFonts w:ascii="Times New Roman" w:hAnsi="Times New Roman" w:eastAsia="Times New Roman"/>
                <w:b w:val="0"/>
                <w:i w:val="0"/>
                <w:sz w:val="16"/>
              </w:rPr>
              <w:t>B4 limited_network</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54.76</w:t>
            </w:r>
          </w:p>
        </w:tc>
      </w:tr>
      <w:tr>
        <w:tc>
          <w:tcPr>
            <w:tcW w:type="dxa" w:w="1680"/>
          </w:tcPr>
          <w:p>
            <w:r/>
            <w:r>
              <w:rPr>
                <w:rFonts w:ascii="Times New Roman" w:hAnsi="Times New Roman" w:eastAsia="Times New Roman"/>
                <w:b w:val="0"/>
                <w:i w:val="0"/>
                <w:sz w:val="16"/>
              </w:rPr>
              <w:t>B4 read_only</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76.92</w:t>
            </w:r>
          </w:p>
        </w:tc>
        <w:tc>
          <w:tcPr>
            <w:tcW w:type="dxa" w:w="1680"/>
          </w:tcPr>
          <w:p>
            <w:r/>
            <w:r>
              <w:rPr>
                <w:rFonts w:ascii="Times New Roman" w:hAnsi="Times New Roman" w:eastAsia="Times New Roman"/>
                <w:b w:val="0"/>
                <w:i w:val="0"/>
                <w:sz w:val="16"/>
              </w:rPr>
              <w:t>88.89</w:t>
            </w:r>
          </w:p>
        </w:tc>
        <w:tc>
          <w:tcPr>
            <w:tcW w:type="dxa" w:w="1680"/>
          </w:tcPr>
          <w:p>
            <w:r/>
            <w:r>
              <w:rPr>
                <w:rFonts w:ascii="Times New Roman" w:hAnsi="Times New Roman" w:eastAsia="Times New Roman"/>
                <w:b w:val="0"/>
                <w:i w:val="0"/>
                <w:sz w:val="16"/>
              </w:rPr>
              <w:t>8.72</w:t>
            </w:r>
          </w:p>
        </w:tc>
      </w:tr>
      <w:tr>
        <w:tc>
          <w:tcPr>
            <w:tcW w:type="dxa" w:w="1680"/>
          </w:tcPr>
          <w:p>
            <w:r/>
            <w:r>
              <w:rPr>
                <w:rFonts w:ascii="Times New Roman" w:hAnsi="Times New Roman" w:eastAsia="Times New Roman"/>
                <w:b w:val="0"/>
                <w:i w:val="0"/>
                <w:sz w:val="16"/>
              </w:rPr>
              <w:t>B4 no_code_exec</w:t>
            </w:r>
          </w:p>
        </w:tc>
        <w:tc>
          <w:tcPr>
            <w:tcW w:type="dxa" w:w="1680"/>
          </w:tcPr>
          <w:p>
            <w:r/>
            <w:r>
              <w:rPr>
                <w:rFonts w:ascii="Times New Roman" w:hAnsi="Times New Roman" w:eastAsia="Times New Roman"/>
                <w:b w:val="0"/>
                <w:i w:val="0"/>
                <w:sz w:val="16"/>
              </w:rPr>
              <w:t>16.67</w:t>
            </w:r>
          </w:p>
        </w:tc>
        <w:tc>
          <w:tcPr>
            <w:tcW w:type="dxa" w:w="1680"/>
          </w:tcPr>
          <w:p>
            <w:r/>
            <w:r>
              <w:rPr>
                <w:rFonts w:ascii="Times New Roman" w:hAnsi="Times New Roman" w:eastAsia="Times New Roman"/>
                <w:b w:val="0"/>
                <w:i w:val="0"/>
                <w:sz w:val="16"/>
              </w:rPr>
              <w:t>83.33</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90.91</w:t>
            </w:r>
          </w:p>
        </w:tc>
        <w:tc>
          <w:tcPr>
            <w:tcW w:type="dxa" w:w="1680"/>
          </w:tcPr>
          <w:p>
            <w:r/>
            <w:r>
              <w:rPr>
                <w:rFonts w:ascii="Times New Roman" w:hAnsi="Times New Roman" w:eastAsia="Times New Roman"/>
                <w:b w:val="0"/>
                <w:i w:val="0"/>
                <w:sz w:val="16"/>
              </w:rPr>
              <w:t>34.05</w:t>
            </w:r>
          </w:p>
        </w:tc>
      </w:tr>
      <w:tr>
        <w:tc>
          <w:tcPr>
            <w:tcW w:type="dxa" w:w="1680"/>
          </w:tcPr>
          <w:p>
            <w:r/>
            <w:r>
              <w:rPr>
                <w:rFonts w:ascii="Times New Roman" w:hAnsi="Times New Roman" w:eastAsia="Times New Roman"/>
                <w:b w:val="0"/>
                <w:i w:val="0"/>
                <w:sz w:val="16"/>
              </w:rPr>
              <w:t>B4 approval_gated</w:t>
            </w:r>
          </w:p>
        </w:tc>
        <w:tc>
          <w:tcPr>
            <w:tcW w:type="dxa" w:w="1680"/>
          </w:tcPr>
          <w:p>
            <w:r/>
            <w:r>
              <w:rPr>
                <w:rFonts w:ascii="Times New Roman" w:hAnsi="Times New Roman" w:eastAsia="Times New Roman"/>
                <w:b w:val="0"/>
                <w:i w:val="0"/>
                <w:sz w:val="16"/>
              </w:rPr>
              <w:t>8.33</w:t>
            </w:r>
          </w:p>
        </w:tc>
        <w:tc>
          <w:tcPr>
            <w:tcW w:type="dxa" w:w="1680"/>
          </w:tcPr>
          <w:p>
            <w:r/>
            <w:r>
              <w:rPr>
                <w:rFonts w:ascii="Times New Roman" w:hAnsi="Times New Roman" w:eastAsia="Times New Roman"/>
                <w:b w:val="0"/>
                <w:i w:val="0"/>
                <w:sz w:val="16"/>
              </w:rPr>
              <w:t>91.67</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95.65</w:t>
            </w:r>
          </w:p>
        </w:tc>
        <w:tc>
          <w:tcPr>
            <w:tcW w:type="dxa" w:w="1680"/>
          </w:tcPr>
          <w:p>
            <w:r/>
            <w:r>
              <w:rPr>
                <w:rFonts w:ascii="Times New Roman" w:hAnsi="Times New Roman" w:eastAsia="Times New Roman"/>
                <w:b w:val="0"/>
                <w:i w:val="0"/>
                <w:sz w:val="16"/>
              </w:rPr>
              <w:t>35.27</w:t>
            </w:r>
          </w:p>
        </w:tc>
      </w:tr>
    </w:tbl>
    <w:p/>
    <w:p>
      <w:pPr>
        <w:spacing w:after="160" w:before="0"/>
      </w:pPr>
      <w:r>
        <w:rPr>
          <w:rFonts w:ascii="Times New Roman" w:hAnsi="Times New Roman" w:eastAsia="Times New Roman"/>
          <w:b/>
          <w:i w:val="0"/>
          <w:sz w:val="22"/>
        </w:rPr>
        <w:t>E. Adaptive Attacks</w:t>
      </w:r>
    </w:p>
    <w:p>
      <w:pPr>
        <w:spacing w:after="120" w:before="0"/>
      </w:pPr>
      <w:r>
        <w:rPr>
          <w:rFonts w:ascii="Times New Roman" w:hAnsi="Times New Roman" w:eastAsia="Times New Roman"/>
          <w:b w:val="0"/>
          <w:i w:val="0"/>
          <w:sz w:val="20"/>
        </w:rPr>
        <w:t>Assuming attacker knowledge of Algorithm 1, we evaluate benign-looking names (e.g., sync_workspace), malice in arguments only, and light obfuscation. Limited-network and read-only achieve ASR 0% on this adaptive set; weaker profiles rise to 13.33%. B0 remains 100%.</w:t>
      </w:r>
    </w:p>
    <w:p>
      <w:pPr>
        <w:spacing w:after="80" w:before="0"/>
        <w:jc w:val="center"/>
      </w:pPr>
      <w:r>
        <w:rPr>
          <w:rFonts w:ascii="Times New Roman" w:hAnsi="Times New Roman" w:eastAsia="Times New Roman"/>
          <w:b/>
          <w:i w:val="0"/>
          <w:sz w:val="18"/>
        </w:rPr>
        <w:t>TABLE VIII. ADAPTIVE ASR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Profile</w:t>
            </w:r>
          </w:p>
        </w:tc>
        <w:tc>
          <w:tcPr>
            <w:tcW w:type="dxa" w:w="2520"/>
          </w:tcPr>
          <w:p>
            <w:r/>
            <w:r>
              <w:rPr>
                <w:rFonts w:ascii="Times New Roman" w:hAnsi="Times New Roman" w:eastAsia="Times New Roman"/>
                <w:b/>
                <w:i w:val="0"/>
                <w:sz w:val="16"/>
              </w:rPr>
              <w:t>ASR (%)</w:t>
            </w:r>
          </w:p>
        </w:tc>
        <w:tc>
          <w:tcPr>
            <w:tcW w:type="dxa" w:w="2520"/>
          </w:tcPr>
          <w:p>
            <w:r/>
            <w:r>
              <w:rPr>
                <w:rFonts w:ascii="Times New Roman" w:hAnsi="Times New Roman" w:eastAsia="Times New Roman"/>
                <w:b/>
                <w:i w:val="0"/>
                <w:sz w:val="16"/>
              </w:rPr>
              <w:t>TSR (%)</w:t>
            </w:r>
          </w:p>
        </w:tc>
        <w:tc>
          <w:tcPr>
            <w:tcW w:type="dxa" w:w="2520"/>
          </w:tcPr>
          <w:p>
            <w:r/>
            <w:r>
              <w:rPr>
                <w:rFonts w:ascii="Times New Roman" w:hAnsi="Times New Roman" w:eastAsia="Times New Roman"/>
                <w:b/>
                <w:i w:val="0"/>
                <w:sz w:val="16"/>
              </w:rPr>
              <w:t>F1 (%)</w:t>
            </w:r>
          </w:p>
        </w:tc>
      </w:tr>
      <w:tr>
        <w:tc>
          <w:tcPr>
            <w:tcW w:type="dxa" w:w="2520"/>
          </w:tcPr>
          <w:p>
            <w:r/>
            <w:r>
              <w:rPr>
                <w:rFonts w:ascii="Times New Roman" w:hAnsi="Times New Roman" w:eastAsia="Times New Roman"/>
                <w:b w:val="0"/>
                <w:i w:val="0"/>
                <w:sz w:val="16"/>
              </w:rPr>
              <w:t>read_only</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60.00</w:t>
            </w:r>
          </w:p>
        </w:tc>
        <w:tc>
          <w:tcPr>
            <w:tcW w:type="dxa" w:w="2520"/>
          </w:tcPr>
          <w:p>
            <w:r/>
            <w:r>
              <w:rPr>
                <w:rFonts w:ascii="Times New Roman" w:hAnsi="Times New Roman" w:eastAsia="Times New Roman"/>
                <w:b w:val="0"/>
                <w:i w:val="0"/>
                <w:sz w:val="16"/>
              </w:rPr>
              <w:t>93.75</w:t>
            </w:r>
          </w:p>
        </w:tc>
      </w:tr>
      <w:tr>
        <w:tc>
          <w:tcPr>
            <w:tcW w:type="dxa" w:w="2520"/>
          </w:tcPr>
          <w:p>
            <w:r/>
            <w:r>
              <w:rPr>
                <w:rFonts w:ascii="Times New Roman" w:hAnsi="Times New Roman" w:eastAsia="Times New Roman"/>
                <w:b w:val="0"/>
                <w:i w:val="0"/>
                <w:sz w:val="16"/>
              </w:rPr>
              <w:t>limited_network</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100.00</w:t>
            </w:r>
          </w:p>
        </w:tc>
      </w:tr>
      <w:tr>
        <w:tc>
          <w:tcPr>
            <w:tcW w:type="dxa" w:w="2520"/>
          </w:tcPr>
          <w:p>
            <w:r/>
            <w:r>
              <w:rPr>
                <w:rFonts w:ascii="Times New Roman" w:hAnsi="Times New Roman" w:eastAsia="Times New Roman"/>
                <w:b w:val="0"/>
                <w:i w:val="0"/>
                <w:sz w:val="16"/>
              </w:rPr>
              <w:t>no_code_exec</w:t>
            </w:r>
          </w:p>
        </w:tc>
        <w:tc>
          <w:tcPr>
            <w:tcW w:type="dxa" w:w="2520"/>
          </w:tcPr>
          <w:p>
            <w:r/>
            <w:r>
              <w:rPr>
                <w:rFonts w:ascii="Times New Roman" w:hAnsi="Times New Roman" w:eastAsia="Times New Roman"/>
                <w:b w:val="0"/>
                <w:i w:val="0"/>
                <w:sz w:val="16"/>
              </w:rPr>
              <w:t>13.33</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92.86</w:t>
            </w:r>
          </w:p>
        </w:tc>
      </w:tr>
      <w:tr>
        <w:tc>
          <w:tcPr>
            <w:tcW w:type="dxa" w:w="2520"/>
          </w:tcPr>
          <w:p>
            <w:r/>
            <w:r>
              <w:rPr>
                <w:rFonts w:ascii="Times New Roman" w:hAnsi="Times New Roman" w:eastAsia="Times New Roman"/>
                <w:b w:val="0"/>
                <w:i w:val="0"/>
                <w:sz w:val="16"/>
              </w:rPr>
              <w:t>approval_gated</w:t>
            </w:r>
          </w:p>
        </w:tc>
        <w:tc>
          <w:tcPr>
            <w:tcW w:type="dxa" w:w="2520"/>
          </w:tcPr>
          <w:p>
            <w:r/>
            <w:r>
              <w:rPr>
                <w:rFonts w:ascii="Times New Roman" w:hAnsi="Times New Roman" w:eastAsia="Times New Roman"/>
                <w:b w:val="0"/>
                <w:i w:val="0"/>
                <w:sz w:val="16"/>
              </w:rPr>
              <w:t>13.33</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92.86</w:t>
            </w:r>
          </w:p>
        </w:tc>
      </w:tr>
      <w:tr>
        <w:tc>
          <w:tcPr>
            <w:tcW w:type="dxa" w:w="2520"/>
          </w:tcPr>
          <w:p>
            <w:r/>
            <w:r>
              <w:rPr>
                <w:rFonts w:ascii="Times New Roman" w:hAnsi="Times New Roman" w:eastAsia="Times New Roman"/>
                <w:b w:val="0"/>
                <w:i w:val="0"/>
                <w:sz w:val="16"/>
              </w:rPr>
              <w:t>B0 no defense</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0.00</w:t>
            </w:r>
          </w:p>
        </w:tc>
      </w:tr>
    </w:tbl>
    <w:p/>
    <w:p>
      <w:pPr>
        <w:spacing w:after="160" w:before="0"/>
      </w:pPr>
      <w:r>
        <w:rPr>
          <w:rFonts w:ascii="Times New Roman" w:hAnsi="Times New Roman" w:eastAsia="Times New Roman"/>
          <w:b/>
          <w:i w:val="0"/>
          <w:sz w:val="22"/>
        </w:rPr>
        <w:t>F. Multi-step Escalation</w:t>
      </w:r>
    </w:p>
    <w:p>
      <w:pPr>
        <w:spacing w:after="120" w:before="0"/>
      </w:pPr>
      <w:r>
        <w:rPr>
          <w:rFonts w:ascii="Times New Roman" w:hAnsi="Times New Roman" w:eastAsia="Times New Roman"/>
          <w:b w:val="0"/>
          <w:i w:val="0"/>
          <w:sz w:val="20"/>
        </w:rPr>
        <w:t>We evaluate 13 attack chains (e.g., read secret → HTTP exfil; get_env → terminal) under per-call enforcement and an optional session-taint extension. No attack chain fully succeeded under any profile (per-call chain ASR 0/13; session-taint also 0/13).</w:t>
      </w:r>
    </w:p>
    <w:p>
      <w:pPr>
        <w:spacing w:after="80" w:before="0"/>
        <w:jc w:val="center"/>
      </w:pPr>
      <w:r>
        <w:rPr>
          <w:rFonts w:ascii="Times New Roman" w:hAnsi="Times New Roman" w:eastAsia="Times New Roman"/>
          <w:b/>
          <w:i w:val="0"/>
          <w:sz w:val="18"/>
        </w:rPr>
        <w:t>TABLE IX. MULTI-STEP ESCALATION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Profile</w:t>
            </w:r>
          </w:p>
        </w:tc>
        <w:tc>
          <w:tcPr>
            <w:tcW w:type="dxa" w:w="2520"/>
          </w:tcPr>
          <w:p>
            <w:r/>
            <w:r>
              <w:rPr>
                <w:rFonts w:ascii="Times New Roman" w:hAnsi="Times New Roman" w:eastAsia="Times New Roman"/>
                <w:b/>
                <w:i w:val="0"/>
                <w:sz w:val="16"/>
              </w:rPr>
              <w:t>Per-call chain ASR</w:t>
            </w:r>
          </w:p>
        </w:tc>
        <w:tc>
          <w:tcPr>
            <w:tcW w:type="dxa" w:w="2520"/>
          </w:tcPr>
          <w:p>
            <w:r/>
            <w:r>
              <w:rPr>
                <w:rFonts w:ascii="Times New Roman" w:hAnsi="Times New Roman" w:eastAsia="Times New Roman"/>
                <w:b/>
                <w:i w:val="0"/>
                <w:sz w:val="16"/>
              </w:rPr>
              <w:t>Session-taint chain ASR</w:t>
            </w:r>
          </w:p>
        </w:tc>
        <w:tc>
          <w:tcPr>
            <w:tcW w:type="dxa" w:w="2520"/>
          </w:tcPr>
          <w:p>
            <w:r/>
            <w:r>
              <w:rPr>
                <w:rFonts w:ascii="Times New Roman" w:hAnsi="Times New Roman" w:eastAsia="Times New Roman"/>
                <w:b/>
                <w:i w:val="0"/>
                <w:sz w:val="16"/>
              </w:rPr>
              <w:t>N attack chains</w:t>
            </w:r>
          </w:p>
        </w:tc>
      </w:tr>
      <w:tr>
        <w:tc>
          <w:tcPr>
            <w:tcW w:type="dxa" w:w="2520"/>
          </w:tcPr>
          <w:p>
            <w:r/>
            <w:r>
              <w:rPr>
                <w:rFonts w:ascii="Times New Roman" w:hAnsi="Times New Roman" w:eastAsia="Times New Roman"/>
                <w:b w:val="0"/>
                <w:i w:val="0"/>
                <w:sz w:val="16"/>
              </w:rPr>
              <w:t>read_only</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r>
        <w:tc>
          <w:tcPr>
            <w:tcW w:type="dxa" w:w="2520"/>
          </w:tcPr>
          <w:p>
            <w:r/>
            <w:r>
              <w:rPr>
                <w:rFonts w:ascii="Times New Roman" w:hAnsi="Times New Roman" w:eastAsia="Times New Roman"/>
                <w:b w:val="0"/>
                <w:i w:val="0"/>
                <w:sz w:val="16"/>
              </w:rPr>
              <w:t>limited_network</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r>
        <w:tc>
          <w:tcPr>
            <w:tcW w:type="dxa" w:w="2520"/>
          </w:tcPr>
          <w:p>
            <w:r/>
            <w:r>
              <w:rPr>
                <w:rFonts w:ascii="Times New Roman" w:hAnsi="Times New Roman" w:eastAsia="Times New Roman"/>
                <w:b w:val="0"/>
                <w:i w:val="0"/>
                <w:sz w:val="16"/>
              </w:rPr>
              <w:t>no_code_exec</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r>
        <w:tc>
          <w:tcPr>
            <w:tcW w:type="dxa" w:w="2520"/>
          </w:tcPr>
          <w:p>
            <w:r/>
            <w:r>
              <w:rPr>
                <w:rFonts w:ascii="Times New Roman" w:hAnsi="Times New Roman" w:eastAsia="Times New Roman"/>
                <w:b w:val="0"/>
                <w:i w:val="0"/>
                <w:sz w:val="16"/>
              </w:rPr>
              <w:t>approval_gated</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bl>
    <w:p/>
    <w:p>
      <w:pPr>
        <w:spacing w:after="160" w:before="0"/>
      </w:pPr>
      <w:r>
        <w:rPr>
          <w:rFonts w:ascii="Times New Roman" w:hAnsi="Times New Roman" w:eastAsia="Times New Roman"/>
          <w:b/>
          <w:i w:val="0"/>
          <w:sz w:val="22"/>
        </w:rPr>
        <w:t>G. Ablation</w:t>
      </w:r>
    </w:p>
    <w:p>
      <w:pPr>
        <w:spacing w:after="120" w:before="0"/>
      </w:pPr>
      <w:r>
        <w:rPr>
          <w:rFonts w:ascii="Times New Roman" w:hAnsi="Times New Roman" w:eastAsia="Times New Roman"/>
          <w:b w:val="0"/>
          <w:i w:val="0"/>
          <w:sz w:val="20"/>
        </w:rPr>
        <w:t>Removing domain allow-listing raises ASR from 6.56% to 27.87%; removing sensitive-path elevation raises ASR to 18.03%. Removing name heuristics slightly lowers ASR but collapses TSR (42.31%) due to over-denial from fail-closed unknowns. Argument-inspection ablation is muted on this pilot because many attacks are also name-tagged; adaptive/unseen sets better isolate argument value.</w:t>
      </w:r>
    </w:p>
    <w:p>
      <w:pPr>
        <w:spacing w:after="80" w:before="0"/>
        <w:jc w:val="center"/>
      </w:pPr>
      <w:r>
        <w:rPr>
          <w:rFonts w:ascii="Times New Roman" w:hAnsi="Times New Roman" w:eastAsia="Times New Roman"/>
          <w:b/>
          <w:i w:val="0"/>
          <w:sz w:val="18"/>
        </w:rPr>
        <w:t>TABLE X. ABLATION (LIMITED-NETWORK BASE, PILOT_87)</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Config</w:t>
            </w:r>
          </w:p>
        </w:tc>
        <w:tc>
          <w:tcPr>
            <w:tcW w:type="dxa" w:w="2520"/>
          </w:tcPr>
          <w:p>
            <w:r/>
            <w:r>
              <w:rPr>
                <w:rFonts w:ascii="Times New Roman" w:hAnsi="Times New Roman" w:eastAsia="Times New Roman"/>
                <w:b/>
                <w:i w:val="0"/>
                <w:sz w:val="16"/>
              </w:rPr>
              <w:t>ASR (%)</w:t>
            </w:r>
          </w:p>
        </w:tc>
        <w:tc>
          <w:tcPr>
            <w:tcW w:type="dxa" w:w="2520"/>
          </w:tcPr>
          <w:p>
            <w:r/>
            <w:r>
              <w:rPr>
                <w:rFonts w:ascii="Times New Roman" w:hAnsi="Times New Roman" w:eastAsia="Times New Roman"/>
                <w:b/>
                <w:i w:val="0"/>
                <w:sz w:val="16"/>
              </w:rPr>
              <w:t>TSR (%)</w:t>
            </w:r>
          </w:p>
        </w:tc>
        <w:tc>
          <w:tcPr>
            <w:tcW w:type="dxa" w:w="2520"/>
          </w:tcPr>
          <w:p>
            <w:r/>
            <w:r>
              <w:rPr>
                <w:rFonts w:ascii="Times New Roman" w:hAnsi="Times New Roman" w:eastAsia="Times New Roman"/>
                <w:b/>
                <w:i w:val="0"/>
                <w:sz w:val="16"/>
              </w:rPr>
              <w:t>F1 (%)</w:t>
            </w:r>
          </w:p>
        </w:tc>
      </w:tr>
      <w:tr>
        <w:tc>
          <w:tcPr>
            <w:tcW w:type="dxa" w:w="2520"/>
          </w:tcPr>
          <w:p>
            <w:r/>
            <w:r>
              <w:rPr>
                <w:rFonts w:ascii="Times New Roman" w:hAnsi="Times New Roman" w:eastAsia="Times New Roman"/>
                <w:b w:val="0"/>
                <w:i w:val="0"/>
                <w:sz w:val="16"/>
              </w:rPr>
              <w:t>Full system</w:t>
            </w:r>
          </w:p>
        </w:tc>
        <w:tc>
          <w:tcPr>
            <w:tcW w:type="dxa" w:w="2520"/>
          </w:tcPr>
          <w:p>
            <w:r/>
            <w:r>
              <w:rPr>
                <w:rFonts w:ascii="Times New Roman" w:hAnsi="Times New Roman" w:eastAsia="Times New Roman"/>
                <w:b w:val="0"/>
                <w:i w:val="0"/>
                <w:sz w:val="16"/>
              </w:rPr>
              <w:t>6.56</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91.94</w:t>
            </w:r>
          </w:p>
        </w:tc>
      </w:tr>
      <w:tr>
        <w:tc>
          <w:tcPr>
            <w:tcW w:type="dxa" w:w="2520"/>
          </w:tcPr>
          <w:p>
            <w:r/>
            <w:r>
              <w:rPr>
                <w:rFonts w:ascii="Times New Roman" w:hAnsi="Times New Roman" w:eastAsia="Times New Roman"/>
                <w:b w:val="0"/>
                <w:i w:val="0"/>
                <w:sz w:val="16"/>
              </w:rPr>
              <w:t>− argument inspection</w:t>
            </w:r>
          </w:p>
        </w:tc>
        <w:tc>
          <w:tcPr>
            <w:tcW w:type="dxa" w:w="2520"/>
          </w:tcPr>
          <w:p>
            <w:r/>
            <w:r>
              <w:rPr>
                <w:rFonts w:ascii="Times New Roman" w:hAnsi="Times New Roman" w:eastAsia="Times New Roman"/>
                <w:b w:val="0"/>
                <w:i w:val="0"/>
                <w:sz w:val="16"/>
              </w:rPr>
              <w:t>6.56</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91.94</w:t>
            </w:r>
          </w:p>
        </w:tc>
      </w:tr>
      <w:tr>
        <w:tc>
          <w:tcPr>
            <w:tcW w:type="dxa" w:w="2520"/>
          </w:tcPr>
          <w:p>
            <w:r/>
            <w:r>
              <w:rPr>
                <w:rFonts w:ascii="Times New Roman" w:hAnsi="Times New Roman" w:eastAsia="Times New Roman"/>
                <w:b w:val="0"/>
                <w:i w:val="0"/>
                <w:sz w:val="16"/>
              </w:rPr>
              <w:t>− sensitive-path elevation</w:t>
            </w:r>
          </w:p>
        </w:tc>
        <w:tc>
          <w:tcPr>
            <w:tcW w:type="dxa" w:w="2520"/>
          </w:tcPr>
          <w:p>
            <w:r/>
            <w:r>
              <w:rPr>
                <w:rFonts w:ascii="Times New Roman" w:hAnsi="Times New Roman" w:eastAsia="Times New Roman"/>
                <w:b w:val="0"/>
                <w:i w:val="0"/>
                <w:sz w:val="16"/>
              </w:rPr>
              <w:t>18.03</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85.47</w:t>
            </w:r>
          </w:p>
        </w:tc>
      </w:tr>
      <w:tr>
        <w:tc>
          <w:tcPr>
            <w:tcW w:type="dxa" w:w="2520"/>
          </w:tcPr>
          <w:p>
            <w:r/>
            <w:r>
              <w:rPr>
                <w:rFonts w:ascii="Times New Roman" w:hAnsi="Times New Roman" w:eastAsia="Times New Roman"/>
                <w:b w:val="0"/>
                <w:i w:val="0"/>
                <w:sz w:val="16"/>
              </w:rPr>
              <w:t>− domain allow-list</w:t>
            </w:r>
          </w:p>
        </w:tc>
        <w:tc>
          <w:tcPr>
            <w:tcW w:type="dxa" w:w="2520"/>
          </w:tcPr>
          <w:p>
            <w:r/>
            <w:r>
              <w:rPr>
                <w:rFonts w:ascii="Times New Roman" w:hAnsi="Times New Roman" w:eastAsia="Times New Roman"/>
                <w:b w:val="0"/>
                <w:i w:val="0"/>
                <w:sz w:val="16"/>
              </w:rPr>
              <w:t>27.87</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79.28</w:t>
            </w:r>
          </w:p>
        </w:tc>
      </w:tr>
      <w:tr>
        <w:tc>
          <w:tcPr>
            <w:tcW w:type="dxa" w:w="2520"/>
          </w:tcPr>
          <w:p>
            <w:r/>
            <w:r>
              <w:rPr>
                <w:rFonts w:ascii="Times New Roman" w:hAnsi="Times New Roman" w:eastAsia="Times New Roman"/>
                <w:b w:val="0"/>
                <w:i w:val="0"/>
                <w:sz w:val="16"/>
              </w:rPr>
              <w:t>− name heuristics</w:t>
            </w:r>
          </w:p>
        </w:tc>
        <w:tc>
          <w:tcPr>
            <w:tcW w:type="dxa" w:w="2520"/>
          </w:tcPr>
          <w:p>
            <w:r/>
            <w:r>
              <w:rPr>
                <w:rFonts w:ascii="Times New Roman" w:hAnsi="Times New Roman" w:eastAsia="Times New Roman"/>
                <w:b w:val="0"/>
                <w:i w:val="0"/>
                <w:sz w:val="16"/>
              </w:rPr>
              <w:t>4.92</w:t>
            </w:r>
          </w:p>
        </w:tc>
        <w:tc>
          <w:tcPr>
            <w:tcW w:type="dxa" w:w="2520"/>
          </w:tcPr>
          <w:p>
            <w:r/>
            <w:r>
              <w:rPr>
                <w:rFonts w:ascii="Times New Roman" w:hAnsi="Times New Roman" w:eastAsia="Times New Roman"/>
                <w:b w:val="0"/>
                <w:i w:val="0"/>
                <w:sz w:val="16"/>
              </w:rPr>
              <w:t>42.31</w:t>
            </w:r>
          </w:p>
        </w:tc>
        <w:tc>
          <w:tcPr>
            <w:tcW w:type="dxa" w:w="2520"/>
          </w:tcPr>
          <w:p>
            <w:r/>
            <w:r>
              <w:rPr>
                <w:rFonts w:ascii="Times New Roman" w:hAnsi="Times New Roman" w:eastAsia="Times New Roman"/>
                <w:b w:val="0"/>
                <w:i w:val="0"/>
                <w:sz w:val="16"/>
              </w:rPr>
              <w:t>86.57</w:t>
            </w:r>
          </w:p>
        </w:tc>
      </w:tr>
      <w:tr>
        <w:tc>
          <w:tcPr>
            <w:tcW w:type="dxa" w:w="2520"/>
          </w:tcPr>
          <w:p>
            <w:r/>
            <w:r>
              <w:rPr>
                <w:rFonts w:ascii="Times New Roman" w:hAnsi="Times New Roman" w:eastAsia="Times New Roman"/>
                <w:b w:val="0"/>
                <w:i w:val="0"/>
                <w:sz w:val="16"/>
              </w:rPr>
              <w:t>− default-deny (default allow)</w:t>
            </w:r>
          </w:p>
        </w:tc>
        <w:tc>
          <w:tcPr>
            <w:tcW w:type="dxa" w:w="2520"/>
          </w:tcPr>
          <w:p>
            <w:r/>
            <w:r>
              <w:rPr>
                <w:rFonts w:ascii="Times New Roman" w:hAnsi="Times New Roman" w:eastAsia="Times New Roman"/>
                <w:b w:val="0"/>
                <w:i w:val="0"/>
                <w:sz w:val="16"/>
              </w:rPr>
              <w:t>6.56</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91.94</w:t>
            </w:r>
          </w:p>
        </w:tc>
      </w:tr>
    </w:tbl>
    <w:p/>
    <w:p>
      <w:pPr>
        <w:spacing w:after="160" w:before="0"/>
      </w:pPr>
      <w:r>
        <w:rPr>
          <w:rFonts w:ascii="Times New Roman" w:hAnsi="Times New Roman" w:eastAsia="Times New Roman"/>
          <w:b/>
          <w:i w:val="0"/>
          <w:sz w:val="22"/>
        </w:rPr>
        <w:t>H. Statistics, Latency, and False Positives</w:t>
      </w:r>
    </w:p>
    <w:p>
      <w:pPr>
        <w:spacing w:after="120" w:before="0"/>
      </w:pPr>
      <w:r>
        <w:rPr>
          <w:rFonts w:ascii="Times New Roman" w:hAnsi="Times New Roman" w:eastAsia="Times New Roman"/>
          <w:b w:val="0"/>
          <w:i w:val="0"/>
          <w:sz w:val="20"/>
        </w:rPr>
        <w:t>Bootstrap (1000 resamples) on limited-network / pilot_87: ASR 6.56% (mean±std 6.48±3.16; 95% CI [1.59, 13.33]); TSR 76.92% (77.27±8.22; [59.26, 92.00]); F1 91.94% (91.97±2.60; [86.44, 96.45]). Decision-path latency: mean 0.46 ms, median 0.43 ms, p95 0.70 ms, p99 0.88 ms (serialization excluded).</w:t>
      </w:r>
    </w:p>
    <w:p>
      <w:pPr>
        <w:spacing w:after="80" w:before="0"/>
        <w:jc w:val="center"/>
      </w:pPr>
      <w:r>
        <w:rPr>
          <w:rFonts w:ascii="Times New Roman" w:hAnsi="Times New Roman" w:eastAsia="Times New Roman"/>
          <w:b/>
          <w:i w:val="0"/>
          <w:sz w:val="18"/>
        </w:rPr>
        <w:t>TABLE XI. LATENCY / ENVIRONMENT</w:t>
      </w:r>
    </w:p>
    <w:tbl>
      <w:tblPr>
        <w:tblStyle w:val="TableGrid"/>
        <w:tblW w:type="auto" w:w="0"/>
        <w:tblLook w:firstColumn="1" w:firstRow="1" w:lastColumn="0" w:lastRow="0" w:noHBand="0" w:noVBand="1" w:val="04A0"/>
      </w:tblPr>
      <w:tblGrid>
        <w:gridCol w:w="5040"/>
        <w:gridCol w:w="5040"/>
      </w:tblGrid>
      <w:tr>
        <w:tc>
          <w:tcPr>
            <w:tcW w:type="dxa" w:w="5040"/>
          </w:tcPr>
          <w:p>
            <w:r/>
            <w:r>
              <w:rPr>
                <w:rFonts w:ascii="Times New Roman" w:hAnsi="Times New Roman" w:eastAsia="Times New Roman"/>
                <w:b/>
                <w:i w:val="0"/>
                <w:sz w:val="16"/>
              </w:rPr>
              <w:t>Metric</w:t>
            </w:r>
          </w:p>
        </w:tc>
        <w:tc>
          <w:tcPr>
            <w:tcW w:type="dxa" w:w="5040"/>
          </w:tcPr>
          <w:p>
            <w:r/>
            <w:r>
              <w:rPr>
                <w:rFonts w:ascii="Times New Roman" w:hAnsi="Times New Roman" w:eastAsia="Times New Roman"/>
                <w:b/>
                <w:i w:val="0"/>
                <w:sz w:val="16"/>
              </w:rPr>
              <w:t>Value</w:t>
            </w:r>
          </w:p>
        </w:tc>
      </w:tr>
      <w:tr>
        <w:tc>
          <w:tcPr>
            <w:tcW w:type="dxa" w:w="5040"/>
          </w:tcPr>
          <w:p>
            <w:r/>
            <w:r>
              <w:rPr>
                <w:rFonts w:ascii="Times New Roman" w:hAnsi="Times New Roman" w:eastAsia="Times New Roman"/>
                <w:b w:val="0"/>
                <w:i w:val="0"/>
                <w:sz w:val="16"/>
              </w:rPr>
              <w:t>OS / Python</w:t>
            </w:r>
          </w:p>
        </w:tc>
        <w:tc>
          <w:tcPr>
            <w:tcW w:type="dxa" w:w="5040"/>
          </w:tcPr>
          <w:p>
            <w:r/>
            <w:r>
              <w:rPr>
                <w:rFonts w:ascii="Times New Roman" w:hAnsi="Times New Roman" w:eastAsia="Times New Roman"/>
                <w:b w:val="0"/>
                <w:i w:val="0"/>
                <w:sz w:val="16"/>
              </w:rPr>
              <w:t>Windows 10 / 3.11.9</w:t>
            </w:r>
          </w:p>
        </w:tc>
      </w:tr>
      <w:tr>
        <w:tc>
          <w:tcPr>
            <w:tcW w:type="dxa" w:w="5040"/>
          </w:tcPr>
          <w:p>
            <w:r/>
            <w:r>
              <w:rPr>
                <w:rFonts w:ascii="Times New Roman" w:hAnsi="Times New Roman" w:eastAsia="Times New Roman"/>
                <w:b w:val="0"/>
                <w:i w:val="0"/>
                <w:sz w:val="16"/>
              </w:rPr>
              <w:t>N calls (warm)</w:t>
            </w:r>
          </w:p>
        </w:tc>
        <w:tc>
          <w:tcPr>
            <w:tcW w:type="dxa" w:w="5040"/>
          </w:tcPr>
          <w:p>
            <w:r/>
            <w:r>
              <w:rPr>
                <w:rFonts w:ascii="Times New Roman" w:hAnsi="Times New Roman" w:eastAsia="Times New Roman"/>
                <w:b w:val="0"/>
                <w:i w:val="0"/>
                <w:sz w:val="16"/>
              </w:rPr>
              <w:t>435</w:t>
            </w:r>
          </w:p>
        </w:tc>
      </w:tr>
      <w:tr>
        <w:tc>
          <w:tcPr>
            <w:tcW w:type="dxa" w:w="5040"/>
          </w:tcPr>
          <w:p>
            <w:r/>
            <w:r>
              <w:rPr>
                <w:rFonts w:ascii="Times New Roman" w:hAnsi="Times New Roman" w:eastAsia="Times New Roman"/>
                <w:b w:val="0"/>
                <w:i w:val="0"/>
                <w:sz w:val="16"/>
              </w:rPr>
              <w:t>Mean / Median / P95 / P99 (ms)</w:t>
            </w:r>
          </w:p>
        </w:tc>
        <w:tc>
          <w:tcPr>
            <w:tcW w:type="dxa" w:w="5040"/>
          </w:tcPr>
          <w:p>
            <w:r/>
            <w:r>
              <w:rPr>
                <w:rFonts w:ascii="Times New Roman" w:hAnsi="Times New Roman" w:eastAsia="Times New Roman"/>
                <w:b w:val="0"/>
                <w:i w:val="0"/>
                <w:sz w:val="16"/>
              </w:rPr>
              <w:t>0.46 / 0.43 / 0.70 / 0.88</w:t>
            </w:r>
          </w:p>
        </w:tc>
      </w:tr>
      <w:tr>
        <w:tc>
          <w:tcPr>
            <w:tcW w:type="dxa" w:w="5040"/>
          </w:tcPr>
          <w:p>
            <w:r/>
            <w:r>
              <w:rPr>
                <w:rFonts w:ascii="Times New Roman" w:hAnsi="Times New Roman" w:eastAsia="Times New Roman"/>
                <w:b w:val="0"/>
                <w:i w:val="0"/>
                <w:sz w:val="16"/>
              </w:rPr>
              <w:t>Includes MCP serialization?</w:t>
            </w:r>
          </w:p>
        </w:tc>
        <w:tc>
          <w:tcPr>
            <w:tcW w:type="dxa" w:w="5040"/>
          </w:tcPr>
          <w:p>
            <w:r/>
            <w:r>
              <w:rPr>
                <w:rFonts w:ascii="Times New Roman" w:hAnsi="Times New Roman" w:eastAsia="Times New Roman"/>
                <w:b w:val="0"/>
                <w:i w:val="0"/>
                <w:sz w:val="16"/>
              </w:rPr>
              <w:t>No (decision path)</w:t>
            </w:r>
          </w:p>
        </w:tc>
      </w:tr>
      <w:tr>
        <w:tc>
          <w:tcPr>
            <w:tcW w:type="dxa" w:w="5040"/>
          </w:tcPr>
          <w:p>
            <w:r/>
            <w:r>
              <w:rPr>
                <w:rFonts w:ascii="Times New Roman" w:hAnsi="Times New Roman" w:eastAsia="Times New Roman"/>
                <w:b w:val="0"/>
                <w:i w:val="0"/>
                <w:sz w:val="16"/>
              </w:rPr>
              <w:t>Live E2E mean (limited-network)</w:t>
            </w:r>
          </w:p>
        </w:tc>
        <w:tc>
          <w:tcPr>
            <w:tcW w:type="dxa" w:w="5040"/>
          </w:tcPr>
          <w:p>
            <w:r/>
            <w:r>
              <w:rPr>
                <w:rFonts w:ascii="Times New Roman" w:hAnsi="Times New Roman" w:eastAsia="Times New Roman"/>
                <w:b w:val="0"/>
                <w:i w:val="0"/>
                <w:sz w:val="16"/>
              </w:rPr>
              <w:t>54.76 ms</w:t>
            </w:r>
          </w:p>
        </w:tc>
      </w:tr>
    </w:tbl>
    <w:p/>
    <w:p>
      <w:pPr>
        <w:spacing w:after="120" w:before="0"/>
      </w:pPr>
      <w:r>
        <w:rPr>
          <w:rFonts w:ascii="Times New Roman" w:hAnsi="Times New Roman" w:eastAsia="Times New Roman"/>
          <w:b w:val="0"/>
          <w:i w:val="0"/>
          <w:sz w:val="20"/>
        </w:rPr>
        <w:t>False positives under limited-network on pilot benign cases: 6/26 blocked, all writes—an expected policy cost, not an inference bug. Operators needing writes should use no-code-exec or approval-gated with human ASK.</w:t>
      </w:r>
    </w:p>
    <w:p>
      <w:pPr>
        <w:spacing w:after="160" w:before="0"/>
      </w:pPr>
      <w:r>
        <w:rPr>
          <w:rFonts w:ascii="Times New Roman" w:hAnsi="Times New Roman" w:eastAsia="Times New Roman"/>
          <w:b/>
          <w:i w:val="0"/>
          <w:sz w:val="22"/>
        </w:rPr>
        <w:t>I. ASK / Human-in-the-loop</w:t>
      </w:r>
    </w:p>
    <w:p>
      <w:pPr>
        <w:spacing w:after="120" w:before="0"/>
      </w:pPr>
      <w:r>
        <w:rPr>
          <w:rFonts w:ascii="Times New Roman" w:hAnsi="Times New Roman" w:eastAsia="Times New Roman"/>
          <w:b w:val="0"/>
          <w:i w:val="0"/>
          <w:sz w:val="20"/>
        </w:rPr>
        <w:t>On approval-gated with 20 prompts (12 triggered ASK), auto-DENY yields ASR 9.09% / TSR 66.67%; auto-ALLOW yields ASR 90.91% / TSR 100%. An author-as-user protocol (approve only clear project writes; deny secrets/shell/attacker patterns) achieves approval rate 25%, ASR 9.09%, TSR 100%, and mean extra ASK time ~50 ms. Residual ASR under approval-gated is mainly unconstrained attacker HTTP that never enters ASK—addressable by tighter net.http rules (as in limited-network).</w:t>
      </w:r>
    </w:p>
    <w:p>
      <w:pPr>
        <w:spacing w:after="80" w:before="0"/>
        <w:jc w:val="center"/>
      </w:pPr>
      <w:r>
        <w:rPr>
          <w:rFonts w:ascii="Times New Roman" w:hAnsi="Times New Roman" w:eastAsia="Times New Roman"/>
          <w:b/>
          <w:i w:val="0"/>
          <w:sz w:val="18"/>
        </w:rPr>
        <w:t>TABLE XII. ASK / HUMAN-IN-THE-LOOP</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
              <w:rPr>
                <w:rFonts w:ascii="Times New Roman" w:hAnsi="Times New Roman" w:eastAsia="Times New Roman"/>
                <w:b/>
                <w:i w:val="0"/>
                <w:sz w:val="16"/>
              </w:rPr>
              <w:t>Mode</w:t>
            </w:r>
          </w:p>
        </w:tc>
        <w:tc>
          <w:tcPr>
            <w:tcW w:type="dxa" w:w="1440"/>
          </w:tcPr>
          <w:p>
            <w:r/>
            <w:r>
              <w:rPr>
                <w:rFonts w:ascii="Times New Roman" w:hAnsi="Times New Roman" w:eastAsia="Times New Roman"/>
                <w:b/>
                <w:i w:val="0"/>
                <w:sz w:val="16"/>
              </w:rPr>
              <w:t>ASK prompts</w:t>
            </w:r>
          </w:p>
        </w:tc>
        <w:tc>
          <w:tcPr>
            <w:tcW w:type="dxa" w:w="1440"/>
          </w:tcPr>
          <w:p>
            <w:r/>
            <w:r>
              <w:rPr>
                <w:rFonts w:ascii="Times New Roman" w:hAnsi="Times New Roman" w:eastAsia="Times New Roman"/>
                <w:b/>
                <w:i w:val="0"/>
                <w:sz w:val="16"/>
              </w:rPr>
              <w:t>Approval rate</w:t>
            </w:r>
          </w:p>
        </w:tc>
        <w:tc>
          <w:tcPr>
            <w:tcW w:type="dxa" w:w="1440"/>
          </w:tcPr>
          <w:p>
            <w:r/>
            <w:r>
              <w:rPr>
                <w:rFonts w:ascii="Times New Roman" w:hAnsi="Times New Roman" w:eastAsia="Times New Roman"/>
                <w:b/>
                <w:i w:val="0"/>
                <w:sz w:val="16"/>
              </w:rPr>
              <w:t>Final ASR</w:t>
            </w:r>
          </w:p>
        </w:tc>
        <w:tc>
          <w:tcPr>
            <w:tcW w:type="dxa" w:w="1440"/>
          </w:tcPr>
          <w:p>
            <w:r/>
            <w:r>
              <w:rPr>
                <w:rFonts w:ascii="Times New Roman" w:hAnsi="Times New Roman" w:eastAsia="Times New Roman"/>
                <w:b/>
                <w:i w:val="0"/>
                <w:sz w:val="16"/>
              </w:rPr>
              <w:t>Final TSR</w:t>
            </w:r>
          </w:p>
        </w:tc>
        <w:tc>
          <w:tcPr>
            <w:tcW w:type="dxa" w:w="1440"/>
          </w:tcPr>
          <w:p>
            <w:r/>
            <w:r>
              <w:rPr>
                <w:rFonts w:ascii="Times New Roman" w:hAnsi="Times New Roman" w:eastAsia="Times New Roman"/>
                <w:b/>
                <w:i w:val="0"/>
                <w:sz w:val="16"/>
              </w:rPr>
              <w:t>F1</w:t>
            </w:r>
          </w:p>
        </w:tc>
        <w:tc>
          <w:tcPr>
            <w:tcW w:type="dxa" w:w="1440"/>
          </w:tcPr>
          <w:p>
            <w:r/>
            <w:r>
              <w:rPr>
                <w:rFonts w:ascii="Times New Roman" w:hAnsi="Times New Roman" w:eastAsia="Times New Roman"/>
                <w:b/>
                <w:i w:val="0"/>
                <w:sz w:val="16"/>
              </w:rPr>
              <w:t>Mean extra ASK ms</w:t>
            </w:r>
          </w:p>
        </w:tc>
      </w:tr>
      <w:tr>
        <w:tc>
          <w:tcPr>
            <w:tcW w:type="dxa" w:w="1440"/>
          </w:tcPr>
          <w:p>
            <w:r/>
            <w:r>
              <w:rPr>
                <w:rFonts w:ascii="Times New Roman" w:hAnsi="Times New Roman" w:eastAsia="Times New Roman"/>
                <w:b w:val="0"/>
                <w:i w:val="0"/>
                <w:sz w:val="16"/>
              </w:rPr>
              <w:t>auto_deny</w:t>
            </w:r>
          </w:p>
        </w:tc>
        <w:tc>
          <w:tcPr>
            <w:tcW w:type="dxa" w:w="1440"/>
          </w:tcPr>
          <w:p>
            <w:r/>
            <w:r>
              <w:rPr>
                <w:rFonts w:ascii="Times New Roman" w:hAnsi="Times New Roman" w:eastAsia="Times New Roman"/>
                <w:b w:val="0"/>
                <w:i w:val="0"/>
                <w:sz w:val="16"/>
              </w:rPr>
              <w:t>12</w:t>
            </w:r>
          </w:p>
        </w:tc>
        <w:tc>
          <w:tcPr>
            <w:tcW w:type="dxa" w:w="1440"/>
          </w:tcPr>
          <w:p>
            <w:r/>
            <w:r>
              <w:rPr>
                <w:rFonts w:ascii="Times New Roman" w:hAnsi="Times New Roman" w:eastAsia="Times New Roman"/>
                <w:b w:val="0"/>
                <w:i w:val="0"/>
                <w:sz w:val="16"/>
              </w:rPr>
              <w:t>0.0%</w:t>
            </w:r>
          </w:p>
        </w:tc>
        <w:tc>
          <w:tcPr>
            <w:tcW w:type="dxa" w:w="1440"/>
          </w:tcPr>
          <w:p>
            <w:r/>
            <w:r>
              <w:rPr>
                <w:rFonts w:ascii="Times New Roman" w:hAnsi="Times New Roman" w:eastAsia="Times New Roman"/>
                <w:b w:val="0"/>
                <w:i w:val="0"/>
                <w:sz w:val="16"/>
              </w:rPr>
              <w:t>9.09%</w:t>
            </w:r>
          </w:p>
        </w:tc>
        <w:tc>
          <w:tcPr>
            <w:tcW w:type="dxa" w:w="1440"/>
          </w:tcPr>
          <w:p>
            <w:r/>
            <w:r>
              <w:rPr>
                <w:rFonts w:ascii="Times New Roman" w:hAnsi="Times New Roman" w:eastAsia="Times New Roman"/>
                <w:b w:val="0"/>
                <w:i w:val="0"/>
                <w:sz w:val="16"/>
              </w:rPr>
              <w:t>66.67%</w:t>
            </w:r>
          </w:p>
        </w:tc>
        <w:tc>
          <w:tcPr>
            <w:tcW w:type="dxa" w:w="1440"/>
          </w:tcPr>
          <w:p>
            <w:r/>
            <w:r>
              <w:rPr>
                <w:rFonts w:ascii="Times New Roman" w:hAnsi="Times New Roman" w:eastAsia="Times New Roman"/>
                <w:b w:val="0"/>
                <w:i w:val="0"/>
                <w:sz w:val="16"/>
              </w:rPr>
              <w:t>83.33%</w:t>
            </w:r>
          </w:p>
        </w:tc>
        <w:tc>
          <w:tcPr>
            <w:tcW w:type="dxa" w:w="1440"/>
          </w:tcPr>
          <w:p>
            <w:r/>
            <w:r>
              <w:rPr>
                <w:rFonts w:ascii="Times New Roman" w:hAnsi="Times New Roman" w:eastAsia="Times New Roman"/>
                <w:b w:val="0"/>
                <w:i w:val="0"/>
                <w:sz w:val="16"/>
              </w:rPr>
              <w:t>0.0</w:t>
            </w:r>
          </w:p>
        </w:tc>
      </w:tr>
      <w:tr>
        <w:tc>
          <w:tcPr>
            <w:tcW w:type="dxa" w:w="1440"/>
          </w:tcPr>
          <w:p>
            <w:r/>
            <w:r>
              <w:rPr>
                <w:rFonts w:ascii="Times New Roman" w:hAnsi="Times New Roman" w:eastAsia="Times New Roman"/>
                <w:b w:val="0"/>
                <w:i w:val="0"/>
                <w:sz w:val="16"/>
              </w:rPr>
              <w:t>auto_allow</w:t>
            </w:r>
          </w:p>
        </w:tc>
        <w:tc>
          <w:tcPr>
            <w:tcW w:type="dxa" w:w="1440"/>
          </w:tcPr>
          <w:p>
            <w:r/>
            <w:r>
              <w:rPr>
                <w:rFonts w:ascii="Times New Roman" w:hAnsi="Times New Roman" w:eastAsia="Times New Roman"/>
                <w:b w:val="0"/>
                <w:i w:val="0"/>
                <w:sz w:val="16"/>
              </w:rPr>
              <w:t>12</w:t>
            </w:r>
          </w:p>
        </w:tc>
        <w:tc>
          <w:tcPr>
            <w:tcW w:type="dxa" w:w="1440"/>
          </w:tcPr>
          <w:p>
            <w:r/>
            <w:r>
              <w:rPr>
                <w:rFonts w:ascii="Times New Roman" w:hAnsi="Times New Roman" w:eastAsia="Times New Roman"/>
                <w:b w:val="0"/>
                <w:i w:val="0"/>
                <w:sz w:val="16"/>
              </w:rPr>
              <w:t>100.0%</w:t>
            </w:r>
          </w:p>
        </w:tc>
        <w:tc>
          <w:tcPr>
            <w:tcW w:type="dxa" w:w="1440"/>
          </w:tcPr>
          <w:p>
            <w:r/>
            <w:r>
              <w:rPr>
                <w:rFonts w:ascii="Times New Roman" w:hAnsi="Times New Roman" w:eastAsia="Times New Roman"/>
                <w:b w:val="0"/>
                <w:i w:val="0"/>
                <w:sz w:val="16"/>
              </w:rPr>
              <w:t>90.91%</w:t>
            </w:r>
          </w:p>
        </w:tc>
        <w:tc>
          <w:tcPr>
            <w:tcW w:type="dxa" w:w="1440"/>
          </w:tcPr>
          <w:p>
            <w:r/>
            <w:r>
              <w:rPr>
                <w:rFonts w:ascii="Times New Roman" w:hAnsi="Times New Roman" w:eastAsia="Times New Roman"/>
                <w:b w:val="0"/>
                <w:i w:val="0"/>
                <w:sz w:val="16"/>
              </w:rPr>
              <w:t>100.00%</w:t>
            </w:r>
          </w:p>
        </w:tc>
        <w:tc>
          <w:tcPr>
            <w:tcW w:type="dxa" w:w="1440"/>
          </w:tcPr>
          <w:p>
            <w:r/>
            <w:r>
              <w:rPr>
                <w:rFonts w:ascii="Times New Roman" w:hAnsi="Times New Roman" w:eastAsia="Times New Roman"/>
                <w:b w:val="0"/>
                <w:i w:val="0"/>
                <w:sz w:val="16"/>
              </w:rPr>
              <w:t>16.67%</w:t>
            </w:r>
          </w:p>
        </w:tc>
        <w:tc>
          <w:tcPr>
            <w:tcW w:type="dxa" w:w="1440"/>
          </w:tcPr>
          <w:p>
            <w:r/>
            <w:r>
              <w:rPr>
                <w:rFonts w:ascii="Times New Roman" w:hAnsi="Times New Roman" w:eastAsia="Times New Roman"/>
                <w:b w:val="0"/>
                <w:i w:val="0"/>
                <w:sz w:val="16"/>
              </w:rPr>
              <w:t>0.0</w:t>
            </w:r>
          </w:p>
        </w:tc>
      </w:tr>
      <w:tr>
        <w:tc>
          <w:tcPr>
            <w:tcW w:type="dxa" w:w="1440"/>
          </w:tcPr>
          <w:p>
            <w:r/>
            <w:r>
              <w:rPr>
                <w:rFonts w:ascii="Times New Roman" w:hAnsi="Times New Roman" w:eastAsia="Times New Roman"/>
                <w:b w:val="0"/>
                <w:i w:val="0"/>
                <w:sz w:val="16"/>
              </w:rPr>
              <w:t>author_ask</w:t>
            </w:r>
          </w:p>
        </w:tc>
        <w:tc>
          <w:tcPr>
            <w:tcW w:type="dxa" w:w="1440"/>
          </w:tcPr>
          <w:p>
            <w:r/>
            <w:r>
              <w:rPr>
                <w:rFonts w:ascii="Times New Roman" w:hAnsi="Times New Roman" w:eastAsia="Times New Roman"/>
                <w:b w:val="0"/>
                <w:i w:val="0"/>
                <w:sz w:val="16"/>
              </w:rPr>
              <w:t>12</w:t>
            </w:r>
          </w:p>
        </w:tc>
        <w:tc>
          <w:tcPr>
            <w:tcW w:type="dxa" w:w="1440"/>
          </w:tcPr>
          <w:p>
            <w:r/>
            <w:r>
              <w:rPr>
                <w:rFonts w:ascii="Times New Roman" w:hAnsi="Times New Roman" w:eastAsia="Times New Roman"/>
                <w:b w:val="0"/>
                <w:i w:val="0"/>
                <w:sz w:val="16"/>
              </w:rPr>
              <w:t>25.0%</w:t>
            </w:r>
          </w:p>
        </w:tc>
        <w:tc>
          <w:tcPr>
            <w:tcW w:type="dxa" w:w="1440"/>
          </w:tcPr>
          <w:p>
            <w:r/>
            <w:r>
              <w:rPr>
                <w:rFonts w:ascii="Times New Roman" w:hAnsi="Times New Roman" w:eastAsia="Times New Roman"/>
                <w:b w:val="0"/>
                <w:i w:val="0"/>
                <w:sz w:val="16"/>
              </w:rPr>
              <w:t>9.09%</w:t>
            </w:r>
          </w:p>
        </w:tc>
        <w:tc>
          <w:tcPr>
            <w:tcW w:type="dxa" w:w="1440"/>
          </w:tcPr>
          <w:p>
            <w:r/>
            <w:r>
              <w:rPr>
                <w:rFonts w:ascii="Times New Roman" w:hAnsi="Times New Roman" w:eastAsia="Times New Roman"/>
                <w:b w:val="0"/>
                <w:i w:val="0"/>
                <w:sz w:val="16"/>
              </w:rPr>
              <w:t>100.00%</w:t>
            </w:r>
          </w:p>
        </w:tc>
        <w:tc>
          <w:tcPr>
            <w:tcW w:type="dxa" w:w="1440"/>
          </w:tcPr>
          <w:p>
            <w:r/>
            <w:r>
              <w:rPr>
                <w:rFonts w:ascii="Times New Roman" w:hAnsi="Times New Roman" w:eastAsia="Times New Roman"/>
                <w:b w:val="0"/>
                <w:i w:val="0"/>
                <w:sz w:val="16"/>
              </w:rPr>
              <w:t>95.24%</w:t>
            </w:r>
          </w:p>
        </w:tc>
        <w:tc>
          <w:tcPr>
            <w:tcW w:type="dxa" w:w="1440"/>
          </w:tcPr>
          <w:p>
            <w:r/>
            <w:r>
              <w:rPr>
                <w:rFonts w:ascii="Times New Roman" w:hAnsi="Times New Roman" w:eastAsia="Times New Roman"/>
                <w:b w:val="0"/>
                <w:i w:val="0"/>
                <w:sz w:val="16"/>
              </w:rPr>
              <w:t>50.3</w:t>
            </w:r>
          </w:p>
        </w:tc>
      </w:tr>
    </w:tbl>
    <w:p/>
    <w:p>
      <w:pPr>
        <w:spacing w:after="160" w:before="0"/>
      </w:pPr>
      <w:r>
        <w:rPr>
          <w:rFonts w:ascii="Times New Roman" w:hAnsi="Times New Roman" w:eastAsia="Times New Roman"/>
          <w:b/>
          <w:i w:val="0"/>
          <w:sz w:val="24"/>
        </w:rPr>
        <w:t>VII. Discussion</w:t>
      </w:r>
    </w:p>
    <w:p>
      <w:pPr>
        <w:spacing w:after="120" w:before="0"/>
      </w:pPr>
      <w:r>
        <w:rPr>
          <w:rFonts w:ascii="Times New Roman" w:hAnsi="Times New Roman" w:eastAsia="Times New Roman"/>
          <w:b w:val="0"/>
          <w:i w:val="0"/>
          <w:sz w:val="20"/>
        </w:rPr>
        <w:t>Limited-network remains the strongest measured balance across pilot, template stress, organic-style hold-out, adaptive, and live MCP settings (ASR 0% / TSR 100% on both organic hold-out and live deployment). Ablations show domain allow-listing and sensitive-path elevation contribute most to ASR reduction; author-as-user ASK restores benign write utility without returning to auto-ALLOW attack rates. The 20,000-case corpus is used only as a template stress test; external-validity claims rest on the hand-authored pilot, organic hold-out, remapped-name split, live MCP path, and ASK study. Operators should treat open network allow-lists as high risk.</w:t>
      </w:r>
    </w:p>
    <w:p>
      <w:pPr>
        <w:spacing w:after="120" w:before="0"/>
      </w:pPr>
      <w:r>
        <w:rPr>
          <w:rFonts w:ascii="Times New Roman" w:hAnsi="Times New Roman" w:eastAsia="Times New Roman"/>
          <w:b w:val="0"/>
          <w:i w:val="0"/>
          <w:sz w:val="20"/>
        </w:rPr>
        <w:t>Artifacts available in the project repository: src/, policies/, datasets/ (including organic_holdout.json), baselines/, servers/, and the evaluation scripts listed in the README.</w:t>
      </w:r>
    </w:p>
    <w:p>
      <w:pPr>
        <w:spacing w:after="160" w:before="0"/>
      </w:pPr>
      <w:r>
        <w:rPr>
          <w:rFonts w:ascii="Times New Roman" w:hAnsi="Times New Roman" w:eastAsia="Times New Roman"/>
          <w:b/>
          <w:i w:val="0"/>
          <w:sz w:val="24"/>
        </w:rPr>
        <w:t>VIII. Conclusion</w:t>
      </w:r>
    </w:p>
    <w:p>
      <w:pPr>
        <w:spacing w:after="120" w:before="0"/>
      </w:pPr>
      <w:r>
        <w:rPr>
          <w:rFonts w:ascii="Times New Roman" w:hAnsi="Times New Roman" w:eastAsia="Times New Roman"/>
          <w:b w:val="0"/>
          <w:i w:val="0"/>
          <w:sz w:val="20"/>
        </w:rPr>
        <w:t>We presented a client-side runtime permission layer for MCP tool poisoning: a behavior-derived six-category taxonomy, a formal fail-closed inference algorithm, four declarative profiles, and a zero-modification prototype with a real stdio MCP enforcement proxy. Across pilot, 20k stress, unseen hold-out, baselines, ablations, adaptive and multi-step suites, live MCP deployment, and an author-as-user ASK study, limited-network consistently reduces ASR while preserving substantial legitimate utility at sub-millisecond decision latency (tens of milliseconds end-to-end with real servers). Artifacts are released for reproduction.</w:t>
      </w:r>
    </w:p>
    <w:p>
      <w:pPr>
        <w:spacing w:after="160" w:before="0"/>
      </w:pPr>
      <w:r>
        <w:rPr>
          <w:rFonts w:ascii="Times New Roman" w:hAnsi="Times New Roman" w:eastAsia="Times New Roman"/>
          <w:b/>
          <w:i w:val="0"/>
          <w:sz w:val="24"/>
        </w:rPr>
        <w:t>References</w:t>
      </w:r>
    </w:p>
    <w:p>
      <w:pPr>
        <w:spacing w:after="40" w:before="0"/>
      </w:pPr>
      <w:r>
        <w:rPr>
          <w:rFonts w:ascii="Times New Roman" w:hAnsi="Times New Roman" w:eastAsia="Times New Roman"/>
          <w:b w:val="0"/>
          <w:i w:val="0"/>
          <w:sz w:val="18"/>
        </w:rPr>
        <w:t>[1] K. Greshake et al., “Not what you’ve signed up for: Compromising real-world LLM-integrated applications with indirect prompt injection,” in Proc. AISec, 2023.</w:t>
      </w:r>
    </w:p>
    <w:p>
      <w:pPr>
        <w:spacing w:after="40" w:before="0"/>
      </w:pPr>
      <w:r>
        <w:rPr>
          <w:rFonts w:ascii="Times New Roman" w:hAnsi="Times New Roman" w:eastAsia="Times New Roman"/>
          <w:b w:val="0"/>
          <w:i w:val="0"/>
          <w:sz w:val="18"/>
        </w:rPr>
        <w:t>[2] MCPTox: A benchmark for tool poisoning attacks on real-world MCP servers, arXiv:2508.14925, 2025.</w:t>
      </w:r>
    </w:p>
    <w:p>
      <w:pPr>
        <w:spacing w:after="40" w:before="0"/>
      </w:pPr>
      <w:r>
        <w:rPr>
          <w:rFonts w:ascii="Times New Roman" w:hAnsi="Times New Roman" w:eastAsia="Times New Roman"/>
          <w:b w:val="0"/>
          <w:i w:val="0"/>
          <w:sz w:val="18"/>
        </w:rPr>
        <w:t>[3] R. Li et al., “MCP-ITP: An automated framework for implicit tool poisoning in MCP,” arXiv:2601.07395, 2026.</w:t>
      </w:r>
    </w:p>
    <w:p>
      <w:pPr>
        <w:spacing w:after="40" w:before="0"/>
      </w:pPr>
      <w:r>
        <w:rPr>
          <w:rFonts w:ascii="Times New Roman" w:hAnsi="Times New Roman" w:eastAsia="Times New Roman"/>
          <w:b w:val="0"/>
          <w:i w:val="0"/>
          <w:sz w:val="18"/>
        </w:rPr>
        <w:t>[4] AgentBound: Access control framework for MCP servers, arXiv:2510.21236, 2025.</w:t>
      </w:r>
    </w:p>
    <w:p>
      <w:pPr>
        <w:spacing w:after="40" w:before="0"/>
      </w:pPr>
      <w:r>
        <w:rPr>
          <w:rFonts w:ascii="Times New Roman" w:hAnsi="Times New Roman" w:eastAsia="Times New Roman"/>
          <w:b w:val="0"/>
          <w:i w:val="0"/>
          <w:sz w:val="18"/>
        </w:rPr>
        <w:t>[5] OWASP, “MCP Top 10,” 2025/2026.</w:t>
      </w:r>
    </w:p>
    <w:p>
      <w:pPr>
        <w:spacing w:after="40" w:before="0"/>
      </w:pPr>
      <w:r>
        <w:rPr>
          <w:rFonts w:ascii="Times New Roman" w:hAnsi="Times New Roman" w:eastAsia="Times New Roman"/>
          <w:b w:val="0"/>
          <w:i w:val="0"/>
          <w:sz w:val="18"/>
        </w:rPr>
        <w:t>[6] Q. Zhan et al., “InjecAgent: Benchmarking indirect prompt injections in tool-integrated LLM agents,” Findings of ACL, 2024.</w:t>
      </w:r>
    </w:p>
    <w:p>
      <w:pPr>
        <w:spacing w:after="40" w:before="0"/>
      </w:pPr>
      <w:r>
        <w:rPr>
          <w:rFonts w:ascii="Times New Roman" w:hAnsi="Times New Roman" w:eastAsia="Times New Roman"/>
          <w:b w:val="0"/>
          <w:i w:val="0"/>
          <w:sz w:val="18"/>
        </w:rPr>
        <w:t>[7] E. Debenedetti et al., “AgentDojo: A dynamic environment to evaluate attacks and defenses for LLM agents,” 2024.</w:t>
      </w:r>
    </w:p>
    <w:p>
      <w:pPr>
        <w:spacing w:after="40" w:before="0"/>
      </w:pPr>
      <w:r>
        <w:rPr>
          <w:rFonts w:ascii="Times New Roman" w:hAnsi="Times New Roman" w:eastAsia="Times New Roman"/>
          <w:b w:val="0"/>
          <w:i w:val="0"/>
          <w:sz w:val="18"/>
        </w:rPr>
        <w:t>[8] Microsoft Security, “Understanding and mitigating security risks in MCP implementations,” 2025.</w:t>
      </w:r>
    </w:p>
    <w:p>
      <w:pPr>
        <w:spacing w:after="40" w:before="0"/>
      </w:pPr>
      <w:r>
        <w:rPr>
          <w:rFonts w:ascii="Times New Roman" w:hAnsi="Times New Roman" w:eastAsia="Times New Roman"/>
          <w:b w:val="0"/>
          <w:i w:val="0"/>
          <w:sz w:val="18"/>
        </w:rPr>
        <w:t>[9] “Indirect prompt injections: Are firewalls all you need, or stronger benchmarks?” arXiv:2510.05244, 2025.</w:t>
      </w:r>
    </w:p>
    <w:p>
      <w:pPr>
        <w:spacing w:after="40" w:before="0"/>
      </w:pPr>
      <w:r>
        <w:rPr>
          <w:rFonts w:ascii="Times New Roman" w:hAnsi="Times New Roman" w:eastAsia="Times New Roman"/>
          <w:b w:val="0"/>
          <w:i w:val="0"/>
          <w:sz w:val="18"/>
        </w:rPr>
        <w:t>[10] S. Yao et al., “ReAct: Synergizing reasoning and acting in language models,” ICLR, 2023.</w:t>
      </w:r>
    </w:p>
    <w:p>
      <w:pPr>
        <w:spacing w:after="40" w:before="0"/>
      </w:pPr>
      <w:r>
        <w:rPr>
          <w:rFonts w:ascii="Times New Roman" w:hAnsi="Times New Roman" w:eastAsia="Times New Roman"/>
          <w:b w:val="0"/>
          <w:i w:val="0"/>
          <w:sz w:val="18"/>
        </w:rPr>
        <w:t>[11] T. Schick et al., “Toolformer: Language models can teach themselves to use tools,” NeurIPS, 2023.</w:t>
      </w:r>
    </w:p>
    <w:p>
      <w:pPr>
        <w:spacing w:after="40" w:before="0"/>
      </w:pPr>
      <w:r>
        <w:rPr>
          <w:rFonts w:ascii="Times New Roman" w:hAnsi="Times New Roman" w:eastAsia="Times New Roman"/>
          <w:b w:val="0"/>
          <w:i w:val="0"/>
          <w:sz w:val="18"/>
        </w:rPr>
        <w:t>[12] Model Context Protocol specification, 2024–2026.</w:t>
      </w:r>
    </w:p>
    <w:p>
      <w:pPr>
        <w:spacing w:after="40" w:before="0"/>
      </w:pPr>
      <w:r>
        <w:rPr>
          <w:rFonts w:ascii="Times New Roman" w:hAnsi="Times New Roman" w:eastAsia="Times New Roman"/>
          <w:b w:val="0"/>
          <w:i w:val="0"/>
          <w:sz w:val="18"/>
        </w:rPr>
        <w:t>[13] OWASP Cheat Sheet Series, MCP Security Cheat Sheet, 2026.</w:t>
      </w:r>
    </w:p>
    <w:p>
      <w:pPr>
        <w:spacing w:after="40" w:before="0"/>
      </w:pPr>
      <w:r>
        <w:rPr>
          <w:rFonts w:ascii="Times New Roman" w:hAnsi="Times New Roman" w:eastAsia="Times New Roman"/>
          <w:b w:val="0"/>
          <w:i w:val="0"/>
          <w:sz w:val="18"/>
        </w:rPr>
        <w:t>[14] Android Developers, “Permissions overview.”</w:t>
      </w:r>
    </w:p>
    <w:p>
      <w:pPr>
        <w:spacing w:after="40" w:before="0"/>
      </w:pPr>
      <w:r>
        <w:rPr>
          <w:rFonts w:ascii="Times New Roman" w:hAnsi="Times New Roman" w:eastAsia="Times New Roman"/>
          <w:b w:val="0"/>
          <w:i w:val="0"/>
          <w:sz w:val="18"/>
        </w:rPr>
        <w:t>[15] J. H. Saltzer and M. D. Schroeder, “The protection of information in computer systems,” Proc. IEEE, 1975.</w:t>
      </w:r>
    </w:p>
    <w:p>
      <w:pPr>
        <w:spacing w:after="40" w:before="0"/>
      </w:pPr>
      <w:r>
        <w:rPr>
          <w:rFonts w:ascii="Times New Roman" w:hAnsi="Times New Roman" w:eastAsia="Times New Roman"/>
          <w:b w:val="0"/>
          <w:i w:val="0"/>
          <w:sz w:val="18"/>
        </w:rPr>
        <w:t>[16] Microsoft for Developers, “Securing MCP: A control plane for agent tool execution,” 2026.</w:t>
      </w:r>
    </w:p>
    <w:p>
      <w:pPr>
        <w:spacing w:after="40" w:before="0"/>
      </w:pPr>
      <w:r>
        <w:rPr>
          <w:rFonts w:ascii="Times New Roman" w:hAnsi="Times New Roman" w:eastAsia="Times New Roman"/>
          <w:b w:val="0"/>
          <w:i w:val="0"/>
          <w:sz w:val="18"/>
        </w:rPr>
        <w:t>[17] DeepMind, “Defeating prompt injections by design (CaMeL),” 2025.</w:t>
      </w:r>
    </w:p>
    <w:p>
      <w:pPr>
        <w:spacing w:after="40" w:before="0"/>
      </w:pPr>
      <w:r>
        <w:rPr>
          <w:rFonts w:ascii="Times New Roman" w:hAnsi="Times New Roman" w:eastAsia="Times New Roman"/>
          <w:b w:val="0"/>
          <w:i w:val="0"/>
          <w:sz w:val="18"/>
        </w:rPr>
        <w:t>[18] “Securing MCP: A control plane for agent tool execution,” Microsoft Developer Blog, 2026.</w:t>
      </w:r>
    </w:p>
    <w:p>
      <w:pPr>
        <w:spacing w:after="40" w:before="0"/>
      </w:pPr>
      <w:r>
        <w:rPr>
          <w:rFonts w:ascii="Times New Roman" w:hAnsi="Times New Roman" w:eastAsia="Times New Roman"/>
          <w:b w:val="0"/>
          <w:i w:val="0"/>
          <w:sz w:val="18"/>
        </w:rPr>
        <w:t>[19] AdapTools: Adaptive tool-based indirect prompt injection, arXiv:2602.20720, 2026.</w:t>
      </w:r>
    </w:p>
    <w:p>
      <w:pPr>
        <w:spacing w:after="40" w:before="0"/>
      </w:pPr>
      <w:r>
        <w:rPr>
          <w:rFonts w:ascii="Times New Roman" w:hAnsi="Times New Roman" w:eastAsia="Times New Roman"/>
          <w:b w:val="0"/>
          <w:i w:val="0"/>
          <w:sz w:val="18"/>
        </w:rPr>
        <w:t>[20] Zhang et al., Agent Security Bench, 2024.</w:t>
      </w:r>
    </w:p>
    <w:p>
      <w:pPr>
        <w:spacing w:after="40" w:before="0"/>
      </w:pPr>
      <w:r>
        <w:rPr>
          <w:rFonts w:ascii="Times New Roman" w:hAnsi="Times New Roman" w:eastAsia="Times New Roman"/>
          <w:b w:val="0"/>
          <w:i w:val="0"/>
          <w:sz w:val="18"/>
        </w:rPr>
        <w:t>[21] OWASP Top 10 for LLM Applications, 2023–2025.</w:t>
      </w:r>
    </w:p>
    <w:p>
      <w:pPr>
        <w:spacing w:after="40" w:before="0"/>
      </w:pPr>
      <w:r>
        <w:rPr>
          <w:rFonts w:ascii="Times New Roman" w:hAnsi="Times New Roman" w:eastAsia="Times New Roman"/>
          <w:b w:val="0"/>
          <w:i w:val="0"/>
          <w:sz w:val="18"/>
        </w:rPr>
        <w:t>[22] Cursor, Claude Desktop, Cline, and Continue documentation (permission models).</w:t>
      </w:r>
    </w:p>
    <w:p>
      <w:pPr>
        <w:spacing w:after="40" w:before="0"/>
      </w:pPr>
      <w:r>
        <w:rPr>
          <w:rFonts w:ascii="Times New Roman" w:hAnsi="Times New Roman" w:eastAsia="Times New Roman"/>
          <w:b w:val="0"/>
          <w:i w:val="0"/>
          <w:sz w:val="18"/>
        </w:rPr>
        <w:t>[23] MCP client documentation: Cursor, Claude Desktop, Cline, Continue.</w:t>
      </w:r>
    </w:p>
    <w:p>
      <w:pPr>
        <w:spacing w:after="40" w:before="0"/>
      </w:pPr>
      <w:r>
        <w:rPr>
          <w:rFonts w:ascii="Times New Roman" w:hAnsi="Times New Roman" w:eastAsia="Times New Roman"/>
          <w:b w:val="0"/>
          <w:i w:val="0"/>
          <w:sz w:val="18"/>
        </w:rPr>
        <w:t>[24] MCP authorization and security best practices, modelcontextprotocol.io, 2025.</w:t>
      </w:r>
    </w:p>
    <w:p>
      <w:pPr>
        <w:spacing w:after="40" w:before="0"/>
      </w:pPr>
      <w:r>
        <w:rPr>
          <w:rFonts w:ascii="Times New Roman" w:hAnsi="Times New Roman" w:eastAsia="Times New Roman"/>
          <w:b w:val="0"/>
          <w:i w:val="0"/>
          <w:sz w:val="18"/>
        </w:rPr>
        <w:t>[25] “Towards a risk assessment of malicious skill files in coding agents,” arXiv:2608.05223,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