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AE9D" w14:textId="77777777" w:rsidR="00EF0C9C" w:rsidRDefault="00EF0C9C" w:rsidP="00EF0C9C">
      <w:pPr>
        <w:ind w:left="1440"/>
        <w:jc w:val="center"/>
        <w:rPr>
          <w:rFonts w:ascii="Garamond" w:hAnsi="Garamond"/>
          <w:b/>
          <w:sz w:val="36"/>
          <w:szCs w:val="36"/>
          <w:u w:val="single"/>
        </w:rPr>
      </w:pPr>
    </w:p>
    <w:p w14:paraId="555B7538" w14:textId="77777777" w:rsidR="00EF0C9C" w:rsidRDefault="00EF0C9C" w:rsidP="00EF0C9C">
      <w:pPr>
        <w:ind w:left="1440"/>
        <w:jc w:val="center"/>
        <w:rPr>
          <w:rFonts w:ascii="Garamond" w:hAnsi="Garamond"/>
          <w:b/>
          <w:sz w:val="36"/>
          <w:szCs w:val="36"/>
          <w:u w:val="single"/>
        </w:rPr>
      </w:pPr>
    </w:p>
    <w:p w14:paraId="72794E57" w14:textId="77777777" w:rsidR="00EF0C9C" w:rsidRDefault="00EF0C9C" w:rsidP="00EF0C9C">
      <w:pPr>
        <w:ind w:left="1440"/>
        <w:jc w:val="center"/>
        <w:rPr>
          <w:rFonts w:ascii="Garamond" w:hAnsi="Garamond"/>
          <w:b/>
          <w:sz w:val="36"/>
          <w:szCs w:val="36"/>
          <w:u w:val="single"/>
        </w:rPr>
      </w:pPr>
    </w:p>
    <w:p w14:paraId="07A682B7" w14:textId="1E0F8B30" w:rsidR="00EF0C9C" w:rsidRPr="00580A7E" w:rsidRDefault="00EF0C9C" w:rsidP="00EF0C9C">
      <w:pPr>
        <w:ind w:left="1440"/>
        <w:jc w:val="center"/>
        <w:rPr>
          <w:rFonts w:ascii="Garamond" w:hAnsi="Garamond"/>
          <w:b/>
          <w:sz w:val="36"/>
          <w:szCs w:val="36"/>
          <w:u w:val="single"/>
        </w:rPr>
      </w:pPr>
      <w:r w:rsidRPr="00580A7E">
        <w:rPr>
          <w:rFonts w:ascii="Garamond" w:hAnsi="Garamond"/>
          <w:noProof/>
          <w:u w:val="single"/>
          <w:lang w:val="en-GB" w:eastAsia="en-GB"/>
        </w:rPr>
        <w:drawing>
          <wp:anchor distT="0" distB="0" distL="114300" distR="114300" simplePos="0" relativeHeight="251659264" behindDoc="0" locked="0" layoutInCell="1" allowOverlap="1" wp14:anchorId="4B500A7B" wp14:editId="1D99DC28">
            <wp:simplePos x="0" y="0"/>
            <wp:positionH relativeFrom="column">
              <wp:posOffset>4419600</wp:posOffset>
            </wp:positionH>
            <wp:positionV relativeFrom="paragraph">
              <wp:posOffset>0</wp:posOffset>
            </wp:positionV>
            <wp:extent cx="1517650" cy="422910"/>
            <wp:effectExtent l="0" t="0" r="6350" b="0"/>
            <wp:wrapSquare wrapText="bothSides"/>
            <wp:docPr id="211795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7650" cy="422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0A7E">
        <w:rPr>
          <w:rFonts w:ascii="Garamond" w:hAnsi="Garamond"/>
          <w:b/>
          <w:sz w:val="36"/>
          <w:szCs w:val="36"/>
          <w:u w:val="single"/>
        </w:rPr>
        <w:t>Iqra University</w:t>
      </w:r>
    </w:p>
    <w:p w14:paraId="19F16679" w14:textId="77777777" w:rsidR="00EF0C9C" w:rsidRPr="00F250BF" w:rsidRDefault="00EF0C9C" w:rsidP="00EF0C9C">
      <w:pPr>
        <w:ind w:left="1440"/>
        <w:jc w:val="center"/>
        <w:rPr>
          <w:rFonts w:ascii="Garamond" w:hAnsi="Garamond"/>
          <w:b/>
          <w:sz w:val="28"/>
          <w:szCs w:val="28"/>
        </w:rPr>
      </w:pPr>
      <w:r w:rsidRPr="00F250BF">
        <w:rPr>
          <w:rFonts w:ascii="Garamond" w:hAnsi="Garamond"/>
          <w:b/>
          <w:sz w:val="28"/>
          <w:szCs w:val="28"/>
        </w:rPr>
        <w:t>Islamabad Campus</w:t>
      </w:r>
    </w:p>
    <w:p w14:paraId="5CF4E814" w14:textId="77777777" w:rsidR="00EF0C9C" w:rsidRPr="0057396D" w:rsidRDefault="00EF0C9C" w:rsidP="00EF0C9C">
      <w:pPr>
        <w:rPr>
          <w:rFonts w:ascii="Garamond" w:hAnsi="Garamond"/>
          <w:sz w:val="28"/>
          <w:szCs w:val="28"/>
        </w:rPr>
      </w:pPr>
      <w:r>
        <w:rPr>
          <w:rFonts w:ascii="Garamond" w:hAnsi="Garamond"/>
          <w:b/>
          <w:sz w:val="28"/>
          <w:szCs w:val="28"/>
        </w:rPr>
        <w:t xml:space="preserve">                                        </w:t>
      </w:r>
      <w:r w:rsidRPr="0057396D">
        <w:rPr>
          <w:rFonts w:ascii="Garamond" w:hAnsi="Garamond"/>
          <w:b/>
          <w:sz w:val="28"/>
          <w:szCs w:val="28"/>
        </w:rPr>
        <w:t>Spring 2026 Semester</w:t>
      </w:r>
      <w:r w:rsidRPr="0057396D">
        <w:rPr>
          <w:rFonts w:ascii="Garamond" w:hAnsi="Garamond"/>
          <w:sz w:val="28"/>
          <w:szCs w:val="28"/>
        </w:rPr>
        <w:t xml:space="preserve"> </w:t>
      </w:r>
    </w:p>
    <w:p w14:paraId="3A7822FB" w14:textId="77777777" w:rsidR="00EF0C9C" w:rsidRPr="00F250BF" w:rsidRDefault="00EF0C9C" w:rsidP="00EF0C9C">
      <w:pPr>
        <w:ind w:left="720"/>
        <w:jc w:val="center"/>
        <w:rPr>
          <w:rFonts w:ascii="Garamond" w:hAnsi="Garamond"/>
          <w:sz w:val="32"/>
          <w:szCs w:val="32"/>
        </w:rPr>
      </w:pPr>
    </w:p>
    <w:p w14:paraId="2DE2B740" w14:textId="77777777" w:rsidR="00EF0C9C" w:rsidRDefault="00EF0C9C" w:rsidP="00EF0C9C">
      <w:pPr>
        <w:ind w:left="720"/>
        <w:jc w:val="center"/>
        <w:rPr>
          <w:rFonts w:ascii="Garamond" w:hAnsi="Garamond"/>
          <w:b/>
          <w:bCs/>
          <w:sz w:val="32"/>
          <w:szCs w:val="32"/>
        </w:rPr>
      </w:pPr>
      <w:r>
        <w:rPr>
          <w:rFonts w:ascii="Garamond" w:hAnsi="Garamond"/>
          <w:b/>
          <w:bCs/>
          <w:sz w:val="32"/>
          <w:szCs w:val="32"/>
        </w:rPr>
        <w:t>“</w:t>
      </w:r>
      <w:r w:rsidRPr="00F250BF">
        <w:rPr>
          <w:rFonts w:ascii="Garamond" w:hAnsi="Garamond"/>
          <w:b/>
          <w:bCs/>
          <w:sz w:val="32"/>
          <w:szCs w:val="32"/>
        </w:rPr>
        <w:t>BS PHARMACY PROJECT PROPOSAL</w:t>
      </w:r>
      <w:r>
        <w:rPr>
          <w:rFonts w:ascii="Garamond" w:hAnsi="Garamond"/>
          <w:b/>
          <w:bCs/>
          <w:sz w:val="32"/>
          <w:szCs w:val="32"/>
        </w:rPr>
        <w:t>”</w:t>
      </w:r>
    </w:p>
    <w:p w14:paraId="72865D0C" w14:textId="77777777" w:rsidR="00EF0C9C" w:rsidRPr="00F250BF" w:rsidRDefault="00EF0C9C" w:rsidP="00EF0C9C">
      <w:pPr>
        <w:ind w:left="720"/>
        <w:jc w:val="center"/>
        <w:rPr>
          <w:rFonts w:ascii="Garamond" w:hAnsi="Garamond"/>
          <w:b/>
          <w:bCs/>
          <w:sz w:val="32"/>
          <w:szCs w:val="32"/>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EF0C9C" w:rsidRPr="00F250BF" w14:paraId="3417CE33" w14:textId="77777777" w:rsidTr="008819C1">
        <w:tc>
          <w:tcPr>
            <w:tcW w:w="9265" w:type="dxa"/>
          </w:tcPr>
          <w:p w14:paraId="6D9CD156" w14:textId="5A82FFF8" w:rsidR="00EF0C9C" w:rsidRPr="00F250BF" w:rsidRDefault="00EF0C9C" w:rsidP="008819C1">
            <w:pPr>
              <w:spacing w:line="360" w:lineRule="auto"/>
              <w:jc w:val="both"/>
              <w:rPr>
                <w:rFonts w:ascii="Garamond" w:hAnsi="Garamond"/>
                <w:b/>
              </w:rPr>
            </w:pPr>
            <w:r w:rsidRPr="00F250BF">
              <w:rPr>
                <w:rFonts w:ascii="Garamond" w:hAnsi="Garamond"/>
                <w:b/>
                <w:bCs/>
                <w:sz w:val="26"/>
                <w:szCs w:val="26"/>
              </w:rPr>
              <w:t>Course Code</w:t>
            </w:r>
            <w:r w:rsidRPr="00F250BF">
              <w:rPr>
                <w:rFonts w:ascii="Garamond" w:hAnsi="Garamond"/>
                <w:bCs/>
                <w:sz w:val="26"/>
                <w:szCs w:val="26"/>
              </w:rPr>
              <w:t xml:space="preserve"> </w:t>
            </w:r>
            <w:r w:rsidRPr="00F250BF">
              <w:rPr>
                <w:rFonts w:ascii="Garamond" w:hAnsi="Garamond"/>
                <w:b/>
                <w:bCs/>
                <w:sz w:val="26"/>
                <w:szCs w:val="26"/>
              </w:rPr>
              <w:t>&amp; Title:</w:t>
            </w:r>
            <w:r w:rsidRPr="00F250BF">
              <w:rPr>
                <w:rFonts w:ascii="Garamond" w:hAnsi="Garamond"/>
                <w:bCs/>
                <w:sz w:val="26"/>
                <w:szCs w:val="26"/>
              </w:rPr>
              <w:t xml:space="preserve"> </w:t>
            </w:r>
            <w:r w:rsidRPr="00580A7E">
              <w:rPr>
                <w:rFonts w:ascii="Garamond" w:hAnsi="Garamond"/>
                <w:b/>
                <w:color w:val="0E2841" w:themeColor="text2"/>
              </w:rPr>
              <w:t>PHARM 519- (Computer and its Applications in Pharmacy)</w:t>
            </w:r>
          </w:p>
        </w:tc>
      </w:tr>
      <w:tr w:rsidR="00EF0C9C" w:rsidRPr="00F250BF" w14:paraId="243BD789" w14:textId="77777777" w:rsidTr="008819C1">
        <w:tc>
          <w:tcPr>
            <w:tcW w:w="9265" w:type="dxa"/>
          </w:tcPr>
          <w:p w14:paraId="104E3B0B" w14:textId="77777777" w:rsidR="00EF0C9C" w:rsidRPr="00F250BF" w:rsidRDefault="00EF0C9C" w:rsidP="008819C1">
            <w:pPr>
              <w:rPr>
                <w:rFonts w:ascii="Garamond" w:hAnsi="Garamond"/>
                <w:b/>
                <w:bCs/>
                <w:sz w:val="26"/>
                <w:szCs w:val="26"/>
              </w:rPr>
            </w:pPr>
            <w:r w:rsidRPr="00F250BF">
              <w:rPr>
                <w:rFonts w:ascii="Garamond" w:hAnsi="Garamond"/>
                <w:b/>
                <w:bCs/>
                <w:sz w:val="26"/>
                <w:szCs w:val="26"/>
              </w:rPr>
              <w:t xml:space="preserve">Program/Department: </w:t>
            </w:r>
            <w:r w:rsidRPr="00580A7E">
              <w:rPr>
                <w:rFonts w:ascii="Garamond" w:hAnsi="Garamond"/>
                <w:bCs/>
                <w:color w:val="0E2841" w:themeColor="text2"/>
                <w:sz w:val="26"/>
                <w:szCs w:val="26"/>
              </w:rPr>
              <w:t xml:space="preserve">Department of Pharmacy </w:t>
            </w:r>
          </w:p>
        </w:tc>
      </w:tr>
    </w:tbl>
    <w:p w14:paraId="26C861A3" w14:textId="77777777" w:rsidR="00EF0C9C" w:rsidRPr="00F250BF" w:rsidRDefault="00EF0C9C" w:rsidP="00EF0C9C">
      <w:pPr>
        <w:rPr>
          <w:rFonts w:ascii="Garamond" w:hAnsi="Garamond"/>
          <w:b/>
        </w:rPr>
      </w:pPr>
    </w:p>
    <w:p w14:paraId="70566CE6" w14:textId="77777777" w:rsidR="00EF0C9C" w:rsidRPr="00EF0C9C" w:rsidRDefault="00EF0C9C" w:rsidP="00EF0C9C">
      <w:pPr>
        <w:jc w:val="center"/>
        <w:rPr>
          <w:rFonts w:ascii="Garamond" w:hAnsi="Garamond"/>
          <w:b/>
          <w:bCs/>
          <w:sz w:val="28"/>
          <w:szCs w:val="28"/>
        </w:rPr>
      </w:pPr>
      <w:r w:rsidRPr="00EF0C9C">
        <w:rPr>
          <w:rFonts w:ascii="Garamond" w:hAnsi="Garamond"/>
          <w:b/>
          <w:sz w:val="28"/>
          <w:szCs w:val="28"/>
        </w:rPr>
        <w:t xml:space="preserve">Project Title: </w:t>
      </w:r>
      <w:r w:rsidRPr="00EF0C9C">
        <w:rPr>
          <w:rFonts w:ascii="Garamond" w:hAnsi="Garamond"/>
          <w:b/>
          <w:bCs/>
          <w:color w:val="0E2841" w:themeColor="text2"/>
          <w:sz w:val="28"/>
          <w:szCs w:val="28"/>
        </w:rPr>
        <w:t>Students Knowledge and Attitude Towards Vaccination</w:t>
      </w:r>
      <w:r w:rsidRPr="00EF0C9C">
        <w:rPr>
          <w:rFonts w:ascii="Garamond" w:hAnsi="Garamond"/>
          <w:b/>
          <w:bCs/>
          <w:sz w:val="28"/>
          <w:szCs w:val="28"/>
        </w:rPr>
        <w:t>.</w:t>
      </w:r>
    </w:p>
    <w:tbl>
      <w:tblPr>
        <w:tblStyle w:val="TableGrid"/>
        <w:tblW w:w="9413" w:type="dxa"/>
        <w:tblLook w:val="04A0" w:firstRow="1" w:lastRow="0" w:firstColumn="1" w:lastColumn="0" w:noHBand="0" w:noVBand="1"/>
      </w:tblPr>
      <w:tblGrid>
        <w:gridCol w:w="6944"/>
        <w:gridCol w:w="2469"/>
      </w:tblGrid>
      <w:tr w:rsidR="00EF0C9C" w:rsidRPr="00F250BF" w14:paraId="2378D117" w14:textId="77777777" w:rsidTr="008819C1">
        <w:trPr>
          <w:trHeight w:val="329"/>
        </w:trPr>
        <w:tc>
          <w:tcPr>
            <w:tcW w:w="6944" w:type="dxa"/>
            <w:shd w:val="clear" w:color="auto" w:fill="A6A6A6" w:themeFill="background1" w:themeFillShade="A6"/>
          </w:tcPr>
          <w:p w14:paraId="3E9CA6B8" w14:textId="77777777" w:rsidR="00EF0C9C" w:rsidRPr="00580A7E" w:rsidRDefault="00EF0C9C" w:rsidP="008819C1">
            <w:pPr>
              <w:rPr>
                <w:rFonts w:ascii="Garamond" w:hAnsi="Garamond"/>
                <w:b/>
                <w:bCs/>
                <w:color w:val="0E2841" w:themeColor="text2"/>
                <w:sz w:val="24"/>
                <w:szCs w:val="24"/>
              </w:rPr>
            </w:pPr>
            <w:r w:rsidRPr="00580A7E">
              <w:rPr>
                <w:rFonts w:ascii="Garamond" w:hAnsi="Garamond"/>
                <w:b/>
                <w:bCs/>
                <w:color w:val="0E2841" w:themeColor="text2"/>
                <w:sz w:val="24"/>
                <w:szCs w:val="24"/>
              </w:rPr>
              <w:t>Name</w:t>
            </w:r>
          </w:p>
        </w:tc>
        <w:tc>
          <w:tcPr>
            <w:tcW w:w="2469" w:type="dxa"/>
            <w:shd w:val="clear" w:color="auto" w:fill="A6A6A6" w:themeFill="background1" w:themeFillShade="A6"/>
          </w:tcPr>
          <w:p w14:paraId="1AB4C1BB" w14:textId="77777777" w:rsidR="00EF0C9C" w:rsidRPr="00580A7E" w:rsidRDefault="00EF0C9C" w:rsidP="008819C1">
            <w:pPr>
              <w:rPr>
                <w:rFonts w:ascii="Garamond" w:hAnsi="Garamond"/>
                <w:b/>
                <w:bCs/>
                <w:color w:val="0E2841" w:themeColor="text2"/>
                <w:sz w:val="24"/>
                <w:szCs w:val="24"/>
              </w:rPr>
            </w:pPr>
            <w:r w:rsidRPr="00580A7E">
              <w:rPr>
                <w:rFonts w:ascii="Garamond" w:hAnsi="Garamond"/>
                <w:b/>
                <w:bCs/>
                <w:color w:val="0E2841" w:themeColor="text2"/>
                <w:sz w:val="24"/>
                <w:szCs w:val="24"/>
              </w:rPr>
              <w:t>Student ID</w:t>
            </w:r>
          </w:p>
        </w:tc>
      </w:tr>
      <w:tr w:rsidR="00EF0C9C" w:rsidRPr="00F250BF" w14:paraId="296C3568" w14:textId="77777777" w:rsidTr="008819C1">
        <w:trPr>
          <w:trHeight w:val="329"/>
        </w:trPr>
        <w:tc>
          <w:tcPr>
            <w:tcW w:w="6944" w:type="dxa"/>
          </w:tcPr>
          <w:p w14:paraId="6CFA34FF" w14:textId="77777777" w:rsidR="00EF0C9C" w:rsidRPr="00F250BF" w:rsidRDefault="00EF0C9C" w:rsidP="008819C1">
            <w:pPr>
              <w:rPr>
                <w:rFonts w:ascii="Garamond" w:hAnsi="Garamond"/>
              </w:rPr>
            </w:pPr>
            <w:r>
              <w:rPr>
                <w:rFonts w:ascii="Garamond" w:hAnsi="Garamond"/>
              </w:rPr>
              <w:t>Fatima Aqeel</w:t>
            </w:r>
          </w:p>
        </w:tc>
        <w:tc>
          <w:tcPr>
            <w:tcW w:w="2469" w:type="dxa"/>
          </w:tcPr>
          <w:p w14:paraId="55D00C14" w14:textId="77777777" w:rsidR="00EF0C9C" w:rsidRPr="00F250BF" w:rsidRDefault="00EF0C9C" w:rsidP="008819C1">
            <w:pPr>
              <w:rPr>
                <w:rFonts w:ascii="Garamond" w:hAnsi="Garamond"/>
              </w:rPr>
            </w:pPr>
            <w:r>
              <w:rPr>
                <w:rFonts w:ascii="Garamond" w:hAnsi="Garamond"/>
              </w:rPr>
              <w:t>051-23-139277</w:t>
            </w:r>
          </w:p>
        </w:tc>
      </w:tr>
      <w:tr w:rsidR="00EF0C9C" w:rsidRPr="00F250BF" w14:paraId="45399DF0" w14:textId="77777777" w:rsidTr="008819C1">
        <w:trPr>
          <w:trHeight w:val="316"/>
        </w:trPr>
        <w:tc>
          <w:tcPr>
            <w:tcW w:w="6944" w:type="dxa"/>
          </w:tcPr>
          <w:p w14:paraId="37499DF7" w14:textId="77777777" w:rsidR="00EF0C9C" w:rsidRPr="00F250BF" w:rsidRDefault="00EF0C9C" w:rsidP="008819C1">
            <w:pPr>
              <w:rPr>
                <w:rFonts w:ascii="Garamond" w:hAnsi="Garamond"/>
              </w:rPr>
            </w:pPr>
            <w:r>
              <w:rPr>
                <w:rFonts w:ascii="Garamond" w:hAnsi="Garamond"/>
              </w:rPr>
              <w:t>Uzma Nawaz</w:t>
            </w:r>
          </w:p>
        </w:tc>
        <w:tc>
          <w:tcPr>
            <w:tcW w:w="2469" w:type="dxa"/>
          </w:tcPr>
          <w:p w14:paraId="1E3DD5A3" w14:textId="77777777" w:rsidR="00EF0C9C" w:rsidRPr="00F250BF" w:rsidRDefault="00EF0C9C" w:rsidP="008819C1">
            <w:pPr>
              <w:rPr>
                <w:rFonts w:ascii="Garamond" w:hAnsi="Garamond"/>
              </w:rPr>
            </w:pPr>
            <w:r>
              <w:rPr>
                <w:rFonts w:ascii="Garamond" w:hAnsi="Garamond"/>
              </w:rPr>
              <w:t>051-23-139244</w:t>
            </w:r>
          </w:p>
        </w:tc>
      </w:tr>
      <w:tr w:rsidR="00EF0C9C" w:rsidRPr="00F250BF" w14:paraId="29E42880" w14:textId="77777777" w:rsidTr="008819C1">
        <w:trPr>
          <w:trHeight w:val="329"/>
        </w:trPr>
        <w:tc>
          <w:tcPr>
            <w:tcW w:w="6944" w:type="dxa"/>
          </w:tcPr>
          <w:p w14:paraId="4E6CE437" w14:textId="77777777" w:rsidR="00EF0C9C" w:rsidRPr="00F250BF" w:rsidRDefault="00EF0C9C" w:rsidP="008819C1">
            <w:pPr>
              <w:rPr>
                <w:rFonts w:ascii="Garamond" w:hAnsi="Garamond"/>
              </w:rPr>
            </w:pPr>
            <w:r>
              <w:rPr>
                <w:rFonts w:ascii="Garamond" w:hAnsi="Garamond"/>
              </w:rPr>
              <w:t>Hamna Rehman</w:t>
            </w:r>
          </w:p>
        </w:tc>
        <w:tc>
          <w:tcPr>
            <w:tcW w:w="2469" w:type="dxa"/>
          </w:tcPr>
          <w:p w14:paraId="427BFEA0" w14:textId="77777777" w:rsidR="00EF0C9C" w:rsidRPr="00F250BF" w:rsidRDefault="00EF0C9C" w:rsidP="008819C1">
            <w:pPr>
              <w:rPr>
                <w:rFonts w:ascii="Garamond" w:hAnsi="Garamond"/>
              </w:rPr>
            </w:pPr>
            <w:r>
              <w:rPr>
                <w:rFonts w:ascii="Garamond" w:hAnsi="Garamond"/>
              </w:rPr>
              <w:t>051-23-139537</w:t>
            </w:r>
          </w:p>
        </w:tc>
      </w:tr>
      <w:tr w:rsidR="00EF0C9C" w:rsidRPr="00F250BF" w14:paraId="56547CC3" w14:textId="77777777" w:rsidTr="008819C1">
        <w:trPr>
          <w:trHeight w:val="329"/>
        </w:trPr>
        <w:tc>
          <w:tcPr>
            <w:tcW w:w="6944" w:type="dxa"/>
          </w:tcPr>
          <w:p w14:paraId="30F29150" w14:textId="77777777" w:rsidR="00EF0C9C" w:rsidRPr="00F250BF" w:rsidRDefault="00EF0C9C" w:rsidP="008819C1">
            <w:pPr>
              <w:rPr>
                <w:rFonts w:ascii="Garamond" w:hAnsi="Garamond"/>
              </w:rPr>
            </w:pPr>
            <w:r>
              <w:rPr>
                <w:rFonts w:ascii="Garamond" w:hAnsi="Garamond"/>
              </w:rPr>
              <w:t>Eman Razzaq</w:t>
            </w:r>
          </w:p>
        </w:tc>
        <w:tc>
          <w:tcPr>
            <w:tcW w:w="2469" w:type="dxa"/>
          </w:tcPr>
          <w:p w14:paraId="64BD8998" w14:textId="77777777" w:rsidR="00EF0C9C" w:rsidRPr="00F250BF" w:rsidRDefault="00EF0C9C" w:rsidP="008819C1">
            <w:pPr>
              <w:rPr>
                <w:rFonts w:ascii="Garamond" w:hAnsi="Garamond"/>
              </w:rPr>
            </w:pPr>
            <w:r>
              <w:rPr>
                <w:rFonts w:ascii="Garamond" w:hAnsi="Garamond"/>
              </w:rPr>
              <w:t>051-23-139927</w:t>
            </w:r>
          </w:p>
        </w:tc>
      </w:tr>
      <w:tr w:rsidR="00EF0C9C" w:rsidRPr="00F250BF" w14:paraId="2F3EDF56" w14:textId="77777777" w:rsidTr="008819C1">
        <w:trPr>
          <w:trHeight w:val="329"/>
        </w:trPr>
        <w:tc>
          <w:tcPr>
            <w:tcW w:w="6944" w:type="dxa"/>
          </w:tcPr>
          <w:p w14:paraId="024317F0" w14:textId="77777777" w:rsidR="00EF0C9C" w:rsidRPr="00F250BF" w:rsidRDefault="00EF0C9C" w:rsidP="008819C1">
            <w:pPr>
              <w:rPr>
                <w:rFonts w:ascii="Garamond" w:hAnsi="Garamond"/>
              </w:rPr>
            </w:pPr>
            <w:r>
              <w:rPr>
                <w:rFonts w:ascii="Garamond" w:hAnsi="Garamond"/>
              </w:rPr>
              <w:t>Hoor Naaz</w:t>
            </w:r>
          </w:p>
        </w:tc>
        <w:tc>
          <w:tcPr>
            <w:tcW w:w="2469" w:type="dxa"/>
          </w:tcPr>
          <w:p w14:paraId="62FA1685" w14:textId="2F1A4370" w:rsidR="00EF0C9C" w:rsidRPr="00F250BF" w:rsidRDefault="00EF0C9C" w:rsidP="008819C1">
            <w:pPr>
              <w:rPr>
                <w:rFonts w:ascii="Garamond" w:hAnsi="Garamond"/>
              </w:rPr>
            </w:pPr>
            <w:r>
              <w:rPr>
                <w:rFonts w:ascii="Garamond" w:hAnsi="Garamond"/>
              </w:rPr>
              <w:t>051-23-13</w:t>
            </w:r>
            <w:r w:rsidR="00730A35">
              <w:rPr>
                <w:rFonts w:ascii="Garamond" w:hAnsi="Garamond"/>
              </w:rPr>
              <w:t>9204</w:t>
            </w:r>
          </w:p>
        </w:tc>
      </w:tr>
      <w:tr w:rsidR="00EF0C9C" w:rsidRPr="00F250BF" w14:paraId="12C89AF3" w14:textId="77777777" w:rsidTr="008819C1">
        <w:trPr>
          <w:trHeight w:val="316"/>
        </w:trPr>
        <w:tc>
          <w:tcPr>
            <w:tcW w:w="6944" w:type="dxa"/>
          </w:tcPr>
          <w:p w14:paraId="1A0AA9C1" w14:textId="77777777" w:rsidR="00EF0C9C" w:rsidRPr="00F250BF" w:rsidRDefault="00EF0C9C" w:rsidP="008819C1">
            <w:pPr>
              <w:rPr>
                <w:rFonts w:ascii="Garamond" w:hAnsi="Garamond"/>
              </w:rPr>
            </w:pPr>
            <w:r>
              <w:rPr>
                <w:rFonts w:ascii="Garamond" w:hAnsi="Garamond"/>
              </w:rPr>
              <w:t>Fatima Irshad</w:t>
            </w:r>
          </w:p>
        </w:tc>
        <w:tc>
          <w:tcPr>
            <w:tcW w:w="2469" w:type="dxa"/>
          </w:tcPr>
          <w:p w14:paraId="261F1DD7" w14:textId="72791A7F" w:rsidR="00EF0C9C" w:rsidRPr="00F250BF" w:rsidRDefault="00730A35" w:rsidP="008819C1">
            <w:pPr>
              <w:rPr>
                <w:rFonts w:ascii="Garamond" w:hAnsi="Garamond"/>
              </w:rPr>
            </w:pPr>
            <w:r>
              <w:rPr>
                <w:rFonts w:ascii="Garamond" w:hAnsi="Garamond"/>
              </w:rPr>
              <w:t>051-23-139792</w:t>
            </w:r>
          </w:p>
        </w:tc>
      </w:tr>
    </w:tbl>
    <w:p w14:paraId="34ED0796" w14:textId="77777777" w:rsidR="00EF0C9C" w:rsidRDefault="00EF0C9C" w:rsidP="00EF0C9C">
      <w:pPr>
        <w:rPr>
          <w:rFonts w:ascii="Garamond" w:hAnsi="Garamond"/>
        </w:rPr>
      </w:pPr>
    </w:p>
    <w:p w14:paraId="0448DEE3" w14:textId="77777777" w:rsidR="00EF0C9C" w:rsidRPr="00F250BF" w:rsidRDefault="00EF0C9C" w:rsidP="00EF0C9C">
      <w:pPr>
        <w:rPr>
          <w:rFonts w:ascii="Garamond" w:hAnsi="Garamond"/>
        </w:rPr>
      </w:pPr>
    </w:p>
    <w:p w14:paraId="7A9B5253" w14:textId="77777777" w:rsidR="00EF0C9C" w:rsidRPr="00B22139" w:rsidRDefault="00EF0C9C" w:rsidP="00EF0C9C">
      <w:pPr>
        <w:rPr>
          <w:rFonts w:ascii="Garamond" w:hAnsi="Garamond"/>
          <w:b/>
          <w:bCs/>
          <w:sz w:val="28"/>
          <w:szCs w:val="28"/>
        </w:rPr>
      </w:pPr>
      <w:r w:rsidRPr="00F250BF">
        <w:rPr>
          <w:rFonts w:ascii="Garamond" w:hAnsi="Garamond"/>
          <w:sz w:val="28"/>
          <w:szCs w:val="28"/>
        </w:rPr>
        <w:t>Submitted By:</w:t>
      </w:r>
      <w:r>
        <w:rPr>
          <w:rFonts w:ascii="Garamond" w:hAnsi="Garamond"/>
          <w:sz w:val="28"/>
          <w:szCs w:val="28"/>
        </w:rPr>
        <w:t xml:space="preserve"> </w:t>
      </w:r>
      <w:r w:rsidRPr="00B22139">
        <w:rPr>
          <w:rFonts w:ascii="Garamond" w:hAnsi="Garamond"/>
          <w:color w:val="0E2841" w:themeColor="text2"/>
          <w:sz w:val="28"/>
          <w:szCs w:val="28"/>
        </w:rPr>
        <w:t>Fatima Aqeel</w:t>
      </w:r>
    </w:p>
    <w:p w14:paraId="33B22C45" w14:textId="77777777" w:rsidR="00EF0C9C" w:rsidRPr="00B22139" w:rsidRDefault="00EF0C9C" w:rsidP="00EF0C9C">
      <w:pPr>
        <w:rPr>
          <w:rFonts w:ascii="Garamond" w:hAnsi="Garamond"/>
          <w:b/>
          <w:bCs/>
          <w:sz w:val="28"/>
          <w:szCs w:val="28"/>
        </w:rPr>
      </w:pPr>
      <w:r w:rsidRPr="00F250BF">
        <w:rPr>
          <w:rFonts w:ascii="Garamond" w:hAnsi="Garamond"/>
          <w:sz w:val="28"/>
          <w:szCs w:val="28"/>
        </w:rPr>
        <w:t>Submitted to:</w:t>
      </w:r>
      <w:r>
        <w:rPr>
          <w:rFonts w:ascii="Garamond" w:hAnsi="Garamond"/>
          <w:sz w:val="28"/>
          <w:szCs w:val="28"/>
        </w:rPr>
        <w:t xml:space="preserve"> </w:t>
      </w:r>
      <w:r w:rsidRPr="00B22139">
        <w:rPr>
          <w:rFonts w:ascii="Garamond" w:hAnsi="Garamond"/>
          <w:b/>
          <w:bCs/>
          <w:color w:val="0E2841" w:themeColor="text2"/>
          <w:sz w:val="28"/>
          <w:szCs w:val="28"/>
        </w:rPr>
        <w:t>Muhammad Moeen Raza</w:t>
      </w:r>
      <w:r w:rsidRPr="00B22139">
        <w:rPr>
          <w:rFonts w:ascii="Garamond" w:hAnsi="Garamond"/>
          <w:color w:val="0E2841" w:themeColor="text2"/>
          <w:sz w:val="28"/>
          <w:szCs w:val="28"/>
        </w:rPr>
        <w:t xml:space="preserve"> </w:t>
      </w:r>
      <w:r>
        <w:rPr>
          <w:rFonts w:ascii="Garamond" w:hAnsi="Garamond"/>
          <w:sz w:val="28"/>
          <w:szCs w:val="28"/>
        </w:rPr>
        <w:t xml:space="preserve">and </w:t>
      </w:r>
      <w:r w:rsidRPr="00B22139">
        <w:rPr>
          <w:rFonts w:ascii="Garamond" w:hAnsi="Garamond"/>
          <w:b/>
          <w:bCs/>
          <w:color w:val="0E2841" w:themeColor="text2"/>
          <w:sz w:val="28"/>
          <w:szCs w:val="28"/>
        </w:rPr>
        <w:t>Dr. Tabinda Azim</w:t>
      </w:r>
    </w:p>
    <w:p w14:paraId="55591F1E" w14:textId="389C1712" w:rsidR="00EF0C9C" w:rsidRPr="00F250BF" w:rsidRDefault="00EF0C9C" w:rsidP="00EF0C9C">
      <w:pPr>
        <w:rPr>
          <w:rFonts w:ascii="Garamond" w:hAnsi="Garamond"/>
          <w:sz w:val="28"/>
          <w:szCs w:val="28"/>
        </w:rPr>
      </w:pPr>
      <w:r>
        <w:rPr>
          <w:rFonts w:ascii="Garamond" w:hAnsi="Garamond"/>
          <w:sz w:val="28"/>
          <w:szCs w:val="28"/>
        </w:rPr>
        <w:t>Date: Still in process /</w:t>
      </w:r>
      <w:r w:rsidRPr="00F250BF">
        <w:rPr>
          <w:rFonts w:ascii="Garamond" w:hAnsi="Garamond"/>
          <w:sz w:val="28"/>
          <w:szCs w:val="28"/>
        </w:rPr>
        <w:t>2026</w:t>
      </w:r>
    </w:p>
    <w:p w14:paraId="570BA9BF" w14:textId="77777777" w:rsidR="00EF0C9C" w:rsidRPr="00F250BF" w:rsidRDefault="00EF0C9C" w:rsidP="00EF0C9C">
      <w:pPr>
        <w:rPr>
          <w:rFonts w:ascii="Garamond" w:hAnsi="Garamond"/>
          <w:b/>
          <w:bCs/>
        </w:rPr>
      </w:pPr>
    </w:p>
    <w:p w14:paraId="757BFB25" w14:textId="77777777" w:rsidR="00EF0C9C" w:rsidRPr="00F250BF" w:rsidRDefault="00EF0C9C" w:rsidP="00EF0C9C">
      <w:pPr>
        <w:rPr>
          <w:rFonts w:ascii="Garamond" w:hAnsi="Garamond"/>
          <w:b/>
          <w:bCs/>
        </w:rPr>
      </w:pPr>
      <w:r w:rsidRPr="00F250BF">
        <w:rPr>
          <w:rFonts w:ascii="Garamond" w:hAnsi="Garamond"/>
          <w:b/>
          <w:bCs/>
          <w:u w:val="single"/>
        </w:rPr>
        <w:t xml:space="preserve">Supervisor:  </w:t>
      </w:r>
      <w:r w:rsidRPr="00F250BF">
        <w:rPr>
          <w:rFonts w:ascii="Garamond" w:hAnsi="Garamond"/>
          <w:b/>
          <w:bCs/>
        </w:rPr>
        <w:tab/>
      </w:r>
      <w:r w:rsidRPr="00F250BF">
        <w:rPr>
          <w:rFonts w:ascii="Garamond" w:hAnsi="Garamond"/>
          <w:b/>
          <w:bCs/>
        </w:rPr>
        <w:tab/>
        <w:t xml:space="preserve">            </w:t>
      </w:r>
      <w:r w:rsidRPr="00F250BF">
        <w:rPr>
          <w:rFonts w:ascii="Garamond" w:hAnsi="Garamond"/>
          <w:b/>
          <w:bCs/>
        </w:rPr>
        <w:tab/>
      </w:r>
      <w:r w:rsidRPr="00F250BF">
        <w:rPr>
          <w:rFonts w:ascii="Garamond" w:hAnsi="Garamond"/>
          <w:b/>
          <w:bCs/>
        </w:rPr>
        <w:tab/>
      </w:r>
      <w:r w:rsidRPr="00F250BF">
        <w:rPr>
          <w:rFonts w:ascii="Garamond" w:hAnsi="Garamond"/>
          <w:b/>
          <w:bCs/>
        </w:rPr>
        <w:tab/>
        <w:t xml:space="preserve">                                      </w:t>
      </w:r>
      <w:r>
        <w:rPr>
          <w:rFonts w:ascii="Garamond" w:hAnsi="Garamond"/>
          <w:b/>
          <w:bCs/>
        </w:rPr>
        <w:t xml:space="preserve">  </w:t>
      </w:r>
      <w:r w:rsidRPr="00F250BF">
        <w:rPr>
          <w:rFonts w:ascii="Garamond" w:hAnsi="Garamond"/>
          <w:b/>
          <w:bCs/>
          <w:u w:val="single"/>
        </w:rPr>
        <w:t>Supervisor:</w:t>
      </w:r>
      <w:r w:rsidRPr="00F250BF">
        <w:rPr>
          <w:rFonts w:ascii="Garamond" w:hAnsi="Garamond"/>
          <w:b/>
          <w:bCs/>
        </w:rPr>
        <w:t xml:space="preserve"> </w:t>
      </w:r>
    </w:p>
    <w:p w14:paraId="305EB6D3" w14:textId="77777777" w:rsidR="00EF0C9C" w:rsidRPr="00580A7E" w:rsidRDefault="00EF0C9C" w:rsidP="00EF0C9C">
      <w:pPr>
        <w:rPr>
          <w:rFonts w:ascii="Garamond" w:hAnsi="Garamond"/>
          <w:color w:val="0E2841" w:themeColor="text2"/>
        </w:rPr>
      </w:pPr>
      <w:r w:rsidRPr="00580A7E">
        <w:rPr>
          <w:rFonts w:ascii="Garamond" w:hAnsi="Garamond"/>
          <w:color w:val="0E2841" w:themeColor="text2"/>
        </w:rPr>
        <w:t>Muhammad Moeen Raza</w:t>
      </w:r>
      <w:r w:rsidRPr="00580A7E">
        <w:rPr>
          <w:rFonts w:ascii="Garamond" w:hAnsi="Garamond"/>
          <w:color w:val="0E2841" w:themeColor="text2"/>
        </w:rPr>
        <w:tab/>
      </w:r>
      <w:r w:rsidRPr="00580A7E">
        <w:rPr>
          <w:rFonts w:ascii="Garamond" w:hAnsi="Garamond"/>
          <w:color w:val="0E2841" w:themeColor="text2"/>
        </w:rPr>
        <w:tab/>
      </w:r>
      <w:r w:rsidRPr="00580A7E">
        <w:rPr>
          <w:rFonts w:ascii="Garamond" w:hAnsi="Garamond"/>
          <w:color w:val="0E2841" w:themeColor="text2"/>
        </w:rPr>
        <w:tab/>
      </w:r>
      <w:r w:rsidRPr="00580A7E">
        <w:rPr>
          <w:rFonts w:ascii="Garamond" w:hAnsi="Garamond"/>
          <w:color w:val="0E2841" w:themeColor="text2"/>
        </w:rPr>
        <w:tab/>
      </w:r>
      <w:r w:rsidRPr="00580A7E">
        <w:rPr>
          <w:rFonts w:ascii="Garamond" w:hAnsi="Garamond"/>
          <w:color w:val="0E2841" w:themeColor="text2"/>
        </w:rPr>
        <w:tab/>
      </w:r>
      <w:r w:rsidRPr="00580A7E">
        <w:rPr>
          <w:rFonts w:ascii="Garamond" w:hAnsi="Garamond"/>
          <w:color w:val="0E2841" w:themeColor="text2"/>
        </w:rPr>
        <w:tab/>
        <w:t xml:space="preserve">       Dr Tabinda Azim</w:t>
      </w:r>
    </w:p>
    <w:p w14:paraId="3C988436" w14:textId="77777777" w:rsidR="00EF0C9C" w:rsidRPr="00580A7E" w:rsidRDefault="00EF0C9C" w:rsidP="00EF0C9C">
      <w:pPr>
        <w:rPr>
          <w:rFonts w:ascii="Garamond" w:hAnsi="Garamond"/>
          <w:color w:val="0E2841" w:themeColor="text2"/>
        </w:rPr>
      </w:pPr>
    </w:p>
    <w:p w14:paraId="4214D100" w14:textId="77777777" w:rsidR="00EF0C9C" w:rsidRPr="00F250BF" w:rsidRDefault="00EF0C9C" w:rsidP="00EF0C9C">
      <w:pPr>
        <w:rPr>
          <w:rFonts w:ascii="Garamond" w:hAnsi="Garamond"/>
          <w:b/>
          <w:bCs/>
        </w:rPr>
      </w:pPr>
    </w:p>
    <w:p w14:paraId="33A2CE7C" w14:textId="77777777" w:rsidR="00EF0C9C" w:rsidRPr="00F250BF" w:rsidRDefault="00EF0C9C" w:rsidP="00EF0C9C">
      <w:pPr>
        <w:rPr>
          <w:rFonts w:ascii="Garamond" w:hAnsi="Garamond"/>
          <w:b/>
          <w:bCs/>
          <w:u w:val="single"/>
        </w:rPr>
      </w:pPr>
    </w:p>
    <w:p w14:paraId="07D82A97" w14:textId="77777777" w:rsidR="00EF0C9C" w:rsidRPr="00F250BF" w:rsidRDefault="00EF0C9C" w:rsidP="00EF0C9C">
      <w:pPr>
        <w:jc w:val="center"/>
        <w:rPr>
          <w:rFonts w:ascii="Garamond" w:hAnsi="Garamond"/>
          <w:b/>
          <w:bCs/>
          <w:u w:val="single"/>
        </w:rPr>
      </w:pPr>
      <w:r w:rsidRPr="00F250BF">
        <w:rPr>
          <w:rFonts w:ascii="Garamond" w:hAnsi="Garamond"/>
          <w:b/>
          <w:bCs/>
          <w:u w:val="single"/>
        </w:rPr>
        <w:t>Head of Department</w:t>
      </w:r>
    </w:p>
    <w:p w14:paraId="0AE69789" w14:textId="77777777" w:rsidR="00EF0C9C" w:rsidRPr="00580A7E" w:rsidRDefault="00EF0C9C" w:rsidP="00EF0C9C">
      <w:pPr>
        <w:jc w:val="center"/>
        <w:rPr>
          <w:rFonts w:ascii="Garamond" w:hAnsi="Garamond"/>
          <w:color w:val="0E2841" w:themeColor="text2"/>
        </w:rPr>
      </w:pPr>
      <w:r w:rsidRPr="00580A7E">
        <w:rPr>
          <w:rFonts w:ascii="Garamond" w:hAnsi="Garamond"/>
          <w:color w:val="0E2841" w:themeColor="text2"/>
        </w:rPr>
        <w:t>Dr Kishwar Sultana</w:t>
      </w:r>
    </w:p>
    <w:p w14:paraId="7A2C0725" w14:textId="77777777" w:rsidR="005F0924" w:rsidRDefault="005F0924"/>
    <w:p w14:paraId="061B1CA4" w14:textId="77777777" w:rsidR="005F0924" w:rsidRDefault="005F0924">
      <w:pPr>
        <w:spacing w:before="60" w:after="60"/>
      </w:pPr>
    </w:p>
    <w:p w14:paraId="5A49F95D" w14:textId="77777777" w:rsidR="00EF0C9C" w:rsidRDefault="00EF0C9C">
      <w:pPr>
        <w:spacing w:before="60" w:after="60"/>
      </w:pPr>
    </w:p>
    <w:p w14:paraId="355D34C6" w14:textId="77777777" w:rsidR="00EF0C9C" w:rsidRDefault="00EF0C9C">
      <w:pPr>
        <w:spacing w:before="60" w:after="60"/>
      </w:pPr>
    </w:p>
    <w:p w14:paraId="47D04010" w14:textId="77777777" w:rsidR="00EF0C9C" w:rsidRDefault="00EF0C9C">
      <w:pPr>
        <w:spacing w:before="60" w:after="60"/>
      </w:pPr>
    </w:p>
    <w:p w14:paraId="59267F57" w14:textId="77777777" w:rsidR="005F0924" w:rsidRDefault="005F0924">
      <w:pPr>
        <w:spacing w:before="60" w:after="60"/>
      </w:pPr>
    </w:p>
    <w:p w14:paraId="34F01C8D" w14:textId="77777777" w:rsidR="005F0924" w:rsidRDefault="005F0924">
      <w:pPr>
        <w:spacing w:before="60" w:after="60"/>
      </w:pPr>
    </w:p>
    <w:p w14:paraId="7A840EEE" w14:textId="77777777" w:rsidR="005F0924" w:rsidRDefault="00000000">
      <w:pPr>
        <w:pBdr>
          <w:top w:val="single" w:sz="8" w:space="4" w:color="2E75B6"/>
          <w:left w:val="single" w:sz="24" w:space="8" w:color="2980B9"/>
          <w:bottom w:val="single" w:sz="8" w:space="4" w:color="2E75B6"/>
        </w:pBdr>
        <w:shd w:val="clear" w:color="auto" w:fill="D6E4F0"/>
        <w:spacing w:before="240" w:after="160"/>
        <w:ind w:left="280" w:right="280"/>
      </w:pPr>
      <w:r>
        <w:rPr>
          <w:b/>
          <w:bCs/>
          <w:color w:val="1F4E79"/>
          <w:sz w:val="26"/>
          <w:szCs w:val="26"/>
        </w:rPr>
        <w:t>ABSTRACT</w:t>
      </w:r>
    </w:p>
    <w:p w14:paraId="373DCC21" w14:textId="77777777" w:rsidR="005F0924" w:rsidRDefault="00000000">
      <w:pPr>
        <w:shd w:val="clear" w:color="auto" w:fill="EEF5FA"/>
        <w:spacing w:before="120" w:after="120"/>
        <w:ind w:left="280" w:right="280"/>
      </w:pPr>
      <w:r>
        <w:rPr>
          <w:color w:val="333333"/>
        </w:rPr>
        <w:t>Vaccination is among the most effective public health strategies for preventing infectious diseases and reducing morbidity and mortality worldwide. However, vaccine hesitancy—driven by misinformation, lack of awareness, and cultural or religious concerns—continues to pose a major challenge, including in Pakistan. University students represent a critical demographic as future healthcare consumers, community influencers, and potential healthcare workers. This study aims to assess the level of knowledge and attitudes toward vaccination among undergraduate students at Iqra University, Islamabad Campus. A cross-sectional survey design will be employed, targeting a sample of 50 students selected through convenience sampling. Data will be collected using a structured questionnaire administered via MS Excel. Descriptive statistics, including frequency distributions and percentages, will be computed and visualized through Pivot Tables and Pivot Chart Dashboards. Findings will be compiled into a PowerPoint presentation and integrated into a linked web page to enhance accessibility and dissemination. Results from this study are expected to inform targeted educational interventions aimed at improving vaccination awareness and acceptance among university students.</w:t>
      </w:r>
    </w:p>
    <w:p w14:paraId="58CCD7A4" w14:textId="77777777" w:rsidR="005F0924" w:rsidRDefault="005F0924">
      <w:pPr>
        <w:spacing w:before="60" w:after="60"/>
      </w:pPr>
    </w:p>
    <w:p w14:paraId="45799D9F" w14:textId="77777777" w:rsidR="005F0924" w:rsidRDefault="00000000">
      <w:pPr>
        <w:pStyle w:val="Heading1"/>
        <w:pBdr>
          <w:bottom w:val="single" w:sz="8" w:space="4" w:color="2E75B6"/>
        </w:pBdr>
      </w:pPr>
      <w:r>
        <w:t>1. Introduction</w:t>
      </w:r>
    </w:p>
    <w:p w14:paraId="65A0BDF1" w14:textId="29063C30" w:rsidR="005F0924" w:rsidRDefault="00000000">
      <w:pPr>
        <w:spacing w:before="60" w:after="140"/>
      </w:pPr>
      <w:r>
        <w:rPr>
          <w:color w:val="222222"/>
        </w:rPr>
        <w:t xml:space="preserve">Vaccination is one of the greatest public health achievements of the 20th and 21st centuries. Vaccines have led to the eradication of smallpox, the </w:t>
      </w:r>
      <w:r w:rsidR="00EF0C9C">
        <w:rPr>
          <w:color w:val="222222"/>
        </w:rPr>
        <w:t>near elimination</w:t>
      </w:r>
      <w:r>
        <w:rPr>
          <w:color w:val="222222"/>
        </w:rPr>
        <w:t xml:space="preserve"> of polio, and a dramatic reduction in the incidence of diseases such as measles, hepatitis B, and meningitis. According to the World Health Organization (WHO), vaccines prevent 2 to 3 million deaths every year globally, and an additional 1.5 million deaths could be averted if vaccine coverage were improved worldwide.</w:t>
      </w:r>
    </w:p>
    <w:p w14:paraId="62A3B6F1" w14:textId="77777777" w:rsidR="005F0924" w:rsidRDefault="00000000">
      <w:pPr>
        <w:spacing w:before="60" w:after="140"/>
      </w:pPr>
      <w:r>
        <w:rPr>
          <w:color w:val="222222"/>
        </w:rPr>
        <w:t>Despite these proven benefits, vaccine hesitancy—defined as a delay in acceptance or refusal of vaccines despite the availability of vaccine services—has become a growing public health concern. The WHO listed vaccine hesitancy as one of the ten threats to global health in 2019. This phenomenon is influenced by a complex interplay of factors including complacency, lack of confidence in vaccines or healthcare providers, and barriers to access.</w:t>
      </w:r>
    </w:p>
    <w:p w14:paraId="3DAE2713" w14:textId="77777777" w:rsidR="005F0924" w:rsidRDefault="00000000">
      <w:pPr>
        <w:spacing w:before="60" w:after="140"/>
      </w:pPr>
      <w:r>
        <w:rPr>
          <w:color w:val="222222"/>
        </w:rPr>
        <w:t>In Pakistan, the situation is particularly concerning. The country continues to report cases of vaccine-preventable diseases, partly due to low immunization coverage and persistent myths about vaccine safety and efficacy. Community-level awareness campaigns have yielded mixed results, highlighting the need to understand the knowledge base and attitudinal factors that influence vaccine uptake at the individual level.</w:t>
      </w:r>
    </w:p>
    <w:p w14:paraId="5D1DD07A" w14:textId="77777777" w:rsidR="005F0924" w:rsidRDefault="00000000">
      <w:pPr>
        <w:spacing w:before="60" w:after="140"/>
      </w:pPr>
      <w:r>
        <w:rPr>
          <w:color w:val="222222"/>
        </w:rPr>
        <w:t xml:space="preserve">University students occupy a unique position in society. As young adults transitioning into professional and civic roles, their perceptions about vaccination can shape broader community behavior. Moreover, students enrolled in health-related disciplines may become </w:t>
      </w:r>
      <w:r>
        <w:rPr>
          <w:color w:val="222222"/>
        </w:rPr>
        <w:lastRenderedPageBreak/>
        <w:t>future advocates or detractors of vaccination programs. Understanding their current level of knowledge and attitudes is therefore crucial for designing targeted, evidence-based health communication strategies.</w:t>
      </w:r>
    </w:p>
    <w:p w14:paraId="5BD3CA96" w14:textId="77777777" w:rsidR="005F0924" w:rsidRDefault="00000000">
      <w:pPr>
        <w:spacing w:before="60" w:after="140"/>
      </w:pPr>
      <w:r>
        <w:rPr>
          <w:color w:val="222222"/>
        </w:rPr>
        <w:t>This proposal outlines a research study to be conducted at Iqra University, Islamabad Campus, with the objective of evaluating students' knowledge and attitudes toward vaccination. The study employs a cross-sectional survey methodology and uses descriptive statistics for data analysis.</w:t>
      </w:r>
    </w:p>
    <w:p w14:paraId="670FB667" w14:textId="77777777" w:rsidR="005F0924" w:rsidRDefault="005F0924">
      <w:pPr>
        <w:spacing w:before="60" w:after="60"/>
      </w:pPr>
    </w:p>
    <w:p w14:paraId="60D58C6B" w14:textId="77777777" w:rsidR="005F0924" w:rsidRDefault="00000000">
      <w:pPr>
        <w:pStyle w:val="Heading1"/>
        <w:pBdr>
          <w:bottom w:val="single" w:sz="8" w:space="4" w:color="2E75B6"/>
        </w:pBdr>
      </w:pPr>
      <w:r>
        <w:t>2. Problem Statement</w:t>
      </w:r>
    </w:p>
    <w:p w14:paraId="7B78E080" w14:textId="77777777" w:rsidR="005F0924" w:rsidRDefault="00000000">
      <w:pPr>
        <w:spacing w:before="60" w:after="140"/>
      </w:pPr>
      <w:r>
        <w:rPr>
          <w:color w:val="222222"/>
        </w:rPr>
        <w:t>Vaccine hesitancy among young adults, including university students, is a critical yet underexplored issue in Pakistan. While national immunization programs target children, the attitudes and knowledge of the emerging adult population regarding vaccination remain poorly documented. University students, particularly in urban settings like Islamabad, are regularly exposed to conflicting information via social media, peer networks, and conventional media, which may shape their perception of vaccines either positively or negatively.</w:t>
      </w:r>
    </w:p>
    <w:p w14:paraId="67498376" w14:textId="77777777" w:rsidR="005F0924" w:rsidRDefault="00000000">
      <w:pPr>
        <w:spacing w:before="60" w:after="140"/>
      </w:pPr>
      <w:r>
        <w:rPr>
          <w:color w:val="222222"/>
        </w:rPr>
        <w:t>Several specific problems motivate this study:</w:t>
      </w:r>
    </w:p>
    <w:p w14:paraId="0A45348A" w14:textId="77777777" w:rsidR="005F0924" w:rsidRDefault="00000000">
      <w:pPr>
        <w:pStyle w:val="ListParagraph"/>
        <w:numPr>
          <w:ilvl w:val="0"/>
          <w:numId w:val="2"/>
        </w:numPr>
        <w:spacing w:before="40" w:after="40"/>
      </w:pPr>
      <w:r>
        <w:rPr>
          <w:color w:val="222222"/>
        </w:rPr>
        <w:t>There is limited data on the vaccination-related knowledge levels of university students in Pakistan, particularly in Islamabad.</w:t>
      </w:r>
    </w:p>
    <w:p w14:paraId="1BFD507A" w14:textId="77777777" w:rsidR="005F0924" w:rsidRDefault="00000000">
      <w:pPr>
        <w:pStyle w:val="ListParagraph"/>
        <w:numPr>
          <w:ilvl w:val="0"/>
          <w:numId w:val="2"/>
        </w:numPr>
        <w:spacing w:before="40" w:after="40"/>
      </w:pPr>
      <w:r>
        <w:rPr>
          <w:color w:val="222222"/>
        </w:rPr>
        <w:t>Misinformation and conspiracy theories about vaccines are rampant on digital platforms, and university students are frequent users of social media.</w:t>
      </w:r>
    </w:p>
    <w:p w14:paraId="60051097" w14:textId="77777777" w:rsidR="005F0924" w:rsidRDefault="00000000">
      <w:pPr>
        <w:pStyle w:val="ListParagraph"/>
        <w:numPr>
          <w:ilvl w:val="0"/>
          <w:numId w:val="2"/>
        </w:numPr>
        <w:spacing w:before="40" w:after="40"/>
      </w:pPr>
      <w:r>
        <w:rPr>
          <w:color w:val="222222"/>
        </w:rPr>
        <w:t>Negative attitudes toward vaccination among students may translate into vaccine avoidance not only for themselves but also in influencing younger siblings, relatives, and future generations.</w:t>
      </w:r>
    </w:p>
    <w:p w14:paraId="3D5A5A81" w14:textId="77777777" w:rsidR="005F0924" w:rsidRDefault="00000000">
      <w:pPr>
        <w:pStyle w:val="ListParagraph"/>
        <w:numPr>
          <w:ilvl w:val="0"/>
          <w:numId w:val="2"/>
        </w:numPr>
        <w:spacing w:before="40" w:after="40"/>
      </w:pPr>
      <w:r>
        <w:rPr>
          <w:color w:val="222222"/>
        </w:rPr>
        <w:t>There is a gap between the availability of vaccines and the willingness to accept them, and this gap is not well-studied in the student population.</w:t>
      </w:r>
    </w:p>
    <w:p w14:paraId="4E4EE50C" w14:textId="77777777" w:rsidR="005F0924" w:rsidRDefault="005F0924">
      <w:pPr>
        <w:spacing w:before="60" w:after="60"/>
      </w:pPr>
    </w:p>
    <w:p w14:paraId="43B5E390" w14:textId="77777777" w:rsidR="005F0924" w:rsidRDefault="00000000">
      <w:pPr>
        <w:spacing w:before="60" w:after="140"/>
      </w:pPr>
      <w:r>
        <w:rPr>
          <w:color w:val="222222"/>
        </w:rPr>
        <w:t>Without a clear understanding of current knowledge levels and prevailing attitudes, it is difficult to design effective vaccination awareness programs tailored to the student community. This study seeks to bridge that gap by generating baseline data specific to Iqra University, Islamabad Campus.</w:t>
      </w:r>
    </w:p>
    <w:p w14:paraId="33E7DBDD" w14:textId="77777777" w:rsidR="005F0924" w:rsidRDefault="005F0924">
      <w:pPr>
        <w:spacing w:before="60" w:after="60"/>
      </w:pPr>
    </w:p>
    <w:p w14:paraId="60EA6AE0" w14:textId="77777777" w:rsidR="005F0924" w:rsidRDefault="00000000">
      <w:pPr>
        <w:pStyle w:val="Heading1"/>
        <w:pBdr>
          <w:bottom w:val="single" w:sz="8" w:space="4" w:color="2E75B6"/>
        </w:pBdr>
      </w:pPr>
      <w:r>
        <w:t>3. Research Objectives</w:t>
      </w:r>
    </w:p>
    <w:p w14:paraId="1C12F90E" w14:textId="77777777" w:rsidR="005F0924" w:rsidRDefault="00000000">
      <w:pPr>
        <w:pStyle w:val="Heading2"/>
      </w:pPr>
      <w:r>
        <w:t>3.1 General Objective</w:t>
      </w:r>
    </w:p>
    <w:p w14:paraId="1EE95439" w14:textId="77777777" w:rsidR="005F0924" w:rsidRDefault="00000000">
      <w:pPr>
        <w:spacing w:before="60" w:after="140"/>
      </w:pPr>
      <w:r>
        <w:rPr>
          <w:color w:val="222222"/>
        </w:rPr>
        <w:t>To assess the knowledge and attitudes of undergraduate students at Iqra University, Islamabad Campus, toward vaccination.</w:t>
      </w:r>
    </w:p>
    <w:p w14:paraId="7850C2C7" w14:textId="77777777" w:rsidR="005F0924" w:rsidRDefault="005F0924">
      <w:pPr>
        <w:spacing w:before="60" w:after="60"/>
      </w:pPr>
    </w:p>
    <w:p w14:paraId="4D4D55B6" w14:textId="77777777" w:rsidR="005F0924" w:rsidRDefault="00000000">
      <w:pPr>
        <w:pStyle w:val="Heading2"/>
      </w:pPr>
      <w:r>
        <w:lastRenderedPageBreak/>
        <w:t>3.2 Specific Objectives</w:t>
      </w:r>
    </w:p>
    <w:p w14:paraId="2ADE060E" w14:textId="532A46F7" w:rsidR="005F0924" w:rsidRDefault="00000000">
      <w:pPr>
        <w:pStyle w:val="ListParagraph"/>
        <w:numPr>
          <w:ilvl w:val="0"/>
          <w:numId w:val="3"/>
        </w:numPr>
        <w:spacing w:before="40" w:after="40"/>
      </w:pPr>
      <w:r>
        <w:rPr>
          <w:color w:val="222222"/>
        </w:rPr>
        <w:t xml:space="preserve">To determine the level of knowledge </w:t>
      </w:r>
      <w:r w:rsidR="00EF0C9C">
        <w:rPr>
          <w:color w:val="222222"/>
        </w:rPr>
        <w:t>students,</w:t>
      </w:r>
      <w:r>
        <w:rPr>
          <w:color w:val="222222"/>
        </w:rPr>
        <w:t xml:space="preserve"> have about vaccines, their mechanisms, types, and recommended schedules.</w:t>
      </w:r>
    </w:p>
    <w:p w14:paraId="229AFFE2" w14:textId="77777777" w:rsidR="005F0924" w:rsidRDefault="00000000">
      <w:pPr>
        <w:pStyle w:val="ListParagraph"/>
        <w:numPr>
          <w:ilvl w:val="0"/>
          <w:numId w:val="3"/>
        </w:numPr>
        <w:spacing w:before="40" w:after="40"/>
      </w:pPr>
      <w:r>
        <w:rPr>
          <w:color w:val="222222"/>
        </w:rPr>
        <w:t>To evaluate students' attitudes (positive, negative, or neutral) toward routine and COVID-19 vaccination.</w:t>
      </w:r>
    </w:p>
    <w:p w14:paraId="2F574ECE" w14:textId="77777777" w:rsidR="005F0924" w:rsidRDefault="00000000">
      <w:pPr>
        <w:pStyle w:val="ListParagraph"/>
        <w:numPr>
          <w:ilvl w:val="0"/>
          <w:numId w:val="3"/>
        </w:numPr>
        <w:spacing w:before="40" w:after="40"/>
      </w:pPr>
      <w:r>
        <w:rPr>
          <w:color w:val="222222"/>
        </w:rPr>
        <w:t>To identify common misconceptions or myths held by students regarding vaccine safety and efficacy.</w:t>
      </w:r>
    </w:p>
    <w:p w14:paraId="4376F62C" w14:textId="77777777" w:rsidR="005F0924" w:rsidRDefault="00000000">
      <w:pPr>
        <w:pStyle w:val="ListParagraph"/>
        <w:numPr>
          <w:ilvl w:val="0"/>
          <w:numId w:val="3"/>
        </w:numPr>
        <w:spacing w:before="40" w:after="40"/>
      </w:pPr>
      <w:r>
        <w:rPr>
          <w:color w:val="222222"/>
        </w:rPr>
        <w:t xml:space="preserve">To explore the sources of vaccine-related information </w:t>
      </w:r>
      <w:proofErr w:type="gramStart"/>
      <w:r>
        <w:rPr>
          <w:color w:val="222222"/>
        </w:rPr>
        <w:t>most commonly accessed</w:t>
      </w:r>
      <w:proofErr w:type="gramEnd"/>
      <w:r>
        <w:rPr>
          <w:color w:val="222222"/>
        </w:rPr>
        <w:t xml:space="preserve"> by students (e.g., social media, healthcare providers, family).</w:t>
      </w:r>
    </w:p>
    <w:p w14:paraId="45CEDECF" w14:textId="77777777" w:rsidR="005F0924" w:rsidRDefault="00000000">
      <w:pPr>
        <w:pStyle w:val="ListParagraph"/>
        <w:numPr>
          <w:ilvl w:val="0"/>
          <w:numId w:val="3"/>
        </w:numPr>
        <w:spacing w:before="40" w:after="40"/>
      </w:pPr>
      <w:r>
        <w:rPr>
          <w:color w:val="222222"/>
        </w:rPr>
        <w:t>To examine the relationship between academic discipline (health vs. non-health programs) and vaccination knowledge/attitude.</w:t>
      </w:r>
    </w:p>
    <w:p w14:paraId="2C468976" w14:textId="77777777" w:rsidR="005F0924" w:rsidRDefault="005F0924">
      <w:pPr>
        <w:spacing w:before="60" w:after="60"/>
      </w:pPr>
    </w:p>
    <w:p w14:paraId="29143AAD" w14:textId="77777777" w:rsidR="005F0924" w:rsidRDefault="00000000">
      <w:pPr>
        <w:pStyle w:val="Heading1"/>
        <w:pBdr>
          <w:bottom w:val="single" w:sz="8" w:space="4" w:color="2E75B6"/>
        </w:pBdr>
      </w:pPr>
      <w:r>
        <w:t>4. Significance of the Study</w:t>
      </w:r>
    </w:p>
    <w:p w14:paraId="081BCB47" w14:textId="77777777" w:rsidR="005F0924" w:rsidRDefault="00000000">
      <w:pPr>
        <w:spacing w:before="60" w:after="140"/>
      </w:pPr>
      <w:r>
        <w:rPr>
          <w:color w:val="222222"/>
        </w:rPr>
        <w:t>This study carries both academic and practical significance:</w:t>
      </w:r>
    </w:p>
    <w:p w14:paraId="2D5220C3" w14:textId="77777777" w:rsidR="005F0924" w:rsidRDefault="005F0924">
      <w:pPr>
        <w:spacing w:before="60" w:after="60"/>
      </w:pPr>
    </w:p>
    <w:p w14:paraId="42BF94A2" w14:textId="77777777" w:rsidR="005F0924" w:rsidRDefault="00000000">
      <w:pPr>
        <w:spacing w:before="60" w:after="140"/>
      </w:pPr>
      <w:r>
        <w:rPr>
          <w:b/>
          <w:bCs/>
          <w:color w:val="222222"/>
        </w:rPr>
        <w:t>Academic Contribution:</w:t>
      </w:r>
    </w:p>
    <w:p w14:paraId="4AB5E2BE" w14:textId="77777777" w:rsidR="005F0924" w:rsidRDefault="00000000">
      <w:pPr>
        <w:spacing w:before="60" w:after="140"/>
      </w:pPr>
      <w:r>
        <w:rPr>
          <w:color w:val="222222"/>
        </w:rPr>
        <w:t>The study will contribute to the limited body of literature on vaccine awareness among Pakistani university students. It will generate quantitative data that can be used as a baseline for future longitudinal or comparative studies.</w:t>
      </w:r>
    </w:p>
    <w:p w14:paraId="3EC86F56" w14:textId="77777777" w:rsidR="005F0924" w:rsidRDefault="005F0924">
      <w:pPr>
        <w:spacing w:before="60" w:after="60"/>
      </w:pPr>
    </w:p>
    <w:p w14:paraId="2A6407B1" w14:textId="77777777" w:rsidR="005F0924" w:rsidRDefault="00000000">
      <w:pPr>
        <w:spacing w:before="60" w:after="140"/>
      </w:pPr>
      <w:r>
        <w:rPr>
          <w:b/>
          <w:bCs/>
          <w:color w:val="222222"/>
        </w:rPr>
        <w:t>Public Health Relevance:</w:t>
      </w:r>
    </w:p>
    <w:p w14:paraId="5A87D5C9" w14:textId="77777777" w:rsidR="005F0924" w:rsidRDefault="00000000">
      <w:pPr>
        <w:spacing w:before="60" w:after="140"/>
      </w:pPr>
      <w:r>
        <w:rPr>
          <w:color w:val="222222"/>
        </w:rPr>
        <w:t>Understanding the specific gaps in vaccine knowledge and the nature of negative attitudes can help public health authorities and university administration design targeted, culturally sensitive health promotion programs.</w:t>
      </w:r>
    </w:p>
    <w:p w14:paraId="28215A9C" w14:textId="77777777" w:rsidR="005F0924" w:rsidRDefault="005F0924">
      <w:pPr>
        <w:spacing w:before="60" w:after="60"/>
      </w:pPr>
    </w:p>
    <w:p w14:paraId="229DDD4D" w14:textId="77777777" w:rsidR="005F0924" w:rsidRDefault="00000000">
      <w:pPr>
        <w:spacing w:before="60" w:after="140"/>
      </w:pPr>
      <w:r>
        <w:rPr>
          <w:b/>
          <w:bCs/>
          <w:color w:val="222222"/>
        </w:rPr>
        <w:t>Policy Implications:</w:t>
      </w:r>
    </w:p>
    <w:p w14:paraId="1D3FA984" w14:textId="77777777" w:rsidR="005F0924" w:rsidRDefault="00000000">
      <w:pPr>
        <w:spacing w:before="60" w:after="140"/>
      </w:pPr>
      <w:r>
        <w:rPr>
          <w:color w:val="222222"/>
        </w:rPr>
        <w:t>Results may provide evidence to support the integration of vaccine education into university curricula or orientation programs, thereby promoting a culture of proactive health behavior among students.</w:t>
      </w:r>
    </w:p>
    <w:p w14:paraId="2E56FEED" w14:textId="77777777" w:rsidR="005F0924" w:rsidRDefault="005F0924">
      <w:pPr>
        <w:spacing w:before="60" w:after="60"/>
      </w:pPr>
    </w:p>
    <w:p w14:paraId="5A7E98FF" w14:textId="77777777" w:rsidR="005F0924" w:rsidRDefault="00000000">
      <w:pPr>
        <w:spacing w:before="60" w:after="140"/>
      </w:pPr>
      <w:r>
        <w:rPr>
          <w:b/>
          <w:bCs/>
          <w:color w:val="222222"/>
        </w:rPr>
        <w:t>Community Impact:</w:t>
      </w:r>
    </w:p>
    <w:p w14:paraId="45C052BE" w14:textId="040F0146" w:rsidR="005F0924" w:rsidRDefault="00000000">
      <w:pPr>
        <w:spacing w:before="60" w:after="140"/>
      </w:pPr>
      <w:r>
        <w:rPr>
          <w:color w:val="222222"/>
        </w:rPr>
        <w:t xml:space="preserve">University students are future community leaders, health professionals, teachers, and parents. Improving their vaccine literacy can </w:t>
      </w:r>
      <w:r w:rsidR="00EF0C9C">
        <w:rPr>
          <w:color w:val="222222"/>
        </w:rPr>
        <w:t>have</w:t>
      </w:r>
      <w:r>
        <w:rPr>
          <w:color w:val="222222"/>
        </w:rPr>
        <w:t xml:space="preserve"> a multiplier effect on broader community vaccination rates, ultimately contributing to herd immunity and national disease control efforts.</w:t>
      </w:r>
    </w:p>
    <w:p w14:paraId="7E331045" w14:textId="77777777" w:rsidR="005F0924" w:rsidRDefault="005F0924">
      <w:pPr>
        <w:spacing w:before="60" w:after="60"/>
      </w:pPr>
    </w:p>
    <w:p w14:paraId="080431B0" w14:textId="77777777" w:rsidR="005F0924" w:rsidRDefault="00000000">
      <w:pPr>
        <w:spacing w:before="60" w:after="140"/>
      </w:pPr>
      <w:r>
        <w:rPr>
          <w:b/>
          <w:bCs/>
          <w:color w:val="222222"/>
        </w:rPr>
        <w:t>Institutional Benefit:</w:t>
      </w:r>
    </w:p>
    <w:p w14:paraId="23F2E1EA" w14:textId="77777777" w:rsidR="005F0924" w:rsidRDefault="00000000">
      <w:pPr>
        <w:spacing w:before="60" w:after="140"/>
      </w:pPr>
      <w:r>
        <w:rPr>
          <w:color w:val="222222"/>
        </w:rPr>
        <w:lastRenderedPageBreak/>
        <w:t>For Iqra University specifically, this study will provide actionable insights into student health behavior and can support the university health center in developing targeted immunization campaigns and informational resources.</w:t>
      </w:r>
    </w:p>
    <w:p w14:paraId="37D19198" w14:textId="77777777" w:rsidR="005F0924" w:rsidRDefault="005F0924">
      <w:pPr>
        <w:spacing w:before="60" w:after="60"/>
      </w:pPr>
    </w:p>
    <w:p w14:paraId="7DCB47E9" w14:textId="77777777" w:rsidR="005F0924" w:rsidRDefault="00000000">
      <w:pPr>
        <w:pStyle w:val="Heading1"/>
        <w:pBdr>
          <w:bottom w:val="single" w:sz="8" w:space="4" w:color="2E75B6"/>
        </w:pBdr>
      </w:pPr>
      <w:r>
        <w:t>5. Methodology</w:t>
      </w:r>
    </w:p>
    <w:p w14:paraId="7A92B1B9" w14:textId="77777777" w:rsidR="005F0924" w:rsidRDefault="00000000">
      <w:pPr>
        <w:pStyle w:val="Heading2"/>
      </w:pPr>
      <w:r>
        <w:t>5.1 Study Design</w:t>
      </w:r>
    </w:p>
    <w:p w14:paraId="68B8FE9D" w14:textId="77777777" w:rsidR="005F0924" w:rsidRDefault="00000000">
      <w:pPr>
        <w:spacing w:before="60" w:after="140"/>
      </w:pPr>
      <w:r>
        <w:rPr>
          <w:color w:val="222222"/>
        </w:rPr>
        <w:t>A cross-sectional survey design will be used. This design is appropriate for this study as it allows the collection of data at a single point in time from a defined population, enabling the assessment of prevalence and associations without requiring long-term follow-up. Cross-sectional studies are cost-effective, relatively quick to execute, and well-suited for descriptive research objectives.</w:t>
      </w:r>
    </w:p>
    <w:p w14:paraId="1C0CC958" w14:textId="77777777" w:rsidR="005F0924" w:rsidRDefault="005F09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F0924" w14:paraId="3C8B9B40" w14:textId="77777777">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160" w:type="dxa"/>
              <w:bottom w:w="120" w:type="dxa"/>
              <w:right w:w="160" w:type="dxa"/>
            </w:tcMar>
          </w:tcPr>
          <w:p w14:paraId="3194F58F" w14:textId="77777777" w:rsidR="005F0924" w:rsidRDefault="00000000">
            <w:pPr>
              <w:jc w:val="center"/>
            </w:pPr>
            <w:r>
              <w:rPr>
                <w:b/>
                <w:bCs/>
                <w:color w:val="FFFFFF"/>
                <w:sz w:val="22"/>
                <w:szCs w:val="22"/>
              </w:rPr>
              <w:t>Component</w:t>
            </w:r>
          </w:p>
        </w:tc>
        <w:tc>
          <w:tcPr>
            <w:tcW w:w="61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160" w:type="dxa"/>
              <w:bottom w:w="120" w:type="dxa"/>
              <w:right w:w="160" w:type="dxa"/>
            </w:tcMar>
          </w:tcPr>
          <w:p w14:paraId="3A9D3874" w14:textId="77777777" w:rsidR="005F0924" w:rsidRDefault="00000000">
            <w:pPr>
              <w:jc w:val="center"/>
            </w:pPr>
            <w:r>
              <w:rPr>
                <w:b/>
                <w:bCs/>
                <w:color w:val="FFFFFF"/>
                <w:sz w:val="22"/>
                <w:szCs w:val="22"/>
              </w:rPr>
              <w:t>Details</w:t>
            </w:r>
          </w:p>
        </w:tc>
      </w:tr>
      <w:tr w:rsidR="005F0924" w14:paraId="0C4E9B2D" w14:textId="77777777">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100" w:type="dxa"/>
              <w:left w:w="140" w:type="dxa"/>
              <w:bottom w:w="100" w:type="dxa"/>
              <w:right w:w="140" w:type="dxa"/>
            </w:tcMar>
          </w:tcPr>
          <w:p w14:paraId="52CFA94F" w14:textId="77777777" w:rsidR="005F0924" w:rsidRDefault="00000000">
            <w:r>
              <w:rPr>
                <w:b/>
                <w:bCs/>
                <w:color w:val="1F4E79"/>
                <w:sz w:val="22"/>
                <w:szCs w:val="22"/>
              </w:rPr>
              <w:t>Study Population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39F2B59" w14:textId="77777777" w:rsidR="005F0924" w:rsidRDefault="00000000">
            <w:r>
              <w:rPr>
                <w:color w:val="333333"/>
                <w:sz w:val="22"/>
                <w:szCs w:val="22"/>
              </w:rPr>
              <w:t>Undergraduate students at Iqra University, Islamabad Campus</w:t>
            </w:r>
          </w:p>
        </w:tc>
      </w:tr>
      <w:tr w:rsidR="005F0924" w14:paraId="05F43ABE"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3EA3B669" w14:textId="77777777" w:rsidR="005F0924" w:rsidRDefault="00000000">
            <w:r>
              <w:rPr>
                <w:b/>
                <w:bCs/>
                <w:color w:val="1F4E79"/>
                <w:sz w:val="22"/>
                <w:szCs w:val="22"/>
              </w:rPr>
              <w:t>Study Location</w:t>
            </w:r>
          </w:p>
        </w:tc>
        <w:tc>
          <w:tcPr>
            <w:tcW w:w="6160" w:type="dxa"/>
            <w:tcBorders>
              <w:top w:val="single" w:sz="1" w:space="0" w:color="AAAAAA"/>
              <w:left w:val="single" w:sz="1" w:space="0" w:color="AAAAAA"/>
              <w:bottom w:val="single" w:sz="1" w:space="0" w:color="AAAAAA"/>
              <w:right w:val="single" w:sz="1" w:space="0" w:color="AAAAAA"/>
            </w:tcBorders>
            <w:shd w:val="clear" w:color="auto" w:fill="EEF5FA"/>
            <w:tcMar>
              <w:top w:w="100" w:type="dxa"/>
              <w:left w:w="140" w:type="dxa"/>
              <w:bottom w:w="100" w:type="dxa"/>
              <w:right w:w="140" w:type="dxa"/>
            </w:tcMar>
          </w:tcPr>
          <w:p w14:paraId="2999A24D" w14:textId="77777777" w:rsidR="005F0924" w:rsidRDefault="00000000">
            <w:r>
              <w:rPr>
                <w:color w:val="333333"/>
                <w:sz w:val="22"/>
                <w:szCs w:val="22"/>
              </w:rPr>
              <w:t>Iqra University, Islamabad Campus</w:t>
            </w:r>
          </w:p>
        </w:tc>
      </w:tr>
      <w:tr w:rsidR="005F0924" w14:paraId="6F741859" w14:textId="77777777">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100" w:type="dxa"/>
              <w:left w:w="140" w:type="dxa"/>
              <w:bottom w:w="100" w:type="dxa"/>
              <w:right w:w="140" w:type="dxa"/>
            </w:tcMar>
          </w:tcPr>
          <w:p w14:paraId="057E4B8A" w14:textId="77777777" w:rsidR="005F0924" w:rsidRDefault="00000000">
            <w:r>
              <w:rPr>
                <w:b/>
                <w:bCs/>
                <w:color w:val="1F4E79"/>
                <w:sz w:val="22"/>
                <w:szCs w:val="22"/>
              </w:rPr>
              <w:t>Sample Size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924AFAB" w14:textId="77777777" w:rsidR="005F0924" w:rsidRDefault="00000000">
            <w:r>
              <w:rPr>
                <w:color w:val="333333"/>
                <w:sz w:val="22"/>
                <w:szCs w:val="22"/>
              </w:rPr>
              <w:t>50 students</w:t>
            </w:r>
          </w:p>
        </w:tc>
      </w:tr>
      <w:tr w:rsidR="005F0924" w14:paraId="59A90AF7"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53D6F761" w14:textId="77777777" w:rsidR="005F0924" w:rsidRDefault="00000000">
            <w:r>
              <w:rPr>
                <w:b/>
                <w:bCs/>
                <w:color w:val="1F4E79"/>
                <w:sz w:val="22"/>
                <w:szCs w:val="22"/>
              </w:rPr>
              <w:t>Sampling Method</w:t>
            </w:r>
          </w:p>
        </w:tc>
        <w:tc>
          <w:tcPr>
            <w:tcW w:w="6160" w:type="dxa"/>
            <w:tcBorders>
              <w:top w:val="single" w:sz="1" w:space="0" w:color="AAAAAA"/>
              <w:left w:val="single" w:sz="1" w:space="0" w:color="AAAAAA"/>
              <w:bottom w:val="single" w:sz="1" w:space="0" w:color="AAAAAA"/>
              <w:right w:val="single" w:sz="1" w:space="0" w:color="AAAAAA"/>
            </w:tcBorders>
            <w:shd w:val="clear" w:color="auto" w:fill="EEF5FA"/>
            <w:tcMar>
              <w:top w:w="100" w:type="dxa"/>
              <w:left w:w="140" w:type="dxa"/>
              <w:bottom w:w="100" w:type="dxa"/>
              <w:right w:w="140" w:type="dxa"/>
            </w:tcMar>
          </w:tcPr>
          <w:p w14:paraId="78DD378D" w14:textId="77777777" w:rsidR="005F0924" w:rsidRDefault="00000000">
            <w:r>
              <w:rPr>
                <w:color w:val="333333"/>
                <w:sz w:val="22"/>
                <w:szCs w:val="22"/>
              </w:rPr>
              <w:t>Convenience sampling</w:t>
            </w:r>
          </w:p>
        </w:tc>
      </w:tr>
      <w:tr w:rsidR="005F0924" w14:paraId="1A9EC645" w14:textId="77777777">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100" w:type="dxa"/>
              <w:left w:w="140" w:type="dxa"/>
              <w:bottom w:w="100" w:type="dxa"/>
              <w:right w:w="140" w:type="dxa"/>
            </w:tcMar>
          </w:tcPr>
          <w:p w14:paraId="4516918D" w14:textId="77777777" w:rsidR="005F0924" w:rsidRDefault="00000000">
            <w:r>
              <w:rPr>
                <w:b/>
                <w:bCs/>
                <w:color w:val="1F4E79"/>
                <w:sz w:val="22"/>
                <w:szCs w:val="22"/>
              </w:rPr>
              <w:t>Data Collection Tool</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DDAB6AD" w14:textId="77777777" w:rsidR="005F0924" w:rsidRDefault="00000000">
            <w:r>
              <w:rPr>
                <w:color w:val="333333"/>
                <w:sz w:val="22"/>
                <w:szCs w:val="22"/>
              </w:rPr>
              <w:t>Structured questionnaire distributed via MS Excel / Google Forms</w:t>
            </w:r>
          </w:p>
        </w:tc>
      </w:tr>
      <w:tr w:rsidR="005F0924" w14:paraId="7FFA00B6"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5828FA1D" w14:textId="77777777" w:rsidR="005F0924" w:rsidRDefault="00000000">
            <w:r>
              <w:rPr>
                <w:b/>
                <w:bCs/>
                <w:color w:val="1F4E79"/>
                <w:sz w:val="22"/>
                <w:szCs w:val="22"/>
              </w:rPr>
              <w:t>Data Analysis</w:t>
            </w:r>
          </w:p>
        </w:tc>
        <w:tc>
          <w:tcPr>
            <w:tcW w:w="6160" w:type="dxa"/>
            <w:tcBorders>
              <w:top w:val="single" w:sz="1" w:space="0" w:color="AAAAAA"/>
              <w:left w:val="single" w:sz="1" w:space="0" w:color="AAAAAA"/>
              <w:bottom w:val="single" w:sz="1" w:space="0" w:color="AAAAAA"/>
              <w:right w:val="single" w:sz="1" w:space="0" w:color="AAAAAA"/>
            </w:tcBorders>
            <w:shd w:val="clear" w:color="auto" w:fill="EEF5FA"/>
            <w:tcMar>
              <w:top w:w="100" w:type="dxa"/>
              <w:left w:w="140" w:type="dxa"/>
              <w:bottom w:w="100" w:type="dxa"/>
              <w:right w:w="140" w:type="dxa"/>
            </w:tcMar>
          </w:tcPr>
          <w:p w14:paraId="37101B74" w14:textId="77777777" w:rsidR="005F0924" w:rsidRDefault="00000000">
            <w:r>
              <w:rPr>
                <w:color w:val="333333"/>
                <w:sz w:val="22"/>
                <w:szCs w:val="22"/>
              </w:rPr>
              <w:t>Descriptive statistics using MS Excel (Pivot Tables &amp; Pivot Chart Dashboards)</w:t>
            </w:r>
          </w:p>
        </w:tc>
      </w:tr>
      <w:tr w:rsidR="005F0924" w14:paraId="3BB07E98" w14:textId="77777777">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100" w:type="dxa"/>
              <w:left w:w="140" w:type="dxa"/>
              <w:bottom w:w="100" w:type="dxa"/>
              <w:right w:w="140" w:type="dxa"/>
            </w:tcMar>
          </w:tcPr>
          <w:p w14:paraId="34FA4293" w14:textId="77777777" w:rsidR="005F0924" w:rsidRDefault="00000000">
            <w:r>
              <w:rPr>
                <w:b/>
                <w:bCs/>
                <w:color w:val="1F4E79"/>
                <w:sz w:val="22"/>
                <w:szCs w:val="22"/>
              </w:rPr>
              <w:t>Presentation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FD8D000" w14:textId="77777777" w:rsidR="005F0924" w:rsidRDefault="00000000">
            <w:r>
              <w:rPr>
                <w:color w:val="333333"/>
                <w:sz w:val="22"/>
                <w:szCs w:val="22"/>
              </w:rPr>
              <w:t>Microsoft PowerPoint presentation</w:t>
            </w:r>
          </w:p>
        </w:tc>
      </w:tr>
      <w:tr w:rsidR="005F0924" w14:paraId="35170D1E"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7CF56AF3" w14:textId="77777777" w:rsidR="005F0924" w:rsidRDefault="00000000">
            <w:r>
              <w:rPr>
                <w:b/>
                <w:bCs/>
                <w:color w:val="1F4E79"/>
                <w:sz w:val="22"/>
                <w:szCs w:val="22"/>
              </w:rPr>
              <w:t>Dissemination</w:t>
            </w:r>
          </w:p>
        </w:tc>
        <w:tc>
          <w:tcPr>
            <w:tcW w:w="6160" w:type="dxa"/>
            <w:tcBorders>
              <w:top w:val="single" w:sz="1" w:space="0" w:color="AAAAAA"/>
              <w:left w:val="single" w:sz="1" w:space="0" w:color="AAAAAA"/>
              <w:bottom w:val="single" w:sz="1" w:space="0" w:color="AAAAAA"/>
              <w:right w:val="single" w:sz="1" w:space="0" w:color="AAAAAA"/>
            </w:tcBorders>
            <w:shd w:val="clear" w:color="auto" w:fill="EEF5FA"/>
            <w:tcMar>
              <w:top w:w="100" w:type="dxa"/>
              <w:left w:w="140" w:type="dxa"/>
              <w:bottom w:w="100" w:type="dxa"/>
              <w:right w:w="140" w:type="dxa"/>
            </w:tcMar>
          </w:tcPr>
          <w:p w14:paraId="6E14F565" w14:textId="77777777" w:rsidR="005F0924" w:rsidRDefault="00000000">
            <w:r>
              <w:rPr>
                <w:color w:val="333333"/>
                <w:sz w:val="22"/>
                <w:szCs w:val="22"/>
              </w:rPr>
              <w:t>All work linked and published on a dedicated Web Page</w:t>
            </w:r>
          </w:p>
        </w:tc>
      </w:tr>
    </w:tbl>
    <w:p w14:paraId="505F0141" w14:textId="77777777" w:rsidR="005F0924" w:rsidRDefault="005F0924">
      <w:pPr>
        <w:spacing w:before="60" w:after="60"/>
      </w:pPr>
    </w:p>
    <w:p w14:paraId="67BFEDC8" w14:textId="77777777" w:rsidR="005F0924" w:rsidRDefault="005F0924">
      <w:pPr>
        <w:spacing w:before="60" w:after="60"/>
      </w:pPr>
    </w:p>
    <w:p w14:paraId="49120352" w14:textId="77777777" w:rsidR="005F0924" w:rsidRDefault="00000000">
      <w:pPr>
        <w:pStyle w:val="Heading2"/>
      </w:pPr>
      <w:r>
        <w:t>5.2 Study Population and Location</w:t>
      </w:r>
    </w:p>
    <w:p w14:paraId="53164FAF" w14:textId="77777777" w:rsidR="005F0924" w:rsidRDefault="00000000">
      <w:pPr>
        <w:spacing w:before="60" w:after="140"/>
      </w:pPr>
      <w:r>
        <w:rPr>
          <w:color w:val="222222"/>
        </w:rPr>
        <w:t xml:space="preserve">The target population comprises undergraduate students enrolled at Iqra University, Islamabad Campus, across all departments and academic years. The study will be conducted </w:t>
      </w:r>
      <w:proofErr w:type="gramStart"/>
      <w:r>
        <w:rPr>
          <w:color w:val="222222"/>
        </w:rPr>
        <w:t>on-campus</w:t>
      </w:r>
      <w:proofErr w:type="gramEnd"/>
      <w:r>
        <w:rPr>
          <w:color w:val="222222"/>
        </w:rPr>
        <w:t xml:space="preserve"> during the current academic semester. Students who are willing to participate and capable of reading and understanding the questionnaire will be included. Students who are absent or unwilling to participate will be excluded.</w:t>
      </w:r>
    </w:p>
    <w:p w14:paraId="19FBBFD2" w14:textId="77777777" w:rsidR="005F0924" w:rsidRDefault="005F0924">
      <w:pPr>
        <w:spacing w:before="60" w:after="60"/>
      </w:pPr>
    </w:p>
    <w:p w14:paraId="69FAAD8F" w14:textId="77777777" w:rsidR="005F0924" w:rsidRDefault="00000000">
      <w:pPr>
        <w:pStyle w:val="Heading2"/>
      </w:pPr>
      <w:r>
        <w:t>5.3 Sample Size</w:t>
      </w:r>
    </w:p>
    <w:p w14:paraId="50E131B9" w14:textId="77777777" w:rsidR="005F0924" w:rsidRDefault="00000000">
      <w:pPr>
        <w:spacing w:before="60" w:after="140"/>
      </w:pPr>
      <w:r>
        <w:rPr>
          <w:color w:val="222222"/>
        </w:rPr>
        <w:lastRenderedPageBreak/>
        <w:t>A total of 50 students will be recruited for this study. Given the exploratory and descriptive nature of the research, this sample size is considered adequate for generating meaningful preliminary insights. Participants will be recruited using a convenience sampling technique, approaching students available on campus during data collection periods.</w:t>
      </w:r>
    </w:p>
    <w:p w14:paraId="6A3D59D3" w14:textId="77777777" w:rsidR="005F0924" w:rsidRDefault="005F0924">
      <w:pPr>
        <w:spacing w:before="60" w:after="60"/>
      </w:pPr>
    </w:p>
    <w:p w14:paraId="4EABE8C4" w14:textId="77777777" w:rsidR="005F0924" w:rsidRDefault="00000000">
      <w:pPr>
        <w:pStyle w:val="Heading2"/>
      </w:pPr>
      <w:r>
        <w:t>5.4 Data Collection Tool</w:t>
      </w:r>
    </w:p>
    <w:p w14:paraId="340D7D5F" w14:textId="77777777" w:rsidR="005F0924" w:rsidRDefault="00000000">
      <w:pPr>
        <w:spacing w:before="60" w:after="140"/>
      </w:pPr>
      <w:r>
        <w:rPr>
          <w:color w:val="222222"/>
        </w:rPr>
        <w:t>A structured questionnaire will be the primary instrument for data collection. The questionnaire will be developed based on existing validated tools from the literature and will be customized to reflect the Pakistani socio-cultural context. It will be administered digitally through MS Excel (or Google Forms exported to Excel).</w:t>
      </w:r>
    </w:p>
    <w:p w14:paraId="048F7B02" w14:textId="77777777" w:rsidR="005F0924" w:rsidRDefault="005F0924">
      <w:pPr>
        <w:spacing w:before="60" w:after="60"/>
      </w:pPr>
    </w:p>
    <w:p w14:paraId="0F6EB8DF" w14:textId="77777777" w:rsidR="005F0924" w:rsidRDefault="00000000">
      <w:pPr>
        <w:spacing w:before="60" w:after="140"/>
      </w:pPr>
      <w:r>
        <w:rPr>
          <w:color w:val="222222"/>
        </w:rPr>
        <w:t>The questionnaire will consist of the following sections:</w:t>
      </w:r>
    </w:p>
    <w:p w14:paraId="25B6FEE2" w14:textId="77777777" w:rsidR="005F0924" w:rsidRDefault="00000000">
      <w:pPr>
        <w:pStyle w:val="ListParagraph"/>
        <w:numPr>
          <w:ilvl w:val="0"/>
          <w:numId w:val="2"/>
        </w:numPr>
        <w:spacing w:before="40" w:after="40"/>
      </w:pPr>
      <w:r>
        <w:rPr>
          <w:color w:val="222222"/>
        </w:rPr>
        <w:t>Section A – Demographic Information: age, gender, department, year of study.</w:t>
      </w:r>
    </w:p>
    <w:p w14:paraId="785CDC98" w14:textId="77777777" w:rsidR="005F0924" w:rsidRDefault="00000000">
      <w:pPr>
        <w:pStyle w:val="ListParagraph"/>
        <w:numPr>
          <w:ilvl w:val="0"/>
          <w:numId w:val="2"/>
        </w:numPr>
        <w:spacing w:before="40" w:after="40"/>
      </w:pPr>
      <w:r>
        <w:rPr>
          <w:color w:val="222222"/>
        </w:rPr>
        <w:t>Section B – Knowledge Assessment: Multiple-choice and true/false questions assessing awareness of vaccine types, vaccine-preventable diseases, schedules, and mechanisms.</w:t>
      </w:r>
    </w:p>
    <w:p w14:paraId="1D87B1C6" w14:textId="77777777" w:rsidR="005F0924" w:rsidRDefault="00000000">
      <w:pPr>
        <w:pStyle w:val="ListParagraph"/>
        <w:numPr>
          <w:ilvl w:val="0"/>
          <w:numId w:val="2"/>
        </w:numPr>
        <w:spacing w:before="40" w:after="40"/>
      </w:pPr>
      <w:r>
        <w:rPr>
          <w:color w:val="222222"/>
        </w:rPr>
        <w:t>Section C – Attitude Assessment: Likert-scale items (Strongly Agree to Strongly Disagree) evaluating perceptions of vaccine safety, necessity, effectiveness, and trust in health authorities.</w:t>
      </w:r>
    </w:p>
    <w:p w14:paraId="79BBCAD3" w14:textId="77777777" w:rsidR="005F0924" w:rsidRDefault="00000000">
      <w:pPr>
        <w:pStyle w:val="ListParagraph"/>
        <w:numPr>
          <w:ilvl w:val="0"/>
          <w:numId w:val="2"/>
        </w:numPr>
        <w:spacing w:before="40" w:after="40"/>
      </w:pPr>
      <w:r>
        <w:rPr>
          <w:color w:val="222222"/>
        </w:rPr>
        <w:t>Section D – Sources of Information: Questions identifying where students primarily obtain vaccine-related information.</w:t>
      </w:r>
    </w:p>
    <w:p w14:paraId="3460EEF3" w14:textId="77777777" w:rsidR="005F0924" w:rsidRDefault="005F0924">
      <w:pPr>
        <w:spacing w:before="60" w:after="60"/>
      </w:pPr>
    </w:p>
    <w:p w14:paraId="05BBA225" w14:textId="77777777" w:rsidR="005F0924" w:rsidRDefault="00000000">
      <w:pPr>
        <w:pStyle w:val="Heading2"/>
      </w:pPr>
      <w:r>
        <w:t>5.5 Data Analysis</w:t>
      </w:r>
    </w:p>
    <w:p w14:paraId="0A480BF5" w14:textId="77777777" w:rsidR="005F0924" w:rsidRDefault="00000000">
      <w:pPr>
        <w:spacing w:before="60" w:after="140"/>
      </w:pPr>
      <w:r>
        <w:rPr>
          <w:color w:val="222222"/>
        </w:rPr>
        <w:t xml:space="preserve">All collected data will be </w:t>
      </w:r>
      <w:proofErr w:type="gramStart"/>
      <w:r>
        <w:rPr>
          <w:color w:val="222222"/>
        </w:rPr>
        <w:t>entered</w:t>
      </w:r>
      <w:proofErr w:type="gramEnd"/>
      <w:r>
        <w:rPr>
          <w:color w:val="222222"/>
        </w:rPr>
        <w:t xml:space="preserve"> and organized </w:t>
      </w:r>
      <w:proofErr w:type="gramStart"/>
      <w:r>
        <w:rPr>
          <w:color w:val="222222"/>
        </w:rPr>
        <w:t>in</w:t>
      </w:r>
      <w:proofErr w:type="gramEnd"/>
      <w:r>
        <w:rPr>
          <w:color w:val="222222"/>
        </w:rPr>
        <w:t xml:space="preserve"> Microsoft Excel. The following analytical approaches will be applied:</w:t>
      </w:r>
    </w:p>
    <w:p w14:paraId="08FF776C" w14:textId="77777777" w:rsidR="005F0924" w:rsidRDefault="00000000">
      <w:pPr>
        <w:pStyle w:val="ListParagraph"/>
        <w:numPr>
          <w:ilvl w:val="0"/>
          <w:numId w:val="2"/>
        </w:numPr>
        <w:spacing w:before="40" w:after="40"/>
      </w:pPr>
      <w:r>
        <w:rPr>
          <w:color w:val="222222"/>
        </w:rPr>
        <w:t>Frequency distributions and percentages will be calculated for demographic variables and knowledge/attitude scores.</w:t>
      </w:r>
    </w:p>
    <w:p w14:paraId="4B950D4D" w14:textId="77777777" w:rsidR="005F0924" w:rsidRDefault="00000000">
      <w:pPr>
        <w:pStyle w:val="ListParagraph"/>
        <w:numPr>
          <w:ilvl w:val="0"/>
          <w:numId w:val="2"/>
        </w:numPr>
        <w:spacing w:before="40" w:after="40"/>
      </w:pPr>
      <w:r>
        <w:rPr>
          <w:color w:val="222222"/>
        </w:rPr>
        <w:t>Knowledge scores will be categorized as Poor (&lt; 50%), Moderate (50–74%), or Good (≥ 75%).</w:t>
      </w:r>
    </w:p>
    <w:p w14:paraId="302C1D1D" w14:textId="77777777" w:rsidR="005F0924" w:rsidRDefault="00000000">
      <w:pPr>
        <w:pStyle w:val="ListParagraph"/>
        <w:numPr>
          <w:ilvl w:val="0"/>
          <w:numId w:val="2"/>
        </w:numPr>
        <w:spacing w:before="40" w:after="40"/>
      </w:pPr>
      <w:r>
        <w:rPr>
          <w:color w:val="222222"/>
        </w:rPr>
        <w:t>Attitude scores will be classified as Negative, Neutral, or Positive based on aggregate Likert responses.</w:t>
      </w:r>
    </w:p>
    <w:p w14:paraId="2765A8B8" w14:textId="77777777" w:rsidR="005F0924" w:rsidRDefault="00000000">
      <w:pPr>
        <w:pStyle w:val="ListParagraph"/>
        <w:numPr>
          <w:ilvl w:val="0"/>
          <w:numId w:val="2"/>
        </w:numPr>
        <w:spacing w:before="40" w:after="40"/>
      </w:pPr>
      <w:r>
        <w:rPr>
          <w:color w:val="222222"/>
        </w:rPr>
        <w:t>Pivot Tables will be used to cross-tabulate variables (e.g., knowledge by department or gender).</w:t>
      </w:r>
    </w:p>
    <w:p w14:paraId="020663C1" w14:textId="77777777" w:rsidR="005F0924" w:rsidRDefault="00000000">
      <w:pPr>
        <w:pStyle w:val="ListParagraph"/>
        <w:numPr>
          <w:ilvl w:val="0"/>
          <w:numId w:val="2"/>
        </w:numPr>
        <w:spacing w:before="40" w:after="40"/>
      </w:pPr>
      <w:r>
        <w:rPr>
          <w:color w:val="222222"/>
        </w:rPr>
        <w:t>Pivot Chart Dashboards will be constructed to visually represent findings using bar charts, pie charts, and column graphs.</w:t>
      </w:r>
    </w:p>
    <w:p w14:paraId="4A2D8C79" w14:textId="77777777" w:rsidR="005F0924" w:rsidRDefault="005F0924">
      <w:pPr>
        <w:spacing w:before="60" w:after="60"/>
      </w:pPr>
    </w:p>
    <w:p w14:paraId="5072E1FD" w14:textId="77777777" w:rsidR="005F0924" w:rsidRDefault="00000000">
      <w:pPr>
        <w:pStyle w:val="Heading2"/>
      </w:pPr>
      <w:r>
        <w:t>5.6 Presentation</w:t>
      </w:r>
    </w:p>
    <w:p w14:paraId="62548432" w14:textId="77777777" w:rsidR="005F0924" w:rsidRDefault="00000000">
      <w:pPr>
        <w:spacing w:before="60" w:after="140"/>
      </w:pPr>
      <w:r>
        <w:rPr>
          <w:color w:val="222222"/>
        </w:rPr>
        <w:t xml:space="preserve">All findings will be compiled and presented in a Microsoft PowerPoint (PPT) presentation. The presentation will include an overview of the study background, objectives, </w:t>
      </w:r>
      <w:r>
        <w:rPr>
          <w:color w:val="222222"/>
        </w:rPr>
        <w:lastRenderedPageBreak/>
        <w:t>methodology, key findings visualized through charts and infographics, conclusions, and recommendations. The PowerPoint will be designed for both academic and general audience audiences.</w:t>
      </w:r>
    </w:p>
    <w:p w14:paraId="5F605179" w14:textId="77777777" w:rsidR="005F0924" w:rsidRDefault="005F0924">
      <w:pPr>
        <w:spacing w:before="60" w:after="60"/>
      </w:pPr>
    </w:p>
    <w:p w14:paraId="0D226A99" w14:textId="77777777" w:rsidR="005F0924" w:rsidRDefault="00000000">
      <w:pPr>
        <w:pStyle w:val="Heading2"/>
      </w:pPr>
      <w:r>
        <w:t>5.7 Web Page Integration</w:t>
      </w:r>
    </w:p>
    <w:p w14:paraId="7C6028AD" w14:textId="3CE1642F" w:rsidR="005F0924" w:rsidRDefault="00000000">
      <w:pPr>
        <w:spacing w:before="60" w:after="140"/>
      </w:pPr>
      <w:r>
        <w:rPr>
          <w:color w:val="222222"/>
        </w:rPr>
        <w:t xml:space="preserve">All components of this </w:t>
      </w:r>
      <w:r w:rsidR="00EF0C9C">
        <w:rPr>
          <w:color w:val="222222"/>
        </w:rPr>
        <w:t xml:space="preserve">project, </w:t>
      </w:r>
      <w:r>
        <w:rPr>
          <w:color w:val="222222"/>
        </w:rPr>
        <w:t>including the proposal document, data collection form (Excel), analysis dashboard, and PowerPoint presentation—will be linked and accessible through a dedicated project web page. This ensures easy sharing, broader dissemination, and a consolidated view of all project deliverables for faculty, peers, and stakeholders.</w:t>
      </w:r>
    </w:p>
    <w:p w14:paraId="10055E6D" w14:textId="77777777" w:rsidR="005F0924" w:rsidRDefault="005F0924">
      <w:pPr>
        <w:spacing w:before="60" w:after="60"/>
      </w:pPr>
    </w:p>
    <w:p w14:paraId="39042C87" w14:textId="77777777" w:rsidR="005F0924" w:rsidRDefault="00000000">
      <w:pPr>
        <w:pStyle w:val="Heading1"/>
        <w:pBdr>
          <w:bottom w:val="single" w:sz="8" w:space="4" w:color="2E75B6"/>
        </w:pBdr>
      </w:pPr>
      <w:r>
        <w:t>6. Ethical Considerations</w:t>
      </w:r>
    </w:p>
    <w:p w14:paraId="702D01F8" w14:textId="77777777" w:rsidR="005F0924" w:rsidRDefault="00000000">
      <w:pPr>
        <w:spacing w:before="60" w:after="140"/>
      </w:pPr>
      <w:r>
        <w:rPr>
          <w:color w:val="222222"/>
        </w:rPr>
        <w:t>Although this study does not involve clinical interventions, the following ethical guidelines will be observed:</w:t>
      </w:r>
    </w:p>
    <w:p w14:paraId="09B17983" w14:textId="77777777" w:rsidR="005F0924" w:rsidRDefault="00000000">
      <w:pPr>
        <w:pStyle w:val="ListParagraph"/>
        <w:numPr>
          <w:ilvl w:val="0"/>
          <w:numId w:val="2"/>
        </w:numPr>
        <w:spacing w:before="40" w:after="40"/>
      </w:pPr>
      <w:r>
        <w:rPr>
          <w:color w:val="222222"/>
        </w:rPr>
        <w:t>Informed consent will be obtained from all participants prior to survey administration.</w:t>
      </w:r>
    </w:p>
    <w:p w14:paraId="788F5826" w14:textId="77777777" w:rsidR="005F0924" w:rsidRDefault="00000000">
      <w:pPr>
        <w:pStyle w:val="ListParagraph"/>
        <w:numPr>
          <w:ilvl w:val="0"/>
          <w:numId w:val="2"/>
        </w:numPr>
        <w:spacing w:before="40" w:after="40"/>
      </w:pPr>
      <w:r>
        <w:rPr>
          <w:color w:val="222222"/>
        </w:rPr>
        <w:t>Participation will be entirely voluntary, with no academic penalty for non-participation.</w:t>
      </w:r>
    </w:p>
    <w:p w14:paraId="2E35A789" w14:textId="77777777" w:rsidR="005F0924" w:rsidRDefault="00000000">
      <w:pPr>
        <w:pStyle w:val="ListParagraph"/>
        <w:numPr>
          <w:ilvl w:val="0"/>
          <w:numId w:val="2"/>
        </w:numPr>
        <w:spacing w:before="40" w:after="40"/>
      </w:pPr>
      <w:r>
        <w:rPr>
          <w:color w:val="222222"/>
        </w:rPr>
        <w:t>Anonymity and confidentiality of respondents will be strictly maintained; no personally identifiable information will be collected.</w:t>
      </w:r>
    </w:p>
    <w:p w14:paraId="5B6904D1" w14:textId="77777777" w:rsidR="005F0924" w:rsidRDefault="00000000">
      <w:pPr>
        <w:pStyle w:val="ListParagraph"/>
        <w:numPr>
          <w:ilvl w:val="0"/>
          <w:numId w:val="2"/>
        </w:numPr>
        <w:spacing w:before="40" w:after="40"/>
      </w:pPr>
      <w:r>
        <w:rPr>
          <w:color w:val="222222"/>
        </w:rPr>
        <w:t>Data will be stored securely and used solely for academic research purposes.</w:t>
      </w:r>
    </w:p>
    <w:p w14:paraId="66EA9BCB" w14:textId="77777777" w:rsidR="005F0924" w:rsidRDefault="005F0924">
      <w:pPr>
        <w:spacing w:before="60" w:after="60"/>
      </w:pPr>
    </w:p>
    <w:p w14:paraId="51679ABA" w14:textId="77777777" w:rsidR="005F0924" w:rsidRDefault="00000000">
      <w:pPr>
        <w:pStyle w:val="Heading1"/>
        <w:pBdr>
          <w:bottom w:val="single" w:sz="8" w:space="4" w:color="2E75B6"/>
        </w:pBdr>
      </w:pPr>
      <w:r>
        <w:t>7. Proposed Timeline</w:t>
      </w:r>
    </w:p>
    <w:p w14:paraId="4445339B" w14:textId="46B762B1" w:rsidR="00EF0C9C" w:rsidRDefault="00EF0C9C">
      <w:pPr>
        <w:spacing w:before="60" w:after="60"/>
      </w:pPr>
      <w:r>
        <w:rPr>
          <w:noProof/>
          <w:lang w:val="en-GB" w:eastAsia="en-GB"/>
        </w:rPr>
        <w:drawing>
          <wp:anchor distT="0" distB="0" distL="114300" distR="114300" simplePos="0" relativeHeight="251660288" behindDoc="0" locked="0" layoutInCell="1" allowOverlap="1" wp14:anchorId="67B2A477" wp14:editId="21153271">
            <wp:simplePos x="0" y="0"/>
            <wp:positionH relativeFrom="column">
              <wp:posOffset>-140764</wp:posOffset>
            </wp:positionH>
            <wp:positionV relativeFrom="paragraph">
              <wp:posOffset>353710</wp:posOffset>
            </wp:positionV>
            <wp:extent cx="6618161" cy="2100669"/>
            <wp:effectExtent l="0" t="0" r="0" b="0"/>
            <wp:wrapThrough wrapText="bothSides">
              <wp:wrapPolygon edited="0">
                <wp:start x="0" y="0"/>
                <wp:lineTo x="0" y="21352"/>
                <wp:lineTo x="21513" y="21352"/>
                <wp:lineTo x="21513" y="0"/>
                <wp:lineTo x="0" y="0"/>
              </wp:wrapPolygon>
            </wp:wrapThrough>
            <wp:docPr id="209635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486" name=""/>
                    <pic:cNvPicPr/>
                  </pic:nvPicPr>
                  <pic:blipFill rotWithShape="1">
                    <a:blip r:embed="rId8">
                      <a:extLst>
                        <a:ext uri="{28A0092B-C50C-407E-A947-70E740481C1C}">
                          <a14:useLocalDpi xmlns:a14="http://schemas.microsoft.com/office/drawing/2010/main" val="0"/>
                        </a:ext>
                      </a:extLst>
                    </a:blip>
                    <a:srcRect l="1967" t="39630" r="16667" b="27036"/>
                    <a:stretch>
                      <a:fillRect/>
                    </a:stretch>
                  </pic:blipFill>
                  <pic:spPr bwMode="auto">
                    <a:xfrm>
                      <a:off x="0" y="0"/>
                      <a:ext cx="6618161" cy="21006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CE3694" w14:textId="307D35AC" w:rsidR="00EF0C9C" w:rsidRDefault="00EF0C9C">
      <w:pPr>
        <w:spacing w:before="60" w:after="60"/>
      </w:pPr>
    </w:p>
    <w:p w14:paraId="1ED7D5FB" w14:textId="38448480" w:rsidR="00EF0C9C" w:rsidRDefault="00EF0C9C">
      <w:pPr>
        <w:spacing w:before="60" w:after="60"/>
      </w:pPr>
    </w:p>
    <w:p w14:paraId="73851E34" w14:textId="0DD2D60D" w:rsidR="00EF0C9C" w:rsidRDefault="00EF0C9C">
      <w:pPr>
        <w:spacing w:before="60" w:after="60"/>
      </w:pPr>
    </w:p>
    <w:p w14:paraId="652AC70B" w14:textId="249A18D5" w:rsidR="005F0924" w:rsidRDefault="005F0924">
      <w:pPr>
        <w:spacing w:before="60" w:after="60"/>
      </w:pPr>
    </w:p>
    <w:p w14:paraId="754CBD55" w14:textId="453CEC25" w:rsidR="00EF0C9C" w:rsidRDefault="00000000">
      <w:pPr>
        <w:pStyle w:val="Heading1"/>
        <w:pBdr>
          <w:bottom w:val="single" w:sz="8" w:space="4" w:color="2E75B6"/>
        </w:pBdr>
      </w:pPr>
      <w:r>
        <w:t>8. References</w:t>
      </w:r>
    </w:p>
    <w:p w14:paraId="7D86FF73" w14:textId="77777777" w:rsidR="00EF0C9C" w:rsidRDefault="00EF0C9C" w:rsidP="00EF0C9C">
      <w:pPr>
        <w:spacing w:before="60" w:after="140"/>
      </w:pPr>
      <w:r>
        <w:rPr>
          <w:color w:val="222222"/>
        </w:rPr>
        <w:t xml:space="preserve">1. World Health Organization (WHO). (2023). Vaccines and immunization. </w:t>
      </w:r>
      <w:hyperlink r:id="rId9" w:history="1">
        <w:r>
          <w:rPr>
            <w:color w:val="1F4E79"/>
            <w:u w:val="single"/>
          </w:rPr>
          <w:t>https://www.who.int/health-topics/vaccines-and-immunization</w:t>
        </w:r>
      </w:hyperlink>
    </w:p>
    <w:p w14:paraId="3F02EC64" w14:textId="77777777" w:rsidR="00EF0C9C" w:rsidRDefault="00EF0C9C" w:rsidP="00EF0C9C">
      <w:pPr>
        <w:spacing w:before="60" w:after="140"/>
      </w:pPr>
      <w:r>
        <w:rPr>
          <w:color w:val="222222"/>
        </w:rPr>
        <w:t xml:space="preserve">2. MacDonald, N. E., &amp; SAGE Working Group on Vaccine Hesitancy. (2015). Vaccine hesitancy: Definition, scope and determinants. Vaccine, 33(34), 4161–4164. </w:t>
      </w:r>
      <w:hyperlink r:id="rId10" w:history="1">
        <w:r>
          <w:rPr>
            <w:color w:val="1F4E79"/>
            <w:u w:val="single"/>
          </w:rPr>
          <w:t>https://doi.org/10.1016/j.vaccine.2015.04.036</w:t>
        </w:r>
      </w:hyperlink>
    </w:p>
    <w:p w14:paraId="6E339DDA" w14:textId="77777777" w:rsidR="00EF0C9C" w:rsidRDefault="00EF0C9C" w:rsidP="00EF0C9C">
      <w:pPr>
        <w:spacing w:before="60" w:after="140"/>
      </w:pPr>
      <w:r>
        <w:rPr>
          <w:color w:val="222222"/>
        </w:rPr>
        <w:t xml:space="preserve">3. World Health Organization. (2019). Ten threats to global health in 2019. WHO Spotlight. </w:t>
      </w:r>
      <w:hyperlink r:id="rId11" w:history="1">
        <w:r>
          <w:rPr>
            <w:color w:val="1F4E79"/>
            <w:u w:val="single"/>
          </w:rPr>
          <w:t>https://www.who.int/news-room/spotlight/ten-threats-to-global-health-in-2019</w:t>
        </w:r>
      </w:hyperlink>
    </w:p>
    <w:p w14:paraId="4D3BB91E" w14:textId="727D003B" w:rsidR="00EF0C9C" w:rsidRDefault="00EF0C9C" w:rsidP="00EF0C9C">
      <w:pPr>
        <w:spacing w:before="60" w:after="140"/>
      </w:pPr>
      <w:r>
        <w:rPr>
          <w:color w:val="222222"/>
        </w:rPr>
        <w:t xml:space="preserve">4. Pakistan National Immunization Programmed. (2022). Expanded Programmed on Immunization – Annual Report. Ministry of National Health Services, Islamabad. </w:t>
      </w:r>
      <w:hyperlink r:id="rId12" w:history="1">
        <w:r>
          <w:rPr>
            <w:color w:val="1F4E79"/>
            <w:u w:val="single"/>
          </w:rPr>
          <w:t>https://www.nhsrc.gov.pk/PageDetail.aspx?id=epi</w:t>
        </w:r>
      </w:hyperlink>
    </w:p>
    <w:p w14:paraId="073996BC" w14:textId="5938272C" w:rsidR="00EF0C9C" w:rsidRDefault="00EF0C9C" w:rsidP="00EF0C9C">
      <w:pPr>
        <w:spacing w:before="60" w:after="140"/>
      </w:pPr>
      <w:r>
        <w:rPr>
          <w:color w:val="222222"/>
        </w:rPr>
        <w:t xml:space="preserve">5. Larson, H. J., et al. (2016). The state of vaccine confidence 2016: Global insights through a 67-country survey. Biomedicine, 12, 295–301. </w:t>
      </w:r>
      <w:hyperlink r:id="rId13" w:history="1">
        <w:r>
          <w:rPr>
            <w:color w:val="1F4E79"/>
            <w:u w:val="single"/>
          </w:rPr>
          <w:t>https://doi.org/10.1016/j.ebiom.2016.08.042</w:t>
        </w:r>
      </w:hyperlink>
    </w:p>
    <w:p w14:paraId="55583638" w14:textId="2CD6469A" w:rsidR="00EF0C9C" w:rsidRDefault="00EF0C9C" w:rsidP="00EF0C9C">
      <w:pPr>
        <w:pBdr>
          <w:top w:val="single" w:sz="8" w:space="4" w:color="2E75B6"/>
        </w:pBdr>
        <w:spacing w:before="400" w:after="200"/>
      </w:pPr>
    </w:p>
    <w:p w14:paraId="4E17F6E1" w14:textId="7233A154" w:rsidR="005F0924" w:rsidRDefault="005F0924">
      <w:pPr>
        <w:spacing w:before="60" w:after="140"/>
      </w:pPr>
    </w:p>
    <w:sectPr w:rsidR="005F0924">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6F4DB" w14:textId="77777777" w:rsidR="0080482C" w:rsidRDefault="0080482C">
      <w:r>
        <w:separator/>
      </w:r>
    </w:p>
  </w:endnote>
  <w:endnote w:type="continuationSeparator" w:id="0">
    <w:p w14:paraId="32AF09CB" w14:textId="77777777" w:rsidR="0080482C" w:rsidRDefault="00804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0AE3" w14:textId="35A5F536" w:rsidR="005F0924" w:rsidRDefault="00000000">
    <w:pPr>
      <w:pBdr>
        <w:top w:val="single" w:sz="6" w:space="4" w:color="2E75B6"/>
      </w:pBdr>
      <w:spacing w:before="80"/>
      <w:jc w:val="center"/>
    </w:pPr>
    <w:r>
      <w:rPr>
        <w:color w:val="777777"/>
        <w:sz w:val="18"/>
        <w:szCs w:val="18"/>
      </w:rPr>
      <w:t xml:space="preserve">Iqra University Islamabad </w:t>
    </w:r>
    <w:r w:rsidR="00EF0C9C">
      <w:rPr>
        <w:color w:val="777777"/>
        <w:sz w:val="18"/>
        <w:szCs w:val="18"/>
      </w:rPr>
      <w:t>Campus | Page</w:t>
    </w:r>
    <w:r>
      <w:rPr>
        <w:color w:val="777777"/>
        <w:sz w:val="18"/>
        <w:szCs w:val="18"/>
      </w:rPr>
      <w:t xml:space="preserve"> </w:t>
    </w:r>
    <w:r>
      <w:rPr>
        <w:color w:val="777777"/>
        <w:sz w:val="18"/>
        <w:szCs w:val="18"/>
      </w:rPr>
      <w:fldChar w:fldCharType="begin"/>
    </w:r>
    <w:r>
      <w:rPr>
        <w:color w:val="777777"/>
        <w:sz w:val="18"/>
        <w:szCs w:val="18"/>
      </w:rPr>
      <w:instrText>PAGE</w:instrText>
    </w:r>
    <w:r>
      <w:rPr>
        <w:color w:val="777777"/>
        <w:sz w:val="18"/>
        <w:szCs w:val="18"/>
      </w:rPr>
      <w:fldChar w:fldCharType="separate"/>
    </w:r>
    <w:r w:rsidR="00EF0C9C">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EF0C9C">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4500" w14:textId="77777777" w:rsidR="0080482C" w:rsidRDefault="0080482C">
      <w:r>
        <w:separator/>
      </w:r>
    </w:p>
  </w:footnote>
  <w:footnote w:type="continuationSeparator" w:id="0">
    <w:p w14:paraId="031DA237" w14:textId="77777777" w:rsidR="0080482C" w:rsidRDefault="00804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EE39" w14:textId="7FCBA324" w:rsidR="005F0924" w:rsidRDefault="00000000">
    <w:pPr>
      <w:pBdr>
        <w:bottom w:val="single" w:sz="6" w:space="4" w:color="2E75B6"/>
      </w:pBdr>
      <w:spacing w:after="100"/>
    </w:pPr>
    <w:r>
      <w:rPr>
        <w:i/>
        <w:iCs/>
        <w:color w:val="777777"/>
        <w:sz w:val="18"/>
        <w:szCs w:val="18"/>
      </w:rPr>
      <w:t xml:space="preserve">Research </w:t>
    </w:r>
    <w:r w:rsidR="00EF0C9C">
      <w:rPr>
        <w:i/>
        <w:iCs/>
        <w:color w:val="777777"/>
        <w:sz w:val="18"/>
        <w:szCs w:val="18"/>
      </w:rPr>
      <w:t>Proposal | Students</w:t>
    </w:r>
    <w:r>
      <w:rPr>
        <w:i/>
        <w:iCs/>
        <w:color w:val="777777"/>
        <w:sz w:val="18"/>
        <w:szCs w:val="18"/>
      </w:rPr>
      <w:t>' Knowledge &amp; Attitude Towards Vaccination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1F1"/>
    <w:multiLevelType w:val="hybridMultilevel"/>
    <w:tmpl w:val="595EFD74"/>
    <w:lvl w:ilvl="0" w:tplc="E1B2F316">
      <w:start w:val="1"/>
      <w:numFmt w:val="bullet"/>
      <w:lvlText w:val="•"/>
      <w:lvlJc w:val="left"/>
      <w:pPr>
        <w:ind w:left="720" w:hanging="360"/>
      </w:pPr>
    </w:lvl>
    <w:lvl w:ilvl="1" w:tplc="43E29A10">
      <w:numFmt w:val="decimal"/>
      <w:lvlText w:val=""/>
      <w:lvlJc w:val="left"/>
    </w:lvl>
    <w:lvl w:ilvl="2" w:tplc="E1925766">
      <w:numFmt w:val="decimal"/>
      <w:lvlText w:val=""/>
      <w:lvlJc w:val="left"/>
    </w:lvl>
    <w:lvl w:ilvl="3" w:tplc="599E844E">
      <w:numFmt w:val="decimal"/>
      <w:lvlText w:val=""/>
      <w:lvlJc w:val="left"/>
    </w:lvl>
    <w:lvl w:ilvl="4" w:tplc="45A686CC">
      <w:numFmt w:val="decimal"/>
      <w:lvlText w:val=""/>
      <w:lvlJc w:val="left"/>
    </w:lvl>
    <w:lvl w:ilvl="5" w:tplc="CD247E00">
      <w:numFmt w:val="decimal"/>
      <w:lvlText w:val=""/>
      <w:lvlJc w:val="left"/>
    </w:lvl>
    <w:lvl w:ilvl="6" w:tplc="62524686">
      <w:numFmt w:val="decimal"/>
      <w:lvlText w:val=""/>
      <w:lvlJc w:val="left"/>
    </w:lvl>
    <w:lvl w:ilvl="7" w:tplc="ED685390">
      <w:numFmt w:val="decimal"/>
      <w:lvlText w:val=""/>
      <w:lvlJc w:val="left"/>
    </w:lvl>
    <w:lvl w:ilvl="8" w:tplc="1D0831C2">
      <w:numFmt w:val="decimal"/>
      <w:lvlText w:val=""/>
      <w:lvlJc w:val="left"/>
    </w:lvl>
  </w:abstractNum>
  <w:abstractNum w:abstractNumId="1" w15:restartNumberingAfterBreak="0">
    <w:nsid w:val="166B2C69"/>
    <w:multiLevelType w:val="multilevel"/>
    <w:tmpl w:val="C89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D3815"/>
    <w:multiLevelType w:val="hybridMultilevel"/>
    <w:tmpl w:val="87E24FB4"/>
    <w:lvl w:ilvl="0" w:tplc="FF2619EC">
      <w:start w:val="1"/>
      <w:numFmt w:val="bullet"/>
      <w:lvlText w:val="●"/>
      <w:lvlJc w:val="left"/>
      <w:pPr>
        <w:ind w:left="720" w:hanging="360"/>
      </w:pPr>
    </w:lvl>
    <w:lvl w:ilvl="1" w:tplc="CAF49430">
      <w:start w:val="1"/>
      <w:numFmt w:val="bullet"/>
      <w:lvlText w:val="○"/>
      <w:lvlJc w:val="left"/>
      <w:pPr>
        <w:ind w:left="1440" w:hanging="360"/>
      </w:pPr>
    </w:lvl>
    <w:lvl w:ilvl="2" w:tplc="8D4ACCF6">
      <w:start w:val="1"/>
      <w:numFmt w:val="bullet"/>
      <w:lvlText w:val="■"/>
      <w:lvlJc w:val="left"/>
      <w:pPr>
        <w:ind w:left="2160" w:hanging="360"/>
      </w:pPr>
    </w:lvl>
    <w:lvl w:ilvl="3" w:tplc="AB30D61C">
      <w:start w:val="1"/>
      <w:numFmt w:val="bullet"/>
      <w:lvlText w:val="●"/>
      <w:lvlJc w:val="left"/>
      <w:pPr>
        <w:ind w:left="2880" w:hanging="360"/>
      </w:pPr>
    </w:lvl>
    <w:lvl w:ilvl="4" w:tplc="6FFEFE6A">
      <w:start w:val="1"/>
      <w:numFmt w:val="bullet"/>
      <w:lvlText w:val="○"/>
      <w:lvlJc w:val="left"/>
      <w:pPr>
        <w:ind w:left="3600" w:hanging="360"/>
      </w:pPr>
    </w:lvl>
    <w:lvl w:ilvl="5" w:tplc="D938FA14">
      <w:start w:val="1"/>
      <w:numFmt w:val="bullet"/>
      <w:lvlText w:val="■"/>
      <w:lvlJc w:val="left"/>
      <w:pPr>
        <w:ind w:left="4320" w:hanging="360"/>
      </w:pPr>
    </w:lvl>
    <w:lvl w:ilvl="6" w:tplc="82020EB6">
      <w:start w:val="1"/>
      <w:numFmt w:val="bullet"/>
      <w:lvlText w:val="●"/>
      <w:lvlJc w:val="left"/>
      <w:pPr>
        <w:ind w:left="5040" w:hanging="360"/>
      </w:pPr>
    </w:lvl>
    <w:lvl w:ilvl="7" w:tplc="BFFCCA12">
      <w:start w:val="1"/>
      <w:numFmt w:val="bullet"/>
      <w:lvlText w:val="●"/>
      <w:lvlJc w:val="left"/>
      <w:pPr>
        <w:ind w:left="5760" w:hanging="360"/>
      </w:pPr>
    </w:lvl>
    <w:lvl w:ilvl="8" w:tplc="8F5A1AEC">
      <w:start w:val="1"/>
      <w:numFmt w:val="bullet"/>
      <w:lvlText w:val="●"/>
      <w:lvlJc w:val="left"/>
      <w:pPr>
        <w:ind w:left="6480" w:hanging="360"/>
      </w:pPr>
    </w:lvl>
  </w:abstractNum>
  <w:abstractNum w:abstractNumId="3" w15:restartNumberingAfterBreak="0">
    <w:nsid w:val="31246007"/>
    <w:multiLevelType w:val="hybridMultilevel"/>
    <w:tmpl w:val="5666E516"/>
    <w:lvl w:ilvl="0" w:tplc="14509CA8">
      <w:start w:val="1"/>
      <w:numFmt w:val="lowerRoman"/>
      <w:lvlText w:val="%1."/>
      <w:lvlJc w:val="left"/>
      <w:pPr>
        <w:ind w:left="900" w:hanging="360"/>
      </w:pPr>
    </w:lvl>
    <w:lvl w:ilvl="1" w:tplc="6DCC9582">
      <w:numFmt w:val="decimal"/>
      <w:lvlText w:val=""/>
      <w:lvlJc w:val="left"/>
    </w:lvl>
    <w:lvl w:ilvl="2" w:tplc="3FBC5F68">
      <w:numFmt w:val="decimal"/>
      <w:lvlText w:val=""/>
      <w:lvlJc w:val="left"/>
    </w:lvl>
    <w:lvl w:ilvl="3" w:tplc="8D5A41A6">
      <w:numFmt w:val="decimal"/>
      <w:lvlText w:val=""/>
      <w:lvlJc w:val="left"/>
    </w:lvl>
    <w:lvl w:ilvl="4" w:tplc="FFF62408">
      <w:numFmt w:val="decimal"/>
      <w:lvlText w:val=""/>
      <w:lvlJc w:val="left"/>
    </w:lvl>
    <w:lvl w:ilvl="5" w:tplc="8FCE5AF0">
      <w:numFmt w:val="decimal"/>
      <w:lvlText w:val=""/>
      <w:lvlJc w:val="left"/>
    </w:lvl>
    <w:lvl w:ilvl="6" w:tplc="18E69CB4">
      <w:numFmt w:val="decimal"/>
      <w:lvlText w:val=""/>
      <w:lvlJc w:val="left"/>
    </w:lvl>
    <w:lvl w:ilvl="7" w:tplc="45BE0BAA">
      <w:numFmt w:val="decimal"/>
      <w:lvlText w:val=""/>
      <w:lvlJc w:val="left"/>
    </w:lvl>
    <w:lvl w:ilvl="8" w:tplc="DEF88CF8">
      <w:numFmt w:val="decimal"/>
      <w:lvlText w:val=""/>
      <w:lvlJc w:val="left"/>
    </w:lvl>
  </w:abstractNum>
  <w:abstractNum w:abstractNumId="4" w15:restartNumberingAfterBreak="0">
    <w:nsid w:val="52B4128A"/>
    <w:multiLevelType w:val="hybridMultilevel"/>
    <w:tmpl w:val="F7E4A658"/>
    <w:lvl w:ilvl="0" w:tplc="2638B22A">
      <w:start w:val="1"/>
      <w:numFmt w:val="decimal"/>
      <w:lvlText w:val="%1."/>
      <w:lvlJc w:val="left"/>
      <w:pPr>
        <w:ind w:left="720" w:hanging="360"/>
      </w:pPr>
    </w:lvl>
    <w:lvl w:ilvl="1" w:tplc="733C2B2A">
      <w:numFmt w:val="decimal"/>
      <w:lvlText w:val=""/>
      <w:lvlJc w:val="left"/>
    </w:lvl>
    <w:lvl w:ilvl="2" w:tplc="4FEEF10A">
      <w:numFmt w:val="decimal"/>
      <w:lvlText w:val=""/>
      <w:lvlJc w:val="left"/>
    </w:lvl>
    <w:lvl w:ilvl="3" w:tplc="D65E7454">
      <w:numFmt w:val="decimal"/>
      <w:lvlText w:val=""/>
      <w:lvlJc w:val="left"/>
    </w:lvl>
    <w:lvl w:ilvl="4" w:tplc="315040DC">
      <w:numFmt w:val="decimal"/>
      <w:lvlText w:val=""/>
      <w:lvlJc w:val="left"/>
    </w:lvl>
    <w:lvl w:ilvl="5" w:tplc="B6267128">
      <w:numFmt w:val="decimal"/>
      <w:lvlText w:val=""/>
      <w:lvlJc w:val="left"/>
    </w:lvl>
    <w:lvl w:ilvl="6" w:tplc="A63CCF74">
      <w:numFmt w:val="decimal"/>
      <w:lvlText w:val=""/>
      <w:lvlJc w:val="left"/>
    </w:lvl>
    <w:lvl w:ilvl="7" w:tplc="3C82C8D6">
      <w:numFmt w:val="decimal"/>
      <w:lvlText w:val=""/>
      <w:lvlJc w:val="left"/>
    </w:lvl>
    <w:lvl w:ilvl="8" w:tplc="5DDC4522">
      <w:numFmt w:val="decimal"/>
      <w:lvlText w:val=""/>
      <w:lvlJc w:val="left"/>
    </w:lvl>
  </w:abstractNum>
  <w:num w:numId="1" w16cid:durableId="1463183338">
    <w:abstractNumId w:val="2"/>
    <w:lvlOverride w:ilvl="0">
      <w:startOverride w:val="1"/>
    </w:lvlOverride>
  </w:num>
  <w:num w:numId="2" w16cid:durableId="329256502">
    <w:abstractNumId w:val="0"/>
    <w:lvlOverride w:ilvl="0">
      <w:startOverride w:val="1"/>
    </w:lvlOverride>
  </w:num>
  <w:num w:numId="3" w16cid:durableId="1923448422">
    <w:abstractNumId w:val="4"/>
    <w:lvlOverride w:ilvl="0">
      <w:startOverride w:val="1"/>
    </w:lvlOverride>
  </w:num>
  <w:num w:numId="4" w16cid:durableId="4518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924"/>
    <w:rsid w:val="00050F35"/>
    <w:rsid w:val="004359AE"/>
    <w:rsid w:val="005F0924"/>
    <w:rsid w:val="00730A35"/>
    <w:rsid w:val="0080482C"/>
    <w:rsid w:val="00C00CB4"/>
    <w:rsid w:val="00EF0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DCC9F"/>
  <w15:docId w15:val="{0769A35C-B4FD-4418-86EF-5E75294A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C9C"/>
    <w:pPr>
      <w:tabs>
        <w:tab w:val="center" w:pos="4680"/>
        <w:tab w:val="right" w:pos="9360"/>
      </w:tabs>
    </w:pPr>
  </w:style>
  <w:style w:type="character" w:customStyle="1" w:styleId="HeaderChar">
    <w:name w:val="Header Char"/>
    <w:basedOn w:val="DefaultParagraphFont"/>
    <w:link w:val="Header"/>
    <w:uiPriority w:val="99"/>
    <w:rsid w:val="00EF0C9C"/>
  </w:style>
  <w:style w:type="paragraph" w:styleId="Footer">
    <w:name w:val="footer"/>
    <w:basedOn w:val="Normal"/>
    <w:link w:val="FooterChar"/>
    <w:uiPriority w:val="99"/>
    <w:unhideWhenUsed/>
    <w:rsid w:val="00EF0C9C"/>
    <w:pPr>
      <w:tabs>
        <w:tab w:val="center" w:pos="4680"/>
        <w:tab w:val="right" w:pos="9360"/>
      </w:tabs>
    </w:pPr>
  </w:style>
  <w:style w:type="character" w:customStyle="1" w:styleId="FooterChar">
    <w:name w:val="Footer Char"/>
    <w:basedOn w:val="DefaultParagraphFont"/>
    <w:link w:val="Footer"/>
    <w:uiPriority w:val="99"/>
    <w:rsid w:val="00EF0C9C"/>
  </w:style>
  <w:style w:type="table" w:styleId="TableGrid">
    <w:name w:val="Table Grid"/>
    <w:basedOn w:val="TableNormal"/>
    <w:uiPriority w:val="59"/>
    <w:rsid w:val="00EF0C9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ebiom.2016.08.042"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nhsrc.gov.pk/PageDetail.aspx?id=ep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news-room/spotlight/ten-threats-to-global-health-in-2019"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016/j.vaccine.2015.04.036" TargetMode="External"/><Relationship Id="rId4" Type="http://schemas.openxmlformats.org/officeDocument/2006/relationships/webSettings" Target="webSettings.xml"/><Relationship Id="rId9" Type="http://schemas.openxmlformats.org/officeDocument/2006/relationships/hyperlink" Target="https://www.who.int/health-topics/vaccines-and-immunizatio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2063</Words>
  <Characters>11760</Characters>
  <Application>Microsoft Office Word</Application>
  <DocSecurity>0</DocSecurity>
  <Lines>98</Lines>
  <Paragraphs>27</Paragraphs>
  <ScaleCrop>false</ScaleCrop>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aimen naqvi</cp:lastModifiedBy>
  <cp:revision>2</cp:revision>
  <dcterms:created xsi:type="dcterms:W3CDTF">2026-05-22T09:56:00Z</dcterms:created>
  <dcterms:modified xsi:type="dcterms:W3CDTF">2026-05-22T09:56:00Z</dcterms:modified>
</cp:coreProperties>
</file>