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Livrable 3 — Architecture Microservices</w:t>
      </w:r>
    </w:p>
    <w:p>
      <w:pPr>
        <w:pStyle w:val="Heading2"/>
      </w:pPr>
      <w:r>
        <w:t>1. Vue d'ensemble</w:t>
      </w:r>
    </w:p>
    <w:p>
      <w:r>
        <w:t>La plateforme adopte une architecture microservices distribuée composée de 10 services indépendants, organisés en 3 couches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2F2F2"/>
          </w:tcPr>
          <w:p/>
          <w:p>
            <w:r>
              <w:rPr>
                <w:rFonts w:ascii="Courier New" w:hAnsi="Courier New"/>
                <w:sz w:val="18"/>
              </w:rPr>
              <w:t>┌─────────────────────────────────────────┐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8"/>
              </w:rPr>
              <w:t>│           Frontend React (5173)          │</w:t>
            </w:r>
          </w:p>
          <w:p>
            <w:r>
              <w:rPr>
                <w:rFonts w:ascii="Courier New" w:hAnsi="Courier New"/>
                <w:sz w:val="18"/>
              </w:rPr>
              <w:t>└──────────────────┬──────────────────────┘</w:t>
            </w:r>
          </w:p>
          <w:p>
            <w:r>
              <w:rPr>
                <w:rFonts w:ascii="Courier New" w:hAnsi="Courier New"/>
                <w:sz w:val="18"/>
              </w:rPr>
              <w:t xml:space="preserve">                   │ HTTPS</w:t>
            </w:r>
          </w:p>
          <w:p>
            <w:r>
              <w:rPr>
                <w:rFonts w:ascii="Courier New" w:hAnsi="Courier New"/>
                <w:sz w:val="18"/>
              </w:rPr>
              <w:t>┌──────────────────▼──────────────────────┐</w:t>
            </w:r>
          </w:p>
          <w:p>
            <w:r>
              <w:rPr>
                <w:rFonts w:ascii="Courier New" w:hAnsi="Courier New"/>
                <w:sz w:val="18"/>
              </w:rPr>
              <w:t>│         API Gateway (8080)               │</w:t>
            </w:r>
          </w:p>
          <w:p>
            <w:r>
              <w:rPr>
                <w:rFonts w:ascii="Courier New" w:hAnsi="Courier New"/>
                <w:sz w:val="18"/>
              </w:rPr>
              <w:t>│    Spring Cloud Gateway + JWT Filter     │</w:t>
            </w:r>
          </w:p>
          <w:p>
            <w:r>
              <w:rPr>
                <w:rFonts w:ascii="Courier New" w:hAnsi="Courier New"/>
                <w:sz w:val="18"/>
              </w:rPr>
              <w:t>└──────┬───────────────────────────┬───────┘</w:t>
            </w:r>
          </w:p>
          <w:p>
            <w:r>
              <w:rPr>
                <w:rFonts w:ascii="Courier New" w:hAnsi="Courier New"/>
                <w:sz w:val="18"/>
              </w:rPr>
              <w:t xml:space="preserve">       │ Service Discovery          │ Config</w:t>
            </w:r>
          </w:p>
          <w:p>
            <w:r>
              <w:rPr>
                <w:rFonts w:ascii="Courier New" w:hAnsi="Courier New"/>
                <w:sz w:val="18"/>
              </w:rPr>
              <w:t>┌──────▼──────┐          ┌─────────▼──────┐</w:t>
            </w:r>
          </w:p>
          <w:p>
            <w:r>
              <w:rPr>
                <w:rFonts w:ascii="Courier New" w:hAnsi="Courier New"/>
                <w:sz w:val="18"/>
              </w:rPr>
              <w:t>│   Eureka    │          │  Config Server  │</w:t>
            </w:r>
          </w:p>
          <w:p>
            <w:r>
              <w:rPr>
                <w:rFonts w:ascii="Courier New" w:hAnsi="Courier New"/>
                <w:sz w:val="18"/>
              </w:rPr>
              <w:t>│   (8761)    │          │    (8888)       │</w:t>
            </w:r>
          </w:p>
          <w:p>
            <w:r>
              <w:rPr>
                <w:rFonts w:ascii="Courier New" w:hAnsi="Courier New"/>
                <w:sz w:val="18"/>
              </w:rPr>
              <w:t>└─────────────┘          └────────────────┘</w:t>
            </w:r>
          </w:p>
          <w:p>
            <w:r>
              <w:rPr>
                <w:rFonts w:ascii="Courier New" w:hAnsi="Courier New"/>
                <w:sz w:val="18"/>
              </w:rPr>
              <w:t xml:space="preserve">       │</w:t>
            </w:r>
          </w:p>
          <w:p>
            <w:r>
              <w:rPr>
                <w:rFonts w:ascii="Courier New" w:hAnsi="Courier New"/>
                <w:sz w:val="18"/>
              </w:rPr>
              <w:t>┌──────▼────────────────────────────────────┐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8"/>
              </w:rPr>
              <w:t>│              Microservices                 │</w:t>
            </w:r>
          </w:p>
          <w:p>
            <w:r>
              <w:rPr>
                <w:rFonts w:ascii="Courier New" w:hAnsi="Courier New"/>
                <w:sz w:val="18"/>
              </w:rPr>
              <w:t>├──────────┬──────────┬──────────┬───────────┤</w:t>
            </w:r>
          </w:p>
          <w:p>
            <w:r>
              <w:rPr>
                <w:rFonts w:ascii="Courier New" w:hAnsi="Courier New"/>
                <w:sz w:val="18"/>
              </w:rPr>
              <w:t>│   Auth   │ Customer │ Account  │Transaction│</w:t>
            </w:r>
          </w:p>
          <w:p>
            <w:r>
              <w:rPr>
                <w:rFonts w:ascii="Courier New" w:hAnsi="Courier New"/>
                <w:sz w:val="18"/>
              </w:rPr>
              <w:t>│  (8081)  │  (8082)  │  (8083)  │  (8084)   │</w:t>
            </w:r>
          </w:p>
          <w:p>
            <w:r>
              <w:rPr>
                <w:rFonts w:ascii="Courier New" w:hAnsi="Courier New"/>
                <w:sz w:val="18"/>
              </w:rPr>
              <w:t>│  Java    │  Java    │  Java    │   Java    │</w:t>
            </w:r>
          </w:p>
          <w:p>
            <w:r>
              <w:rPr>
                <w:rFonts w:ascii="Courier New" w:hAnsi="Courier New"/>
                <w:sz w:val="18"/>
              </w:rPr>
              <w:t>├──────────┼──────────┼──────────┼───────────┤</w:t>
            </w:r>
          </w:p>
          <w:p>
            <w:r>
              <w:rPr>
                <w:rFonts w:ascii="Courier New" w:hAnsi="Courier New"/>
                <w:sz w:val="18"/>
              </w:rPr>
              <w:t>│   Loan   │Document  │Notifica- │           │</w:t>
            </w:r>
          </w:p>
          <w:p>
            <w:r>
              <w:rPr>
                <w:rFonts w:ascii="Courier New" w:hAnsi="Courier New"/>
                <w:sz w:val="18"/>
              </w:rPr>
              <w:t>│  (8086)  │  (8087)  │  tion    │           │</w:t>
            </w:r>
          </w:p>
          <w:p>
            <w:r>
              <w:rPr>
                <w:rFonts w:ascii="Courier New" w:hAnsi="Courier New"/>
                <w:sz w:val="18"/>
              </w:rPr>
              <w:t>│  Python  │  Python  │  (8089)  │           │</w:t>
            </w:r>
          </w:p>
          <w:p>
            <w:r>
              <w:rPr>
                <w:rFonts w:ascii="Courier New" w:hAnsi="Courier New"/>
                <w:sz w:val="18"/>
              </w:rPr>
              <w:t>│          │          │  Node.js │           │</w:t>
            </w:r>
          </w:p>
          <w:p>
            <w:r>
              <w:rPr>
                <w:rFonts w:ascii="Courier New" w:hAnsi="Courier New"/>
                <w:sz w:val="18"/>
              </w:rPr>
              <w:t>└──────────┴──────────┴──────────┴───────────┘</w:t>
            </w:r>
          </w:p>
          <w:p>
            <w:r>
              <w:rPr>
                <w:rFonts w:ascii="Courier New" w:hAnsi="Courier New"/>
                <w:sz w:val="18"/>
              </w:rPr>
              <w:t xml:space="preserve">       │</w:t>
            </w:r>
          </w:p>
          <w:p>
            <w:r>
              <w:rPr>
                <w:rFonts w:ascii="Courier New" w:hAnsi="Courier New"/>
                <w:sz w:val="18"/>
              </w:rPr>
              <w:t>┌──────▼────────────────────────────────────┐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8"/>
              </w:rPr>
              <w:t>│           Infrastructure Data              │</w:t>
            </w:r>
          </w:p>
          <w:p>
            <w:r>
              <w:rPr>
                <w:rFonts w:ascii="Courier New" w:hAnsi="Courier New"/>
                <w:sz w:val="18"/>
              </w:rPr>
              <w:t>├──────────┬──────────┬──────────┬───────────┤</w:t>
            </w:r>
          </w:p>
          <w:p>
            <w:r>
              <w:rPr>
                <w:rFonts w:ascii="Courier New" w:hAnsi="Courier New"/>
                <w:sz w:val="18"/>
              </w:rPr>
              <w:t>│PostgreSQL│ MongoDB  │  Redis   │  Kafka    │</w:t>
            </w:r>
          </w:p>
          <w:p>
            <w:r>
              <w:rPr>
                <w:rFonts w:ascii="Courier New" w:hAnsi="Courier New"/>
                <w:sz w:val="18"/>
              </w:rPr>
              <w:t>│  (5432)  │ (27017)  │  (6379)  │  (9092)   │</w:t>
            </w:r>
          </w:p>
          <w:p>
            <w:r>
              <w:rPr>
                <w:rFonts w:ascii="Courier New" w:hAnsi="Courier New"/>
                <w:sz w:val="18"/>
              </w:rPr>
              <w:t>└──────────┴──────────┴──────────┴───────────┘</w:t>
            </w:r>
          </w:p>
        </w:tc>
      </w:tr>
    </w:tbl>
    <w:p/>
    <w:p>
      <w:pPr>
        <w:pBdr>
          <w:bottom w:val="single" w:sz="6" w:space="1" w:color="4472C4"/>
        </w:pBdr>
      </w:pPr>
    </w:p>
    <w:p>
      <w:pPr>
        <w:pStyle w:val="Heading2"/>
      </w:pPr>
      <w:r>
        <w:t>2. Description des services</w:t>
      </w:r>
    </w:p>
    <w:p>
      <w:pPr>
        <w:pStyle w:val="Heading3"/>
      </w:pPr>
      <w:r>
        <w:t>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Port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Rôle</w:t>
            </w:r>
          </w:p>
        </w:tc>
      </w:tr>
      <w:tr>
        <w:tc>
          <w:tcPr>
            <w:tcW w:type="dxa" w:w="2928"/>
          </w:tcPr>
          <w:p>
            <w:r/>
            <w:r>
              <w:t>Config Server</w:t>
            </w:r>
          </w:p>
        </w:tc>
        <w:tc>
          <w:tcPr>
            <w:tcW w:type="dxa" w:w="2928"/>
          </w:tcPr>
          <w:p>
            <w:r/>
            <w:r>
              <w:t>8888</w:t>
            </w:r>
          </w:p>
        </w:tc>
        <w:tc>
          <w:tcPr>
            <w:tcW w:type="dxa" w:w="2928"/>
          </w:tcPr>
          <w:p>
            <w:r/>
            <w:r>
              <w:t>Centralise la configuration de tous les services</w:t>
            </w:r>
          </w:p>
        </w:tc>
      </w:tr>
      <w:tr>
        <w:tc>
          <w:tcPr>
            <w:tcW w:type="dxa" w:w="2928"/>
          </w:tcPr>
          <w:p>
            <w:r/>
            <w:r>
              <w:t>Discovery Server</w:t>
            </w:r>
          </w:p>
        </w:tc>
        <w:tc>
          <w:tcPr>
            <w:tcW w:type="dxa" w:w="2928"/>
          </w:tcPr>
          <w:p>
            <w:r/>
            <w:r>
              <w:t>8761</w:t>
            </w:r>
          </w:p>
        </w:tc>
        <w:tc>
          <w:tcPr>
            <w:tcW w:type="dxa" w:w="2928"/>
          </w:tcPr>
          <w:p>
            <w:r/>
            <w:r>
              <w:t>Registre de services (Eureka) — découverte automatique</w:t>
            </w:r>
          </w:p>
        </w:tc>
      </w:tr>
      <w:tr>
        <w:tc>
          <w:tcPr>
            <w:tcW w:type="dxa" w:w="2928"/>
          </w:tcPr>
          <w:p>
            <w:r/>
            <w:r>
              <w:t>API Gateway</w:t>
            </w:r>
          </w:p>
        </w:tc>
        <w:tc>
          <w:tcPr>
            <w:tcW w:type="dxa" w:w="2928"/>
          </w:tcPr>
          <w:p>
            <w:r/>
            <w:r>
              <w:t>8080</w:t>
            </w:r>
          </w:p>
        </w:tc>
        <w:tc>
          <w:tcPr>
            <w:tcW w:type="dxa" w:w="2928"/>
          </w:tcPr>
          <w:p>
            <w:r/>
            <w:r>
              <w:t>Point d'entrée unique, routage, filtre JWT</w:t>
            </w:r>
          </w:p>
        </w:tc>
      </w:tr>
    </w:tbl>
    <w:p/>
    <w:p>
      <w:pPr>
        <w:pStyle w:val="Heading3"/>
      </w:pPr>
      <w:r>
        <w:t>Microservices Métier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19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Port</w:t>
            </w:r>
          </w:p>
        </w:tc>
        <w:tc>
          <w:tcPr>
            <w:tcW w:type="dxa" w:w="219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Techno</w:t>
            </w:r>
          </w:p>
        </w:tc>
        <w:tc>
          <w:tcPr>
            <w:tcW w:type="dxa" w:w="219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Rôle</w:t>
            </w:r>
          </w:p>
        </w:tc>
      </w:tr>
      <w:tr>
        <w:tc>
          <w:tcPr>
            <w:tcW w:type="dxa" w:w="2196"/>
          </w:tcPr>
          <w:p>
            <w:r/>
            <w:r>
              <w:t>auth-service</w:t>
            </w:r>
          </w:p>
        </w:tc>
        <w:tc>
          <w:tcPr>
            <w:tcW w:type="dxa" w:w="2196"/>
          </w:tcPr>
          <w:p>
            <w:r/>
            <w:r>
              <w:t>8081</w:t>
            </w:r>
          </w:p>
        </w:tc>
        <w:tc>
          <w:tcPr>
            <w:tcW w:type="dxa" w:w="2196"/>
          </w:tcPr>
          <w:p>
            <w:r/>
            <w:r>
              <w:t>Java/Spring Boot</w:t>
            </w:r>
          </w:p>
        </w:tc>
        <w:tc>
          <w:tcPr>
            <w:tcW w:type="dxa" w:w="2196"/>
          </w:tcPr>
          <w:p>
            <w:r/>
            <w:r>
              <w:t>Authentification JWT, gestion tokens</w:t>
            </w:r>
          </w:p>
        </w:tc>
      </w:tr>
      <w:tr>
        <w:tc>
          <w:tcPr>
            <w:tcW w:type="dxa" w:w="2196"/>
          </w:tcPr>
          <w:p>
            <w:r/>
            <w:r>
              <w:t>customer-service</w:t>
            </w:r>
          </w:p>
        </w:tc>
        <w:tc>
          <w:tcPr>
            <w:tcW w:type="dxa" w:w="2196"/>
          </w:tcPr>
          <w:p>
            <w:r/>
            <w:r>
              <w:t>8082</w:t>
            </w:r>
          </w:p>
        </w:tc>
        <w:tc>
          <w:tcPr>
            <w:tcW w:type="dxa" w:w="2196"/>
          </w:tcPr>
          <w:p>
            <w:r/>
            <w:r>
              <w:t>Java/Spring Boot</w:t>
            </w:r>
          </w:p>
        </w:tc>
        <w:tc>
          <w:tcPr>
            <w:tcW w:type="dxa" w:w="2196"/>
          </w:tcPr>
          <w:p>
            <w:r/>
            <w:r>
              <w:t>Profils clients, KYC</w:t>
            </w:r>
          </w:p>
        </w:tc>
      </w:tr>
      <w:tr>
        <w:tc>
          <w:tcPr>
            <w:tcW w:type="dxa" w:w="2196"/>
          </w:tcPr>
          <w:p>
            <w:r/>
            <w:r>
              <w:t>account-service</w:t>
            </w:r>
          </w:p>
        </w:tc>
        <w:tc>
          <w:tcPr>
            <w:tcW w:type="dxa" w:w="2196"/>
          </w:tcPr>
          <w:p>
            <w:r/>
            <w:r>
              <w:t>8083</w:t>
            </w:r>
          </w:p>
        </w:tc>
        <w:tc>
          <w:tcPr>
            <w:tcW w:type="dxa" w:w="2196"/>
          </w:tcPr>
          <w:p>
            <w:r/>
            <w:r>
              <w:t>Java/Spring Boot</w:t>
            </w:r>
          </w:p>
        </w:tc>
        <w:tc>
          <w:tcPr>
            <w:tcW w:type="dxa" w:w="2196"/>
          </w:tcPr>
          <w:p>
            <w:r/>
            <w:r>
              <w:t>Comptes bancaires, soldes</w:t>
            </w:r>
          </w:p>
        </w:tc>
      </w:tr>
      <w:tr>
        <w:tc>
          <w:tcPr>
            <w:tcW w:type="dxa" w:w="2196"/>
          </w:tcPr>
          <w:p>
            <w:r/>
            <w:r>
              <w:t>transaction-service</w:t>
            </w:r>
          </w:p>
        </w:tc>
        <w:tc>
          <w:tcPr>
            <w:tcW w:type="dxa" w:w="2196"/>
          </w:tcPr>
          <w:p>
            <w:r/>
            <w:r>
              <w:t>8084</w:t>
            </w:r>
          </w:p>
        </w:tc>
        <w:tc>
          <w:tcPr>
            <w:tcW w:type="dxa" w:w="2196"/>
          </w:tcPr>
          <w:p>
            <w:r/>
            <w:r>
              <w:t>Java/Spring Boot</w:t>
            </w:r>
          </w:p>
        </w:tc>
        <w:tc>
          <w:tcPr>
            <w:tcW w:type="dxa" w:w="2196"/>
          </w:tcPr>
          <w:p>
            <w:r/>
            <w:r>
              <w:t>Transactions, débit/crédit</w:t>
            </w:r>
          </w:p>
        </w:tc>
      </w:tr>
      <w:tr>
        <w:tc>
          <w:tcPr>
            <w:tcW w:type="dxa" w:w="2196"/>
          </w:tcPr>
          <w:p>
            <w:r/>
            <w:r>
              <w:t>loan-service</w:t>
            </w:r>
          </w:p>
        </w:tc>
        <w:tc>
          <w:tcPr>
            <w:tcW w:type="dxa" w:w="2196"/>
          </w:tcPr>
          <w:p>
            <w:r/>
            <w:r>
              <w:t>8086</w:t>
            </w:r>
          </w:p>
        </w:tc>
        <w:tc>
          <w:tcPr>
            <w:tcW w:type="dxa" w:w="2196"/>
          </w:tcPr>
          <w:p>
            <w:r/>
            <w:r>
              <w:t>Python/FastAPI</w:t>
            </w:r>
          </w:p>
        </w:tc>
        <w:tc>
          <w:tcPr>
            <w:tcW w:type="dxa" w:w="2196"/>
          </w:tcPr>
          <w:p>
            <w:r/>
            <w:r>
              <w:t>Prêts, scoring, échéanciers</w:t>
            </w:r>
          </w:p>
        </w:tc>
      </w:tr>
      <w:tr>
        <w:tc>
          <w:tcPr>
            <w:tcW w:type="dxa" w:w="2196"/>
          </w:tcPr>
          <w:p>
            <w:r/>
            <w:r>
              <w:t>document-service</w:t>
            </w:r>
          </w:p>
        </w:tc>
        <w:tc>
          <w:tcPr>
            <w:tcW w:type="dxa" w:w="2196"/>
          </w:tcPr>
          <w:p>
            <w:r/>
            <w:r>
              <w:t>8087</w:t>
            </w:r>
          </w:p>
        </w:tc>
        <w:tc>
          <w:tcPr>
            <w:tcW w:type="dxa" w:w="2196"/>
          </w:tcPr>
          <w:p>
            <w:r/>
            <w:r>
              <w:t>Python/FastAPI</w:t>
            </w:r>
          </w:p>
        </w:tc>
        <w:tc>
          <w:tcPr>
            <w:tcW w:type="dxa" w:w="2196"/>
          </w:tcPr>
          <w:p>
            <w:r/>
            <w:r>
              <w:t>OCR, vérification documents</w:t>
            </w:r>
          </w:p>
        </w:tc>
      </w:tr>
      <w:tr>
        <w:tc>
          <w:tcPr>
            <w:tcW w:type="dxa" w:w="2196"/>
          </w:tcPr>
          <w:p>
            <w:r/>
            <w:r>
              <w:t>notification-service</w:t>
            </w:r>
          </w:p>
        </w:tc>
        <w:tc>
          <w:tcPr>
            <w:tcW w:type="dxa" w:w="2196"/>
          </w:tcPr>
          <w:p>
            <w:r/>
            <w:r>
              <w:t>8089</w:t>
            </w:r>
          </w:p>
        </w:tc>
        <w:tc>
          <w:tcPr>
            <w:tcW w:type="dxa" w:w="2196"/>
          </w:tcPr>
          <w:p>
            <w:r/>
            <w:r>
              <w:t>Node.js/Express</w:t>
            </w:r>
          </w:p>
        </w:tc>
        <w:tc>
          <w:tcPr>
            <w:tcW w:type="dxa" w:w="2196"/>
          </w:tcPr>
          <w:p>
            <w:r/>
            <w:r>
              <w:t>Notifications SMS/Email</w:t>
            </w:r>
          </w:p>
        </w:tc>
      </w:tr>
    </w:tbl>
    <w:p/>
    <w:p>
      <w:pPr>
        <w:pBdr>
          <w:bottom w:val="single" w:sz="6" w:space="1" w:color="4472C4"/>
        </w:pBdr>
      </w:pPr>
    </w:p>
    <w:p>
      <w:pPr>
        <w:pStyle w:val="Heading2"/>
      </w:pPr>
      <w:r>
        <w:t>3. Justification des choix technologiques</w:t>
      </w:r>
    </w:p>
    <w:p>
      <w:pPr>
        <w:pStyle w:val="Heading3"/>
      </w:pPr>
      <w:r>
        <w:t>Java (Spring Boot) — Services critiques</w:t>
      </w:r>
    </w:p>
    <w:p>
      <w:r>
        <w:rPr>
          <w:b/>
        </w:rPr>
        <w:t>Raisons</w:t>
      </w:r>
      <w:r>
        <w:t xml:space="preserve"> :</w:t>
      </w:r>
    </w:p>
    <w:p>
      <w:pPr>
        <w:pStyle w:val="ListBullet"/>
      </w:pPr>
      <w:r>
        <w:t>Écosystème mature pour les applications financières</w:t>
      </w:r>
    </w:p>
    <w:p>
      <w:pPr>
        <w:pStyle w:val="ListBullet"/>
      </w:pPr>
      <w:r>
        <w:t>Spring Security pour JWT et OAuth2</w:t>
      </w:r>
    </w:p>
    <w:p>
      <w:pPr>
        <w:pStyle w:val="ListBullet"/>
      </w:pPr>
      <w:r>
        <w:t>Spring Data JPA pour les transactions ACID</w:t>
      </w:r>
    </w:p>
    <w:p>
      <w:pPr>
        <w:pStyle w:val="ListBullet"/>
      </w:pPr>
      <w:r>
        <w:t>Intégration native avec Eureka et Spring Cloud Gateway</w:t>
      </w:r>
    </w:p>
    <w:p>
      <w:pPr>
        <w:pStyle w:val="ListBullet"/>
      </w:pPr>
      <w:r>
        <w:t>Typage fort = moins d'erreurs en production</w:t>
      </w:r>
    </w:p>
    <w:p>
      <w:pPr>
        <w:pStyle w:val="Heading3"/>
      </w:pPr>
      <w:r>
        <w:t>Python (FastAPI) — Services IA/ML</w:t>
      </w:r>
    </w:p>
    <w:p>
      <w:r>
        <w:rPr>
          <w:b/>
        </w:rPr>
        <w:t>Raisons</w:t>
      </w:r>
      <w:r>
        <w:t xml:space="preserve"> :</w:t>
      </w:r>
    </w:p>
    <w:p>
      <w:pPr>
        <w:pStyle w:val="ListBullet"/>
      </w:pPr>
      <w:r>
        <w:t>Bibliothèques OCR/ML disponibles (Tesseract, Pillow)</w:t>
      </w:r>
    </w:p>
    <w:p>
      <w:pPr>
        <w:pStyle w:val="ListBullet"/>
      </w:pPr>
      <w:r>
        <w:t>FastAPI pour des APIs haute performance</w:t>
      </w:r>
    </w:p>
    <w:p>
      <w:pPr>
        <w:pStyle w:val="ListBullet"/>
      </w:pPr>
      <w:r>
        <w:t>SQLAlchemy pour l'ORM</w:t>
      </w:r>
    </w:p>
    <w:p>
      <w:pPr>
        <w:pStyle w:val="ListBullet"/>
      </w:pPr>
      <w:r>
        <w:t>Idéal pour les calculs financiers (loan scoring)</w:t>
      </w:r>
    </w:p>
    <w:p>
      <w:pPr>
        <w:pStyle w:val="ListBullet"/>
      </w:pPr>
      <w:r>
        <w:t>Documentation Swagger automatique</w:t>
      </w:r>
    </w:p>
    <w:p>
      <w:pPr>
        <w:pStyle w:val="Heading3"/>
      </w:pPr>
      <w:r>
        <w:t>Node.js (Express) — Services événementiels</w:t>
      </w:r>
    </w:p>
    <w:p>
      <w:r>
        <w:rPr>
          <w:b/>
        </w:rPr>
        <w:t>Raisons</w:t>
      </w:r>
      <w:r>
        <w:t xml:space="preserve"> :</w:t>
      </w:r>
    </w:p>
    <w:p>
      <w:pPr>
        <w:pStyle w:val="ListBullet"/>
      </w:pPr>
      <w:r>
        <w:t>I/O non-bloquant — idéal pour consommer des événements Kafka</w:t>
      </w:r>
    </w:p>
    <w:p>
      <w:pPr>
        <w:pStyle w:val="ListBullet"/>
      </w:pPr>
      <w:r>
        <w:t>Bibliothèque KafkaJS native</w:t>
      </w:r>
    </w:p>
    <w:p>
      <w:pPr>
        <w:pStyle w:val="ListBullet"/>
      </w:pPr>
      <w:r>
        <w:t>Faible empreinte mémoire</w:t>
      </w:r>
    </w:p>
    <w:p>
      <w:pPr>
        <w:pStyle w:val="ListBullet"/>
      </w:pPr>
      <w:r>
        <w:t>Parfait pour les tâches asynchrones (notifications)</w:t>
      </w:r>
    </w:p>
    <w:p>
      <w:pPr>
        <w:pBdr>
          <w:bottom w:val="single" w:sz="6" w:space="1" w:color="4472C4"/>
        </w:pBdr>
      </w:pPr>
    </w:p>
    <w:p>
      <w:pPr>
        <w:pStyle w:val="Heading2"/>
      </w:pPr>
      <w:r>
        <w:t>4. Patterns architecturaux utilisés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Pattern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Utilisation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Service(s)</w:t>
            </w:r>
          </w:p>
        </w:tc>
      </w:tr>
      <w:tr>
        <w:tc>
          <w:tcPr>
            <w:tcW w:type="dxa" w:w="2928"/>
          </w:tcPr>
          <w:p>
            <w:r/>
            <w:r>
              <w:t>API Gateway</w:t>
            </w:r>
          </w:p>
        </w:tc>
        <w:tc>
          <w:tcPr>
            <w:tcW w:type="dxa" w:w="2928"/>
          </w:tcPr>
          <w:p>
            <w:r/>
            <w:r>
              <w:t>Point d'entrée unique, routage</w:t>
            </w:r>
          </w:p>
        </w:tc>
        <w:tc>
          <w:tcPr>
            <w:tcW w:type="dxa" w:w="2928"/>
          </w:tcPr>
          <w:p>
            <w:r/>
            <w:r>
              <w:t>api-gateway</w:t>
            </w:r>
          </w:p>
        </w:tc>
      </w:tr>
      <w:tr>
        <w:tc>
          <w:tcPr>
            <w:tcW w:type="dxa" w:w="2928"/>
          </w:tcPr>
          <w:p>
            <w:r/>
            <w:r>
              <w:t>Service Discovery</w:t>
            </w:r>
          </w:p>
        </w:tc>
        <w:tc>
          <w:tcPr>
            <w:tcW w:type="dxa" w:w="2928"/>
          </w:tcPr>
          <w:p>
            <w:r/>
            <w:r>
              <w:t>Découverte automatique des services</w:t>
            </w:r>
          </w:p>
        </w:tc>
        <w:tc>
          <w:tcPr>
            <w:tcW w:type="dxa" w:w="2928"/>
          </w:tcPr>
          <w:p>
            <w:r/>
            <w:r>
              <w:t>Eureka</w:t>
            </w:r>
          </w:p>
        </w:tc>
      </w:tr>
      <w:tr>
        <w:tc>
          <w:tcPr>
            <w:tcW w:type="dxa" w:w="2928"/>
          </w:tcPr>
          <w:p>
            <w:r/>
            <w:r>
              <w:t>Centralized Config</w:t>
            </w:r>
          </w:p>
        </w:tc>
        <w:tc>
          <w:tcPr>
            <w:tcW w:type="dxa" w:w="2928"/>
          </w:tcPr>
          <w:p>
            <w:r/>
            <w:r>
              <w:t>Configuration externalisée</w:t>
            </w:r>
          </w:p>
        </w:tc>
        <w:tc>
          <w:tcPr>
            <w:tcW w:type="dxa" w:w="2928"/>
          </w:tcPr>
          <w:p>
            <w:r/>
            <w:r>
              <w:t>config-server</w:t>
            </w:r>
          </w:p>
        </w:tc>
      </w:tr>
      <w:tr>
        <w:tc>
          <w:tcPr>
            <w:tcW w:type="dxa" w:w="2928"/>
          </w:tcPr>
          <w:p>
            <w:r/>
            <w:r>
              <w:t>Database per Service</w:t>
            </w:r>
          </w:p>
        </w:tc>
        <w:tc>
          <w:tcPr>
            <w:tcW w:type="dxa" w:w="2928"/>
          </w:tcPr>
          <w:p>
            <w:r/>
            <w:r>
              <w:t>Isolation des données</w:t>
            </w:r>
          </w:p>
        </w:tc>
        <w:tc>
          <w:tcPr>
            <w:tcW w:type="dxa" w:w="2928"/>
          </w:tcPr>
          <w:p>
            <w:r/>
            <w:r>
              <w:t>Tous les services</w:t>
            </w:r>
          </w:p>
        </w:tc>
      </w:tr>
      <w:tr>
        <w:tc>
          <w:tcPr>
            <w:tcW w:type="dxa" w:w="2928"/>
          </w:tcPr>
          <w:p>
            <w:r/>
            <w:r>
              <w:t>Event-Driven</w:t>
            </w:r>
          </w:p>
        </w:tc>
        <w:tc>
          <w:tcPr>
            <w:tcW w:type="dxa" w:w="2928"/>
          </w:tcPr>
          <w:p>
            <w:r/>
            <w:r>
              <w:t>Communication asynchrone</w:t>
            </w:r>
          </w:p>
        </w:tc>
        <w:tc>
          <w:tcPr>
            <w:tcW w:type="dxa" w:w="2928"/>
          </w:tcPr>
          <w:p>
            <w:r/>
            <w:r>
              <w:t>transaction → notification</w:t>
            </w:r>
          </w:p>
        </w:tc>
      </w:tr>
      <w:tr>
        <w:tc>
          <w:tcPr>
            <w:tcW w:type="dxa" w:w="2928"/>
          </w:tcPr>
          <w:p>
            <w:r/>
            <w:r>
              <w:t>Saga Pattern</w:t>
            </w:r>
          </w:p>
        </w:tc>
        <w:tc>
          <w:tcPr>
            <w:tcW w:type="dxa" w:w="2928"/>
          </w:tcPr>
          <w:p>
            <w:r/>
            <w:r>
              <w:t>Transactions distribuées</w:t>
            </w:r>
          </w:p>
        </w:tc>
        <w:tc>
          <w:tcPr>
            <w:tcW w:type="dxa" w:w="2928"/>
          </w:tcPr>
          <w:p>
            <w:r/>
            <w:r>
              <w:t>transaction-service</w:t>
            </w:r>
          </w:p>
        </w:tc>
      </w:tr>
      <w:tr>
        <w:tc>
          <w:tcPr>
            <w:tcW w:type="dxa" w:w="2928"/>
          </w:tcPr>
          <w:p>
            <w:r/>
            <w:r>
              <w:t>Circuit Breaker</w:t>
            </w:r>
          </w:p>
        </w:tc>
        <w:tc>
          <w:tcPr>
            <w:tcW w:type="dxa" w:w="2928"/>
          </w:tcPr>
          <w:p>
            <w:r/>
            <w:r>
              <w:t>Résilience</w:t>
            </w:r>
          </w:p>
        </w:tc>
        <w:tc>
          <w:tcPr>
            <w:tcW w:type="dxa" w:w="2928"/>
          </w:tcPr>
          <w:p>
            <w:r/>
            <w:r>
              <w:t>À implémenter (Resilience4j)</w:t>
            </w:r>
          </w:p>
        </w:tc>
      </w:tr>
    </w:tbl>
    <w:p/>
    <w:p>
      <w:pPr>
        <w:pBdr>
          <w:bottom w:val="single" w:sz="6" w:space="1" w:color="4472C4"/>
        </w:pBdr>
      </w:pPr>
    </w:p>
    <w:p>
      <w:pPr>
        <w:pStyle w:val="Heading2"/>
      </w:pPr>
      <w:r>
        <w:t>5. Communication entre services</w:t>
      </w:r>
    </w:p>
    <w:p>
      <w:pPr>
        <w:pStyle w:val="Heading3"/>
      </w:pPr>
      <w:r>
        <w:t>Synchrone (REST)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2F2F2"/>
          </w:tcPr>
          <w:p/>
          <w:p>
            <w:r>
              <w:rPr>
                <w:rFonts w:ascii="Courier New" w:hAnsi="Courier New"/>
                <w:sz w:val="18"/>
              </w:rPr>
              <w:t>API Gateway → auth-service (login/register)</w:t>
            </w:r>
          </w:p>
          <w:p>
            <w:r>
              <w:rPr>
                <w:rFonts w:ascii="Courier New" w:hAnsi="Courier New"/>
                <w:sz w:val="18"/>
              </w:rPr>
              <w:t>API Gateway → customer-service (CRUD clients)</w:t>
            </w:r>
          </w:p>
          <w:p>
            <w:r>
              <w:rPr>
                <w:rFonts w:ascii="Courier New" w:hAnsi="Courier New"/>
                <w:sz w:val="18"/>
              </w:rPr>
              <w:t>API Gateway → account-service (CRUD comptes)</w:t>
            </w:r>
          </w:p>
          <w:p>
            <w:r>
              <w:rPr>
                <w:rFonts w:ascii="Courier New" w:hAnsi="Courier New"/>
                <w:sz w:val="18"/>
              </w:rPr>
              <w:t>API Gateway → transaction-service (exécution)</w:t>
            </w:r>
          </w:p>
          <w:p>
            <w:r>
              <w:rPr>
                <w:rFonts w:ascii="Courier New" w:hAnsi="Courier New"/>
                <w:sz w:val="18"/>
              </w:rPr>
              <w:t>transaction-service → account-service (débit/crédit)</w:t>
            </w:r>
          </w:p>
          <w:p>
            <w:r>
              <w:rPr>
                <w:rFonts w:ascii="Courier New" w:hAnsi="Courier New"/>
                <w:sz w:val="18"/>
              </w:rPr>
              <w:t>loan-service → customer-service (vérif éligibilité)</w:t>
            </w:r>
          </w:p>
        </w:tc>
      </w:tr>
    </w:tbl>
    <w:p/>
    <w:p>
      <w:pPr>
        <w:pStyle w:val="Heading3"/>
      </w:pPr>
      <w:r>
        <w:t>Asynchrone (Kafka)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2F2F2"/>
          </w:tcPr>
          <w:p/>
          <w:p>
            <w:r>
              <w:rPr>
                <w:rFonts w:ascii="Courier New" w:hAnsi="Courier New"/>
                <w:sz w:val="18"/>
              </w:rPr>
              <w:t>transaction-service ──[transaction.completed]──► notification-service</w:t>
            </w:r>
          </w:p>
          <w:p>
            <w:r>
              <w:rPr>
                <w:rFonts w:ascii="Courier New" w:hAnsi="Courier New"/>
                <w:sz w:val="18"/>
              </w:rPr>
              <w:t>transaction-service ──[transaction.failed]────► notification-service</w:t>
            </w:r>
          </w:p>
          <w:p>
            <w:r>
              <w:rPr>
                <w:rFonts w:ascii="Courier New" w:hAnsi="Courier New"/>
                <w:sz w:val="18"/>
              </w:rPr>
              <w:t>loan-service ──────────[loan.approved]─────────► notification-service</w:t>
            </w:r>
          </w:p>
        </w:tc>
      </w:tr>
    </w:tbl>
    <w:p/>
    <w:p>
      <w:pPr>
        <w:pBdr>
          <w:bottom w:val="single" w:sz="6" w:space="1" w:color="4472C4"/>
        </w:pBdr>
      </w:pPr>
    </w:p>
    <w:p>
      <w:pPr>
        <w:pStyle w:val="Heading2"/>
      </w:pPr>
      <w:r>
        <w:t>6. Sécurité</w:t>
      </w:r>
    </w:p>
    <w:p>
      <w:pPr>
        <w:pStyle w:val="Heading3"/>
      </w:pPr>
      <w:r>
        <w:t>Flux d'authentification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2F2F2"/>
          </w:tcPr>
          <w:p/>
          <w:p>
            <w:r>
              <w:rPr>
                <w:rFonts w:ascii="Courier New" w:hAnsi="Courier New"/>
                <w:sz w:val="18"/>
              </w:rPr>
              <w:t>Client → POST /api/auth/login → auth-service</w:t>
            </w:r>
          </w:p>
          <w:p>
            <w:r>
              <w:rPr>
                <w:rFonts w:ascii="Courier New" w:hAnsi="Courier New"/>
                <w:sz w:val="18"/>
              </w:rPr>
              <w:t>auth-service → JWT (15min) + RefreshToken (7j)</w:t>
            </w:r>
          </w:p>
          <w:p>
            <w:r>
              <w:rPr>
                <w:rFonts w:ascii="Courier New" w:hAnsi="Courier New"/>
                <w:sz w:val="18"/>
              </w:rPr>
              <w:t>Client → Header: Authorization: Bearer &lt;JWT&gt;</w:t>
            </w:r>
          </w:p>
          <w:p>
            <w:r>
              <w:rPr>
                <w:rFonts w:ascii="Courier New" w:hAnsi="Courier New"/>
                <w:sz w:val="18"/>
              </w:rPr>
              <w:t>API Gateway → Valide JWT → Forward X-User-Id, X-User-Role</w:t>
            </w:r>
          </w:p>
          <w:p>
            <w:r>
              <w:rPr>
                <w:rFonts w:ascii="Courier New" w:hAnsi="Courier New"/>
                <w:sz w:val="18"/>
              </w:rPr>
              <w:t>Services → Reçoivent les headers sans valider le JWT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