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Livrable 4 — Diagrammes UML</w:t>
      </w:r>
    </w:p>
    <w:p>
      <w:pPr>
        <w:pStyle w:val="Heading2"/>
      </w:pPr>
      <w:r>
        <w:t>Diagrammes disponibles</w:t>
      </w:r>
    </w:p>
    <w:p>
      <w:r>
        <w:t xml:space="preserve">Les fichiers source PlantUML sont dans le dossier </w:t>
      </w:r>
      <w:r>
        <w:rPr>
          <w:rFonts w:ascii="Courier New" w:hAnsi="Courier New"/>
          <w:color w:val="C7254E"/>
          <w:sz w:val="18"/>
        </w:rPr>
        <w:t>docs/uml/</w:t>
      </w:r>
      <w:r>
        <w:t>.</w:t>
      </w:r>
    </w:p>
    <w:p>
      <w:r>
        <w:t xml:space="preserve">Les images PNG sont dans </w:t>
      </w:r>
      <w:r>
        <w:rPr>
          <w:rFonts w:ascii="Courier New" w:hAnsi="Courier New"/>
          <w:color w:val="C7254E"/>
          <w:sz w:val="18"/>
        </w:rPr>
        <w:t>docs/uml/images/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Fichier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928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01-use-case.puml</w:t>
            </w:r>
          </w:p>
        </w:tc>
        <w:tc>
          <w:tcPr>
            <w:tcW w:type="dxa" w:w="2928"/>
          </w:tcPr>
          <w:p>
            <w:r/>
            <w:r>
              <w:t>Cas d'utilisation</w:t>
            </w:r>
          </w:p>
        </w:tc>
        <w:tc>
          <w:tcPr>
            <w:tcW w:type="dxa" w:w="2928"/>
          </w:tcPr>
          <w:p>
            <w:r/>
            <w:r>
              <w:t>Tous les acteurs et leurs interactions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02-architecture-components.puml</w:t>
            </w:r>
          </w:p>
        </w:tc>
        <w:tc>
          <w:tcPr>
            <w:tcW w:type="dxa" w:w="2928"/>
          </w:tcPr>
          <w:p>
            <w:r/>
            <w:r>
              <w:t>Composants</w:t>
            </w:r>
          </w:p>
        </w:tc>
        <w:tc>
          <w:tcPr>
            <w:tcW w:type="dxa" w:w="2928"/>
          </w:tcPr>
          <w:p>
            <w:r/>
            <w:r>
              <w:t>Architecture globale microservices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03-sequence-inscription.puml</w:t>
            </w:r>
          </w:p>
        </w:tc>
        <w:tc>
          <w:tcPr>
            <w:tcW w:type="dxa" w:w="2928"/>
          </w:tcPr>
          <w:p>
            <w:r/>
            <w:r>
              <w:t>Séquence</w:t>
            </w:r>
          </w:p>
        </w:tc>
        <w:tc>
          <w:tcPr>
            <w:tcW w:type="dxa" w:w="2928"/>
          </w:tcPr>
          <w:p>
            <w:r/>
            <w:r>
              <w:t>Inscription + KYC + OCR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04-sequence-transaction.puml</w:t>
            </w:r>
          </w:p>
        </w:tc>
        <w:tc>
          <w:tcPr>
            <w:tcW w:type="dxa" w:w="2928"/>
          </w:tcPr>
          <w:p>
            <w:r/>
            <w:r>
              <w:t>Séquence</w:t>
            </w:r>
          </w:p>
        </w:tc>
        <w:tc>
          <w:tcPr>
            <w:tcW w:type="dxa" w:w="2928"/>
          </w:tcPr>
          <w:p>
            <w:r/>
            <w:r>
              <w:t>Transfert inter-opérateur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05-sequence-pret.puml</w:t>
            </w:r>
          </w:p>
        </w:tc>
        <w:tc>
          <w:tcPr>
            <w:tcW w:type="dxa" w:w="2928"/>
          </w:tcPr>
          <w:p>
            <w:r/>
            <w:r>
              <w:t>Séquence</w:t>
            </w:r>
          </w:p>
        </w:tc>
        <w:tc>
          <w:tcPr>
            <w:tcW w:type="dxa" w:w="2928"/>
          </w:tcPr>
          <w:p>
            <w:r/>
            <w:r>
              <w:t>Demande et remboursement de prêt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06-class-domain.puml</w:t>
            </w:r>
          </w:p>
        </w:tc>
        <w:tc>
          <w:tcPr>
            <w:tcW w:type="dxa" w:w="2928"/>
          </w:tcPr>
          <w:p>
            <w:r/>
            <w:r>
              <w:t>Classes</w:t>
            </w:r>
          </w:p>
        </w:tc>
        <w:tc>
          <w:tcPr>
            <w:tcW w:type="dxa" w:w="2928"/>
          </w:tcPr>
          <w:p>
            <w:r/>
            <w:r>
              <w:t>Modèle de domaine DDD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07-ddd-context-map.puml</w:t>
            </w:r>
          </w:p>
        </w:tc>
        <w:tc>
          <w:tcPr>
            <w:tcW w:type="dxa" w:w="2928"/>
          </w:tcPr>
          <w:p>
            <w:r/>
            <w:r>
              <w:t>Context Map</w:t>
            </w:r>
          </w:p>
        </w:tc>
        <w:tc>
          <w:tcPr>
            <w:tcW w:type="dxa" w:w="2928"/>
          </w:tcPr>
          <w:p>
            <w:r/>
            <w:r>
              <w:t>Relations entre Bounded Contexts</w:t>
            </w:r>
          </w:p>
        </w:tc>
      </w:tr>
      <w:tr>
        <w:tc>
          <w:tcPr>
            <w:tcW w:type="dxa" w:w="2928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08-deployment.puml</w:t>
            </w:r>
          </w:p>
        </w:tc>
        <w:tc>
          <w:tcPr>
            <w:tcW w:type="dxa" w:w="2928"/>
          </w:tcPr>
          <w:p>
            <w:r/>
            <w:r>
              <w:t>Déploiement</w:t>
            </w:r>
          </w:p>
        </w:tc>
        <w:tc>
          <w:tcPr>
            <w:tcW w:type="dxa" w:w="2928"/>
          </w:tcPr>
          <w:p>
            <w:r/>
            <w:r>
              <w:t>Architecture Kubernetes</w:t>
            </w:r>
          </w:p>
        </w:tc>
      </w:tr>
    </w:tbl>
    <w:p/>
    <w:p>
      <w:pPr>
        <w:pStyle w:val="Heading2"/>
      </w:pPr>
      <w:r>
        <w:t>Comment visualiser</w:t>
      </w:r>
    </w:p>
    <w:p>
      <w:pPr>
        <w:pStyle w:val="Heading3"/>
      </w:pPr>
      <w:r>
        <w:t>Option 1 — VS Code</w:t>
      </w:r>
    </w:p>
    <w:p>
      <w:r>
        <w:t xml:space="preserve">Installer l'extension </w:t>
      </w:r>
      <w:r>
        <w:rPr>
          <w:b/>
        </w:rPr>
        <w:t>PlantUML</w:t>
      </w:r>
      <w:r>
        <w:t xml:space="preserve"> puis </w:t>
      </w:r>
      <w:r>
        <w:rPr>
          <w:rFonts w:ascii="Courier New" w:hAnsi="Courier New"/>
          <w:color w:val="C7254E"/>
          <w:sz w:val="18"/>
        </w:rPr>
        <w:t>Alt+D</w:t>
      </w:r>
      <w:r>
        <w:t xml:space="preserve"> pour prévisualiser.</w:t>
      </w:r>
    </w:p>
    <w:p>
      <w:pPr>
        <w:pStyle w:val="Heading3"/>
      </w:pPr>
      <w:r>
        <w:t>Option 2 — En ligne</w:t>
      </w:r>
    </w:p>
    <w:p>
      <w:r>
        <w:t>Aller sur https://www.plantuml.com/plantuml/uml/ et coller le contenu.</w:t>
      </w:r>
    </w:p>
    <w:p>
      <w:pPr>
        <w:pStyle w:val="Heading3"/>
      </w:pPr>
      <w:r>
        <w:t>Option 3 — Générer les images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cd docs/uml</w:t>
            </w:r>
          </w:p>
          <w:p>
            <w:r>
              <w:rPr>
                <w:rFonts w:ascii="Courier New" w:hAnsi="Courier New"/>
                <w:sz w:val="18"/>
              </w:rPr>
              <w:t>python export_diagrams.py</w:t>
            </w:r>
          </w:p>
        </w:tc>
      </w:tr>
    </w:tbl>
    <w:p/>
    <w:p>
      <w:pPr>
        <w:pStyle w:val="Heading2"/>
      </w:pPr>
      <w:r>
        <w:t>Résumé des acteurs (Cas d'utilisation)</w:t>
      </w:r>
    </w:p>
    <w:p>
      <w:pPr>
        <w:pStyle w:val="ListBullet"/>
      </w:pPr>
      <w:r>
        <w:rPr>
          <w:b/>
        </w:rPr>
        <w:t>Client</w:t>
      </w:r>
      <w:r>
        <w:t xml:space="preserve"> : S'inscrit, gère ses comptes, effectue des transactions, demande des prêts</w:t>
      </w:r>
    </w:p>
    <w:p>
      <w:pPr>
        <w:pStyle w:val="ListBullet"/>
      </w:pPr>
      <w:r>
        <w:rPr>
          <w:b/>
        </w:rPr>
        <w:t>Administrateur</w:t>
      </w:r>
      <w:r>
        <w:t xml:space="preserve"> : Gère les opérateurs, consulte les rapports, configure le système</w:t>
      </w:r>
    </w:p>
    <w:p>
      <w:pPr>
        <w:pStyle w:val="ListBullet"/>
      </w:pPr>
      <w:r>
        <w:rPr>
          <w:b/>
        </w:rPr>
        <w:t>Opérateur Financier</w:t>
      </w:r>
      <w:r>
        <w:t xml:space="preserve"> : Analyse et valide les dossiers de prêts, configure les règles</w:t>
      </w:r>
    </w:p>
    <w:p>
      <w:pPr>
        <w:pStyle w:val="ListBullet"/>
      </w:pPr>
      <w:r>
        <w:rPr>
          <w:b/>
        </w:rPr>
        <w:t>Système OCR/IA</w:t>
      </w:r>
      <w:r>
        <w:t xml:space="preserve"> : Extrait automatiquement les informations des documents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