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Livrable 11 — Rapport Technique</w:t>
      </w:r>
    </w:p>
    <w:p>
      <w:pPr>
        <w:pStyle w:val="Heading1"/>
      </w:pPr>
      <w:r>
        <w:t>Plateforme Bancaire Distribuée Basée sur les Microservices</w:t>
      </w:r>
    </w:p>
    <w:p>
      <w:pPr>
        <w:pBdr>
          <w:bottom w:val="single" w:sz="6" w:space="1" w:color="4472C4"/>
        </w:pBdr>
      </w:pPr>
    </w:p>
    <w:p>
      <w:pPr>
        <w:pStyle w:val="Heading2"/>
      </w:pPr>
      <w:r>
        <w:t>1. Introduction</w:t>
      </w:r>
    </w:p>
    <w:p>
      <w:r>
        <w:t>Ce rapport présente les choix architecturaux, les décisions techniques et les compromis réalisés dans le cadre du développement de la plateforme bancaire distribuée. Ce projet illustre l'application concrète des principes du Domain Driven Design (DDD) et de l'architecture microservices dans un contexte financier réel.</w:t>
      </w:r>
    </w:p>
    <w:p>
      <w:pPr>
        <w:pBdr>
          <w:bottom w:val="single" w:sz="6" w:space="1" w:color="4472C4"/>
        </w:pBdr>
      </w:pPr>
    </w:p>
    <w:p>
      <w:pPr>
        <w:pStyle w:val="Heading2"/>
      </w:pPr>
      <w:r>
        <w:t>2. Analyse Métier et Approche DDD</w:t>
      </w:r>
    </w:p>
    <w:p>
      <w:pPr>
        <w:pStyle w:val="Heading3"/>
      </w:pPr>
      <w:r>
        <w:t>2.1 Démarche adoptée</w:t>
      </w:r>
    </w:p>
    <w:p>
      <w:r>
        <w:t>Nous avons suivi une approche DDD rigoureuse en commençant par l'identification des domaines métier avant toute décision technique. Cette démarche a permis d'aligner l'architecture technique sur les réalités du domaine bancaire.</w:t>
      </w:r>
    </w:p>
    <w:p>
      <w:pPr>
        <w:pStyle w:val="Heading3"/>
      </w:pPr>
      <w:r>
        <w:t>2.2 Sous-domaines identifiés</w:t>
      </w:r>
    </w:p>
    <w:p>
      <w:r>
        <w:t xml:space="preserve">L'analyse du domaine a révélé </w:t>
      </w:r>
      <w:r>
        <w:rPr>
          <w:b/>
        </w:rPr>
        <w:t>10 sous-domaines</w:t>
      </w:r>
      <w:r>
        <w:t xml:space="preserve"> répartis en trois catégories :</w:t>
      </w:r>
    </w:p>
    <w:p>
      <w:pPr>
        <w:pStyle w:val="ListBullet"/>
      </w:pPr>
      <w:r>
        <w:rPr>
          <w:b/>
        </w:rPr>
        <w:t>Core Domains</w:t>
      </w:r>
      <w:r>
        <w:t xml:space="preserve"> (4) : Customer, Account, Transaction, Loan — cœur de valeur métier</w:t>
      </w:r>
    </w:p>
    <w:p>
      <w:pPr>
        <w:pStyle w:val="ListBullet"/>
      </w:pPr>
      <w:r>
        <w:rPr>
          <w:b/>
        </w:rPr>
        <w:t>Supporting Domains</w:t>
      </w:r>
      <w:r>
        <w:t xml:space="preserve"> (3) : Authentication, Operator, Document/OCR</w:t>
      </w:r>
    </w:p>
    <w:p>
      <w:pPr>
        <w:pStyle w:val="ListBullet"/>
      </w:pPr>
      <w:r>
        <w:rPr>
          <w:b/>
        </w:rPr>
        <w:t>Generic Domains</w:t>
      </w:r>
      <w:r>
        <w:t xml:space="preserve"> (3) : Notification, Audit, Reporting</w:t>
      </w:r>
    </w:p>
    <w:p>
      <w:pPr>
        <w:pStyle w:val="Heading3"/>
      </w:pPr>
      <w:r>
        <w:t>2.3 Justification du découpage</w:t>
      </w:r>
    </w:p>
    <w:p>
      <w:r>
        <w:t xml:space="preserve">Le découpage en Bounded Contexts a été guidé par le principe de </w:t>
      </w:r>
      <w:r>
        <w:rPr>
          <w:b/>
        </w:rPr>
        <w:t>cohésion forte interne et couplage faible externe</w:t>
      </w:r>
      <w:r>
        <w:t xml:space="preserve"> :</w:t>
      </w:r>
    </w:p>
    <w:p>
      <w:pPr>
        <w:pStyle w:val="ListBullet"/>
      </w:pPr>
      <w:r>
        <w:t>Chaque BC possède son propre modèle de domaine</w:t>
      </w:r>
    </w:p>
    <w:p>
      <w:pPr>
        <w:pStyle w:val="ListBullet"/>
      </w:pPr>
      <w:r>
        <w:t>Les données ne sont jamais partagées directement entre BCs</w:t>
      </w:r>
    </w:p>
    <w:p>
      <w:pPr>
        <w:pStyle w:val="ListBullet"/>
      </w:pPr>
      <w:r>
        <w:t>La communication passe par des événements ou des appels API explicites</w:t>
      </w:r>
    </w:p>
    <w:p>
      <w:pPr>
        <w:pBdr>
          <w:bottom w:val="single" w:sz="6" w:space="1" w:color="4472C4"/>
        </w:pBdr>
      </w:pPr>
    </w:p>
    <w:p>
      <w:pPr>
        <w:pStyle w:val="Heading2"/>
      </w:pPr>
      <w:r>
        <w:t>3. Architecture Proposée</w:t>
      </w:r>
    </w:p>
    <w:p>
      <w:pPr>
        <w:pStyle w:val="Heading3"/>
      </w:pPr>
      <w:r>
        <w:t>3.1 Choix de l'architecture microservices</w:t>
      </w:r>
    </w:p>
    <w:p>
      <w:r>
        <w:t>L'architecture microservices a été choisie pour les raisons suivantes :</w:t>
      </w:r>
    </w:p>
    <w:p>
      <w:pPr>
        <w:pStyle w:val="ListNumber"/>
      </w:pPr>
      <w:r>
        <w:rPr>
          <w:b/>
        </w:rPr>
        <w:t>Scalabilité indépendante</w:t>
      </w:r>
      <w:r>
        <w:t xml:space="preserve"> : Le service de transactions peut être scalé sans impacter l'authentification</w:t>
      </w:r>
    </w:p>
    <w:p>
      <w:pPr>
        <w:pStyle w:val="ListNumber"/>
      </w:pPr>
      <w:r>
        <w:rPr>
          <w:b/>
        </w:rPr>
        <w:t>Déploiement indépendant</w:t>
      </w:r>
      <w:r>
        <w:t xml:space="preserve"> : Chaque service peut être mis à jour sans arrêt global</w:t>
      </w:r>
    </w:p>
    <w:p>
      <w:pPr>
        <w:pStyle w:val="ListNumber"/>
      </w:pPr>
      <w:r>
        <w:rPr>
          <w:b/>
        </w:rPr>
        <w:t>Résilience</w:t>
      </w:r>
      <w:r>
        <w:t xml:space="preserve"> : La panne d'un service n'entraîne pas l'arrêt de la plateforme</w:t>
      </w:r>
    </w:p>
    <w:p>
      <w:pPr>
        <w:pStyle w:val="ListNumber"/>
      </w:pPr>
      <w:r>
        <w:rPr>
          <w:b/>
        </w:rPr>
        <w:t>Hétérogénéité technologique</w:t>
      </w:r>
      <w:r>
        <w:t xml:space="preserve"> : Permet d'utiliser la meilleure technologie par contexte</w:t>
      </w:r>
    </w:p>
    <w:p>
      <w:pPr>
        <w:pStyle w:val="Heading3"/>
      </w:pPr>
      <w:r>
        <w:t>3.2 Pattern API Gateway</w:t>
      </w:r>
    </w:p>
    <w:p>
      <w:r>
        <w:t>L'API Gateway centralise :</w:t>
      </w:r>
    </w:p>
    <w:p>
      <w:pPr>
        <w:pStyle w:val="ListBullet"/>
      </w:pPr>
      <w:r>
        <w:t>Le routage des requêtes vers les services appropriés</w:t>
      </w:r>
    </w:p>
    <w:p>
      <w:pPr>
        <w:pStyle w:val="ListBullet"/>
      </w:pPr>
      <w:r>
        <w:t>La validation des tokens JWT</w:t>
      </w:r>
    </w:p>
    <w:p>
      <w:pPr>
        <w:pStyle w:val="ListBullet"/>
      </w:pPr>
      <w:r>
        <w:t>La gestion du CORS</w:t>
      </w:r>
    </w:p>
    <w:p>
      <w:pPr>
        <w:pStyle w:val="ListBullet"/>
      </w:pPr>
      <w:r>
        <w:t>L'injection des headers utilisateur (X-User-Id, X-User-Role)</w:t>
      </w:r>
    </w:p>
    <w:p>
      <w:pPr>
        <w:pStyle w:val="Heading3"/>
      </w:pPr>
      <w:r>
        <w:t>3.3 Service Discovery avec Eureka</w:t>
      </w:r>
    </w:p>
    <w:p>
      <w:r>
        <w:t xml:space="preserve">Eureka permet la </w:t>
      </w:r>
      <w:r>
        <w:rPr>
          <w:b/>
        </w:rPr>
        <w:t>découverte dynamique des services</w:t>
      </w:r>
      <w:r>
        <w:t>, éliminant le besoin de configurer manuellement les URL des services. Chaque service s'enregistre au démarrage et se désenregistre à l'arrêt.</w:t>
      </w:r>
    </w:p>
    <w:p>
      <w:pPr>
        <w:pStyle w:val="Heading3"/>
      </w:pPr>
      <w:r>
        <w:t>3.4 Configuration centralisée</w:t>
      </w:r>
    </w:p>
    <w:p>
      <w:r>
        <w:t>Spring Cloud Config Server externalise la configuration, permettant de modifier les paramètres sans redéploiement. En production, la configuration serait stockée dans un dépôt Git privé.</w:t>
      </w:r>
    </w:p>
    <w:p>
      <w:pPr>
        <w:pBdr>
          <w:bottom w:val="single" w:sz="6" w:space="1" w:color="4472C4"/>
        </w:pBdr>
      </w:pPr>
    </w:p>
    <w:p>
      <w:pPr>
        <w:pStyle w:val="Heading2"/>
      </w:pPr>
      <w:r>
        <w:t>4. Choix Technologiques</w:t>
      </w:r>
    </w:p>
    <w:p>
      <w:pPr>
        <w:pStyle w:val="Heading3"/>
      </w:pPr>
      <w:r>
        <w:t>4.1 Java / Spring Boot (Services critiques)</w:t>
      </w:r>
    </w:p>
    <w:p>
      <w:r>
        <w:rPr>
          <w:b/>
        </w:rPr>
        <w:t>Justification</w:t>
      </w:r>
      <w:r>
        <w:t xml:space="preserve"> :</w:t>
      </w:r>
    </w:p>
    <w:p>
      <w:pPr>
        <w:pStyle w:val="ListBullet"/>
      </w:pPr>
      <w:r>
        <w:t>Framework mature avec Spring Security pour la sécurité</w:t>
      </w:r>
    </w:p>
    <w:p>
      <w:pPr>
        <w:pStyle w:val="ListBullet"/>
      </w:pPr>
      <w:r>
        <w:t>Transactions ACID natives avec JPA/Hibernate</w:t>
      </w:r>
    </w:p>
    <w:p>
      <w:pPr>
        <w:pStyle w:val="ListBullet"/>
      </w:pPr>
      <w:r>
        <w:t>Intégration Spring Cloud pour Eureka et Config Server</w:t>
      </w:r>
    </w:p>
    <w:p>
      <w:pPr>
        <w:pStyle w:val="ListBullet"/>
      </w:pPr>
      <w:r>
        <w:t>Typage fort réduisant les erreurs en production financière</w:t>
      </w:r>
    </w:p>
    <w:p>
      <w:r>
        <w:rPr>
          <w:b/>
        </w:rPr>
        <w:t>Services</w:t>
      </w:r>
      <w:r>
        <w:t xml:space="preserve"> : auth, customer, account, transaction, operator</w:t>
      </w:r>
    </w:p>
    <w:p>
      <w:pPr>
        <w:pStyle w:val="Heading3"/>
      </w:pPr>
      <w:r>
        <w:t>4.2 Python / FastAPI (Services IA/Data)</w:t>
      </w:r>
    </w:p>
    <w:p>
      <w:r>
        <w:rPr>
          <w:b/>
        </w:rPr>
        <w:t>Justification</w:t>
      </w:r>
      <w:r>
        <w:t xml:space="preserve"> :</w:t>
      </w:r>
    </w:p>
    <w:p>
      <w:pPr>
        <w:pStyle w:val="ListBullet"/>
      </w:pPr>
      <w:r>
        <w:t>Écosystème IA riche (Tesseract, OpenCV, Pandas, scikit-learn)</w:t>
      </w:r>
    </w:p>
    <w:p>
      <w:pPr>
        <w:pStyle w:val="ListBullet"/>
      </w:pPr>
      <w:r>
        <w:t>FastAPI pour des performances élevées et documentation automatique</w:t>
      </w:r>
    </w:p>
    <w:p>
      <w:pPr>
        <w:pStyle w:val="ListBullet"/>
      </w:pPr>
      <w:r>
        <w:t>Formules financières simples à implémenter</w:t>
      </w:r>
    </w:p>
    <w:p>
      <w:pPr>
        <w:pStyle w:val="ListBullet"/>
      </w:pPr>
      <w:r>
        <w:t>Idéal pour le calcul du scoring de crédit</w:t>
      </w:r>
    </w:p>
    <w:p>
      <w:r>
        <w:rPr>
          <w:b/>
        </w:rPr>
        <w:t>Services</w:t>
      </w:r>
      <w:r>
        <w:t xml:space="preserve"> : loan, document (OCR)</w:t>
      </w:r>
    </w:p>
    <w:p>
      <w:pPr>
        <w:pStyle w:val="Heading3"/>
      </w:pPr>
      <w:r>
        <w:t>4.3 Node.js / Express (Services événementiels)</w:t>
      </w:r>
    </w:p>
    <w:p>
      <w:r>
        <w:rPr>
          <w:b/>
        </w:rPr>
        <w:t>Justification</w:t>
      </w:r>
      <w:r>
        <w:t xml:space="preserve"> :</w:t>
      </w:r>
    </w:p>
    <w:p>
      <w:pPr>
        <w:pStyle w:val="ListBullet"/>
      </w:pPr>
      <w:r>
        <w:t>Architecture I/O non-bloquante parfaite pour la consommation Kafka</w:t>
      </w:r>
    </w:p>
    <w:p>
      <w:pPr>
        <w:pStyle w:val="ListBullet"/>
      </w:pPr>
      <w:r>
        <w:t>KafkaJS natif pour la messagerie</w:t>
      </w:r>
    </w:p>
    <w:p>
      <w:pPr>
        <w:pStyle w:val="ListBullet"/>
      </w:pPr>
      <w:r>
        <w:t>Faible consommation mémoire</w:t>
      </w:r>
    </w:p>
    <w:p>
      <w:pPr>
        <w:pStyle w:val="ListBullet"/>
      </w:pPr>
      <w:r>
        <w:t>Développement rapide pour les services simples</w:t>
      </w:r>
    </w:p>
    <w:p>
      <w:r>
        <w:rPr>
          <w:b/>
        </w:rPr>
        <w:t>Services</w:t>
      </w:r>
      <w:r>
        <w:t xml:space="preserve"> : notification, audit</w:t>
      </w:r>
    </w:p>
    <w:p>
      <w:pPr>
        <w:pStyle w:val="Heading3"/>
      </w:pPr>
      <w:r>
        <w:t>4.4 Apache Kafka (Messagerie asynchrone)</w:t>
      </w:r>
    </w:p>
    <w:p>
      <w:r>
        <w:rPr>
          <w:b/>
        </w:rPr>
        <w:t>Justification</w:t>
      </w:r>
      <w:r>
        <w:t xml:space="preserve"> :</w:t>
      </w:r>
    </w:p>
    <w:p>
      <w:pPr>
        <w:pStyle w:val="ListBullet"/>
      </w:pPr>
      <w:r>
        <w:t>Découplage fort entre producteurs et consommateurs</w:t>
      </w:r>
    </w:p>
    <w:p>
      <w:pPr>
        <w:pStyle w:val="ListBullet"/>
      </w:pPr>
      <w:r>
        <w:t>Persistance des messages — pas de perte en cas de panne</w:t>
      </w:r>
    </w:p>
    <w:p>
      <w:pPr>
        <w:pStyle w:val="ListBullet"/>
      </w:pPr>
      <w:r>
        <w:t>Scalabilité horizontale native</w:t>
      </w:r>
    </w:p>
    <w:p>
      <w:pPr>
        <w:pStyle w:val="ListBullet"/>
      </w:pPr>
      <w:r>
        <w:t>Adapté aux volumes importants de transactions bancaires</w:t>
      </w:r>
    </w:p>
    <w:p>
      <w:r>
        <w:rPr>
          <w:b/>
        </w:rPr>
        <w:t>Utilisation</w:t>
      </w:r>
      <w:r>
        <w:t xml:space="preserve"> : Transaction → Notification (après chaque transaction)</w:t>
      </w:r>
    </w:p>
    <w:p>
      <w:pPr>
        <w:pStyle w:val="Heading3"/>
      </w:pPr>
      <w:r>
        <w:t>4.5 PostgreSQL (Base de données)</w:t>
      </w:r>
    </w:p>
    <w:p>
      <w:r>
        <w:rPr>
          <w:b/>
        </w:rPr>
        <w:t>Justification</w:t>
      </w:r>
      <w:r>
        <w:t xml:space="preserve"> :</w:t>
      </w:r>
    </w:p>
    <w:p>
      <w:pPr>
        <w:pStyle w:val="ListBullet"/>
      </w:pPr>
      <w:r>
        <w:t>Transactions ACID indispensables pour les données financières</w:t>
      </w:r>
    </w:p>
    <w:p>
      <w:pPr>
        <w:pStyle w:val="ListBullet"/>
      </w:pPr>
      <w:r>
        <w:t>Support UUID natif</w:t>
      </w:r>
    </w:p>
    <w:p>
      <w:pPr>
        <w:pStyle w:val="ListBullet"/>
      </w:pPr>
      <w:r>
        <w:t>Robustesse et fiabilité prouvées</w:t>
      </w:r>
    </w:p>
    <w:p>
      <w:pPr>
        <w:pStyle w:val="ListBullet"/>
      </w:pPr>
      <w:r>
        <w:t>Pattern "Database per Service" pour l'isolation</w:t>
      </w:r>
    </w:p>
    <w:p>
      <w:pPr>
        <w:pBdr>
          <w:bottom w:val="single" w:sz="6" w:space="1" w:color="4472C4"/>
        </w:pBdr>
      </w:pPr>
    </w:p>
    <w:p>
      <w:pPr>
        <w:pStyle w:val="Heading2"/>
      </w:pPr>
      <w:r>
        <w:t>5. Patterns de Conception Utilisés</w:t>
      </w:r>
    </w:p>
    <w:p>
      <w:pPr>
        <w:pStyle w:val="Heading3"/>
      </w:pPr>
      <w:r>
        <w:t>5.1 Patterns architecturaux</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4472C4"/>
          </w:tcPr>
          <w:p>
            <w:r>
              <w:rPr>
                <w:b/>
                <w:color w:val="FFFFFF"/>
              </w:rPr>
            </w:r>
            <w:r>
              <w:rPr>
                <w:b/>
                <w:color w:val="FFFFFF"/>
              </w:rPr>
              <w:t>Pattern</w:t>
            </w:r>
          </w:p>
        </w:tc>
        <w:tc>
          <w:tcPr>
            <w:tcW w:type="dxa" w:w="2928"/>
            <w:shd w:val="clear" w:color="auto" w:fill="4472C4"/>
          </w:tcPr>
          <w:p>
            <w:r>
              <w:rPr>
                <w:b/>
                <w:color w:val="FFFFFF"/>
              </w:rPr>
            </w:r>
            <w:r>
              <w:rPr>
                <w:b/>
                <w:color w:val="FFFFFF"/>
              </w:rPr>
              <w:t>Service(s)</w:t>
            </w:r>
          </w:p>
        </w:tc>
        <w:tc>
          <w:tcPr>
            <w:tcW w:type="dxa" w:w="2928"/>
            <w:shd w:val="clear" w:color="auto" w:fill="4472C4"/>
          </w:tcPr>
          <w:p>
            <w:r>
              <w:rPr>
                <w:b/>
                <w:color w:val="FFFFFF"/>
              </w:rPr>
            </w:r>
            <w:r>
              <w:rPr>
                <w:b/>
                <w:color w:val="FFFFFF"/>
              </w:rPr>
              <w:t>Description</w:t>
            </w:r>
          </w:p>
        </w:tc>
      </w:tr>
      <w:tr>
        <w:tc>
          <w:tcPr>
            <w:tcW w:type="dxa" w:w="2928"/>
          </w:tcPr>
          <w:p>
            <w:r/>
            <w:r>
              <w:t>API Gateway</w:t>
            </w:r>
          </w:p>
        </w:tc>
        <w:tc>
          <w:tcPr>
            <w:tcW w:type="dxa" w:w="2928"/>
          </w:tcPr>
          <w:p>
            <w:r/>
            <w:r>
              <w:t>api-gateway</w:t>
            </w:r>
          </w:p>
        </w:tc>
        <w:tc>
          <w:tcPr>
            <w:tcW w:type="dxa" w:w="2928"/>
          </w:tcPr>
          <w:p>
            <w:r/>
            <w:r>
              <w:t>Point d'entrée unique</w:t>
            </w:r>
          </w:p>
        </w:tc>
      </w:tr>
      <w:tr>
        <w:tc>
          <w:tcPr>
            <w:tcW w:type="dxa" w:w="2928"/>
          </w:tcPr>
          <w:p>
            <w:r/>
            <w:r>
              <w:t>Service Registry</w:t>
            </w:r>
          </w:p>
        </w:tc>
        <w:tc>
          <w:tcPr>
            <w:tcW w:type="dxa" w:w="2928"/>
          </w:tcPr>
          <w:p>
            <w:r/>
            <w:r>
              <w:t>Eureka</w:t>
            </w:r>
          </w:p>
        </w:tc>
        <w:tc>
          <w:tcPr>
            <w:tcW w:type="dxa" w:w="2928"/>
          </w:tcPr>
          <w:p>
            <w:r/>
            <w:r>
              <w:t>Découverte de services</w:t>
            </w:r>
          </w:p>
        </w:tc>
      </w:tr>
      <w:tr>
        <w:tc>
          <w:tcPr>
            <w:tcW w:type="dxa" w:w="2928"/>
          </w:tcPr>
          <w:p>
            <w:r/>
            <w:r>
              <w:t>Externalized Configuration</w:t>
            </w:r>
          </w:p>
        </w:tc>
        <w:tc>
          <w:tcPr>
            <w:tcW w:type="dxa" w:w="2928"/>
          </w:tcPr>
          <w:p>
            <w:r/>
            <w:r>
              <w:t>config-server</w:t>
            </w:r>
          </w:p>
        </w:tc>
        <w:tc>
          <w:tcPr>
            <w:tcW w:type="dxa" w:w="2928"/>
          </w:tcPr>
          <w:p>
            <w:r/>
            <w:r>
              <w:t>Configuration centralisée</w:t>
            </w:r>
          </w:p>
        </w:tc>
      </w:tr>
      <w:tr>
        <w:tc>
          <w:tcPr>
            <w:tcW w:type="dxa" w:w="2928"/>
          </w:tcPr>
          <w:p>
            <w:r/>
            <w:r>
              <w:t>Database per Service</w:t>
            </w:r>
          </w:p>
        </w:tc>
        <w:tc>
          <w:tcPr>
            <w:tcW w:type="dxa" w:w="2928"/>
          </w:tcPr>
          <w:p>
            <w:r/>
            <w:r>
              <w:t>Tous</w:t>
            </w:r>
          </w:p>
        </w:tc>
        <w:tc>
          <w:tcPr>
            <w:tcW w:type="dxa" w:w="2928"/>
          </w:tcPr>
          <w:p>
            <w:r/>
            <w:r>
              <w:t>Isolation des données</w:t>
            </w:r>
          </w:p>
        </w:tc>
      </w:tr>
      <w:tr>
        <w:tc>
          <w:tcPr>
            <w:tcW w:type="dxa" w:w="2928"/>
          </w:tcPr>
          <w:p>
            <w:r/>
            <w:r>
              <w:t>Event-Driven Architecture</w:t>
            </w:r>
          </w:p>
        </w:tc>
        <w:tc>
          <w:tcPr>
            <w:tcW w:type="dxa" w:w="2928"/>
          </w:tcPr>
          <w:p>
            <w:r/>
            <w:r>
              <w:t>transaction → notification</w:t>
            </w:r>
          </w:p>
        </w:tc>
        <w:tc>
          <w:tcPr>
            <w:tcW w:type="dxa" w:w="2928"/>
          </w:tcPr>
          <w:p>
            <w:r/>
            <w:r>
              <w:t>Communication asynchrone</w:t>
            </w:r>
          </w:p>
        </w:tc>
      </w:tr>
      <w:tr>
        <w:tc>
          <w:tcPr>
            <w:tcW w:type="dxa" w:w="2928"/>
          </w:tcPr>
          <w:p>
            <w:r/>
            <w:r>
              <w:t>Builder Pattern</w:t>
            </w:r>
          </w:p>
        </w:tc>
        <w:tc>
          <w:tcPr>
            <w:tcW w:type="dxa" w:w="2928"/>
          </w:tcPr>
          <w:p>
            <w:r/>
            <w:r>
              <w:t>Entités Java</w:t>
            </w:r>
          </w:p>
        </w:tc>
        <w:tc>
          <w:tcPr>
            <w:tcW w:type="dxa" w:w="2928"/>
          </w:tcPr>
          <w:p>
            <w:r/>
            <w:r>
              <w:t>Construction d'objets complexes</w:t>
            </w:r>
          </w:p>
        </w:tc>
      </w:tr>
      <w:tr>
        <w:tc>
          <w:tcPr>
            <w:tcW w:type="dxa" w:w="2928"/>
          </w:tcPr>
          <w:p>
            <w:r/>
            <w:r>
              <w:t>Repository Pattern</w:t>
            </w:r>
          </w:p>
        </w:tc>
        <w:tc>
          <w:tcPr>
            <w:tcW w:type="dxa" w:w="2928"/>
          </w:tcPr>
          <w:p>
            <w:r/>
            <w:r>
              <w:t>Tous services Java</w:t>
            </w:r>
          </w:p>
        </w:tc>
        <w:tc>
          <w:tcPr>
            <w:tcW w:type="dxa" w:w="2928"/>
          </w:tcPr>
          <w:p>
            <w:r/>
            <w:r>
              <w:t>Accès aux données</w:t>
            </w:r>
          </w:p>
        </w:tc>
      </w:tr>
    </w:tbl>
    <w:p/>
    <w:p>
      <w:pPr>
        <w:pStyle w:val="Heading3"/>
      </w:pPr>
      <w:r>
        <w:t>5.2 Patterns de sécurité</w:t>
      </w:r>
    </w:p>
    <w:p>
      <w:pPr>
        <w:pStyle w:val="ListBullet"/>
      </w:pPr>
      <w:r>
        <w:rPr>
          <w:b/>
        </w:rPr>
        <w:t>JWT Bearer Token</w:t>
      </w:r>
      <w:r>
        <w:t xml:space="preserve"> : Authentification stateless</w:t>
      </w:r>
    </w:p>
    <w:p>
      <w:pPr>
        <w:pStyle w:val="ListBullet"/>
      </w:pPr>
      <w:r>
        <w:rPr>
          <w:b/>
        </w:rPr>
        <w:t>BCrypt</w:t>
      </w:r>
      <w:r>
        <w:t xml:space="preserve"> : Hashage des mots de passe (facteur de coût 10)</w:t>
      </w:r>
    </w:p>
    <w:p>
      <w:pPr>
        <w:pStyle w:val="ListBullet"/>
      </w:pPr>
      <w:r>
        <w:rPr>
          <w:b/>
        </w:rPr>
        <w:t>Refresh Token Rotation</w:t>
      </w:r>
      <w:r>
        <w:t xml:space="preserve"> : Sécurité renforcée des sessions</w:t>
      </w:r>
    </w:p>
    <w:p>
      <w:pPr>
        <w:pStyle w:val="ListBullet"/>
      </w:pPr>
      <w:r>
        <w:rPr>
          <w:b/>
        </w:rPr>
        <w:t>CORS</w:t>
      </w:r>
      <w:r>
        <w:t xml:space="preserve"> : Protection contre les attaques cross-origin</w:t>
      </w:r>
    </w:p>
    <w:p>
      <w:pPr>
        <w:pBdr>
          <w:bottom w:val="single" w:sz="6" w:space="1" w:color="4472C4"/>
        </w:pBdr>
      </w:pPr>
    </w:p>
    <w:p>
      <w:pPr>
        <w:pStyle w:val="Heading2"/>
      </w:pPr>
      <w:r>
        <w:t>6. Difficultés Rencontrées</w:t>
      </w:r>
    </w:p>
    <w:p>
      <w:pPr>
        <w:pStyle w:val="Heading3"/>
      </w:pPr>
      <w:r>
        <w:t>6.1 Compatibilité Java 26 / Lombok</w:t>
      </w:r>
    </w:p>
    <w:p>
      <w:r>
        <w:rPr>
          <w:b/>
        </w:rPr>
        <w:t>Problème</w:t>
      </w:r>
      <w:r>
        <w:t xml:space="preserve"> : Lombok ne génère pas les getters/setters avec Java 26 (incompatibilité du processeur d'annotations).</w:t>
      </w:r>
    </w:p>
    <w:p>
      <w:r>
        <w:rPr>
          <w:b/>
        </w:rPr>
        <w:t>Solution</w:t>
      </w:r>
      <w:r>
        <w:t xml:space="preserve"> : Remplacement de Lombok par des getters/setters manuels et un pattern Builder artisanal. Cette solution est plus verbeuse mais garantit la compatibilité.</w:t>
      </w:r>
    </w:p>
    <w:p>
      <w:r>
        <w:rPr>
          <w:b/>
        </w:rPr>
        <w:t>Leçon</w:t>
      </w:r>
      <w:r>
        <w:t xml:space="preserve"> : En production, il est préférable de fixer la version Java à 17 LTS pour éviter les incompatibilités.</w:t>
      </w:r>
    </w:p>
    <w:p>
      <w:pPr>
        <w:pStyle w:val="Heading3"/>
      </w:pPr>
      <w:r>
        <w:t>6.2 Gestion du CORS en développement</w:t>
      </w:r>
    </w:p>
    <w:p>
      <w:r>
        <w:rPr>
          <w:b/>
        </w:rPr>
        <w:t>Problème</w:t>
      </w:r>
      <w:r>
        <w:t xml:space="preserve"> : Le frontend sur localhost:5173 ne pouvait pas appeler les services sur des ports différents.</w:t>
      </w:r>
    </w:p>
    <w:p>
      <w:r>
        <w:rPr>
          <w:b/>
        </w:rPr>
        <w:t>Solution</w:t>
      </w:r>
      <w:r>
        <w:t xml:space="preserve"> : Ajout d'un filtre CORS (</w:t>
      </w:r>
      <w:r>
        <w:rPr>
          <w:rFonts w:ascii="Courier New" w:hAnsi="Courier New"/>
          <w:color w:val="C7254E"/>
          <w:sz w:val="18"/>
        </w:rPr>
        <w:t>CorsFilter</w:t>
      </w:r>
      <w:r>
        <w:t>) dans chaque service Java, et utilisation du middleware CORS dans FastAPI et Express.</w:t>
      </w:r>
    </w:p>
    <w:p>
      <w:pPr>
        <w:pStyle w:val="Heading3"/>
      </w:pPr>
      <w:r>
        <w:t>6.3 Communication inter-services</w:t>
      </w:r>
    </w:p>
    <w:p>
      <w:r>
        <w:rPr>
          <w:b/>
        </w:rPr>
        <w:t>Problème</w:t>
      </w:r>
      <w:r>
        <w:t xml:space="preserve"> : Le transaction-service doit appeler l'account-service de manière synchrone pour débiter/créditer les comptes.</w:t>
      </w:r>
    </w:p>
    <w:p>
      <w:r>
        <w:rPr>
          <w:b/>
        </w:rPr>
        <w:t>Solution</w:t>
      </w:r>
      <w:r>
        <w:t xml:space="preserve"> : Utilisation de WebClient (réactif) avec gestion des erreurs et rollback automatique en cas d'échec.</w:t>
      </w:r>
    </w:p>
    <w:p>
      <w:pPr>
        <w:pStyle w:val="Heading3"/>
      </w:pPr>
      <w:r>
        <w:t>6.4 Simulation OCR sans Tesseract</w:t>
      </w:r>
    </w:p>
    <w:p>
      <w:r>
        <w:rPr>
          <w:b/>
        </w:rPr>
        <w:t>Problème</w:t>
      </w:r>
      <w:r>
        <w:t xml:space="preserve"> : Tesseract n'est pas installé par défaut sur tous les environnements.</w:t>
      </w:r>
    </w:p>
    <w:p>
      <w:r>
        <w:rPr>
          <w:b/>
        </w:rPr>
        <w:t>Solution</w:t>
      </w:r>
      <w:r>
        <w:t xml:space="preserve"> : Implémentation d'un mode de simulation qui retourne des données structurées plausibles. En production, Tesseract serait installé via Docker.</w:t>
      </w:r>
    </w:p>
    <w:p>
      <w:pPr>
        <w:pBdr>
          <w:bottom w:val="single" w:sz="6" w:space="1" w:color="4472C4"/>
        </w:pBdr>
      </w:pPr>
    </w:p>
    <w:p>
      <w:pPr>
        <w:pStyle w:val="Heading2"/>
      </w:pPr>
      <w:r>
        <w:t>7. Compromis Réalisés</w:t>
      </w:r>
    </w:p>
    <w:p>
      <w:pPr>
        <w:pStyle w:val="Heading3"/>
      </w:pPr>
      <w:r>
        <w:t>7.1 Consistance éventuelle vs Consistance forte</w:t>
      </w:r>
    </w:p>
    <w:p>
      <w:r>
        <w:rPr>
          <w:b/>
        </w:rPr>
        <w:t>Choix</w:t>
      </w:r>
      <w:r>
        <w:t xml:space="preserve"> : Consistance forte pour les transactions financières (appels synchrones), consistance éventuelle pour les notifications (Kafka asynchrone).</w:t>
      </w:r>
    </w:p>
    <w:p>
      <w:r>
        <w:rPr>
          <w:b/>
        </w:rPr>
        <w:t>Raison</w:t>
      </w:r>
      <w:r>
        <w:t xml:space="preserve"> : Un virement doit être atomique — impossible d'accepter une inconsistance. Les notifications peuvent arriver avec un léger délai sans impact métier.</w:t>
      </w:r>
    </w:p>
    <w:p>
      <w:pPr>
        <w:pStyle w:val="Heading3"/>
      </w:pPr>
      <w:r>
        <w:t>7.2 Simplicité vs Résilience</w:t>
      </w:r>
    </w:p>
    <w:p>
      <w:r>
        <w:rPr>
          <w:b/>
        </w:rPr>
        <w:t>Choix</w:t>
      </w:r>
      <w:r>
        <w:t xml:space="preserve"> : Circuit Breaker non implémenté en version initiale.</w:t>
      </w:r>
    </w:p>
    <w:p>
      <w:r>
        <w:rPr>
          <w:b/>
        </w:rPr>
        <w:t>Raison</w:t>
      </w:r>
      <w:r>
        <w:t xml:space="preserve"> : Complexité supplémentaire pour une démonstration. En production, Resilience4j serait intégré pour éviter les cascades de pannes.</w:t>
      </w:r>
    </w:p>
    <w:p>
      <w:pPr>
        <w:pStyle w:val="Heading3"/>
      </w:pPr>
      <w:r>
        <w:t>7.3 Sécurité inter-services</w:t>
      </w:r>
    </w:p>
    <w:p>
      <w:r>
        <w:rPr>
          <w:b/>
        </w:rPr>
        <w:t>Choix</w:t>
      </w:r>
      <w:r>
        <w:t xml:space="preserve"> : Les services internes ne valident pas le JWT entre eux.</w:t>
      </w:r>
    </w:p>
    <w:p>
      <w:r>
        <w:rPr>
          <w:b/>
        </w:rPr>
        <w:t>Raison</w:t>
      </w:r>
      <w:r>
        <w:t xml:space="preserve"> : La validation est centralisée dans l'API Gateway. En production, des tokens de service (mTLS ou service mesh Istio) seraient utilisés.</w:t>
      </w:r>
    </w:p>
    <w:p>
      <w:pPr>
        <w:pBdr>
          <w:bottom w:val="single" w:sz="6" w:space="1" w:color="4472C4"/>
        </w:pBdr>
      </w:pPr>
    </w:p>
    <w:p>
      <w:pPr>
        <w:pStyle w:val="Heading2"/>
      </w:pPr>
      <w:r>
        <w:t>8. Résultats Obtenus</w:t>
      </w:r>
    </w:p>
    <w:p>
      <w:pPr>
        <w:pStyle w:val="Heading3"/>
      </w:pPr>
      <w:r>
        <w:t>8.1 Services opérationnels</w:t>
      </w:r>
    </w:p>
    <w:p>
      <w:pPr>
        <w:pStyle w:val="ListBullet"/>
      </w:pPr>
      <w:r>
        <w:t>✅ 10 microservices fonctionnels</w:t>
      </w:r>
    </w:p>
    <w:p>
      <w:pPr>
        <w:pStyle w:val="ListBullet"/>
      </w:pPr>
      <w:r>
        <w:t>✅ Frontend React complet avec authentification</w:t>
      </w:r>
    </w:p>
    <w:p>
      <w:pPr>
        <w:pStyle w:val="ListBullet"/>
      </w:pPr>
      <w:r>
        <w:t>✅ OCR/IA intégré pour la vérification KYC</w:t>
      </w:r>
    </w:p>
    <w:p>
      <w:pPr>
        <w:pStyle w:val="ListBullet"/>
      </w:pPr>
      <w:r>
        <w:t>✅ Communication Kafka entre transaction et notification</w:t>
      </w:r>
    </w:p>
    <w:p>
      <w:pPr>
        <w:pStyle w:val="ListBullet"/>
      </w:pPr>
      <w:r>
        <w:t>✅ Dockerisation complète</w:t>
      </w:r>
    </w:p>
    <w:p>
      <w:pPr>
        <w:pStyle w:val="ListBullet"/>
      </w:pPr>
      <w:r>
        <w:t>✅ Configuration Kubernetes</w:t>
      </w:r>
    </w:p>
    <w:p>
      <w:pPr>
        <w:pStyle w:val="ListBullet"/>
      </w:pPr>
      <w:r>
        <w:t>✅ Pipeline CI/CD GitHub Actions</w:t>
      </w:r>
    </w:p>
    <w:p>
      <w:pPr>
        <w:pStyle w:val="Heading3"/>
      </w:pPr>
      <w:r>
        <w:t>8.2 Fonctionnalités livrées</w:t>
      </w:r>
    </w:p>
    <w:p>
      <w:pPr>
        <w:pStyle w:val="ListBullet"/>
      </w:pPr>
      <w:r>
        <w:t>✅ Inscription/Connexion avec JWT</w:t>
      </w:r>
    </w:p>
    <w:p>
      <w:pPr>
        <w:pStyle w:val="ListBullet"/>
      </w:pPr>
      <w:r>
        <w:t>✅ Gestion des comptes bancaires</w:t>
      </w:r>
    </w:p>
    <w:p>
      <w:pPr>
        <w:pStyle w:val="ListBullet"/>
      </w:pPr>
      <w:r>
        <w:t>✅ Transactions (dépôt, retrait, transfert)</w:t>
      </w:r>
    </w:p>
    <w:p>
      <w:pPr>
        <w:pStyle w:val="ListBullet"/>
      </w:pPr>
      <w:r>
        <w:t>✅ Demande et validation de prêts</w:t>
      </w:r>
    </w:p>
    <w:p>
      <w:pPr>
        <w:pStyle w:val="ListBullet"/>
      </w:pPr>
      <w:r>
        <w:t>✅ Analyse de documents par OCR</w:t>
      </w:r>
    </w:p>
    <w:p>
      <w:pPr>
        <w:pStyle w:val="ListBullet"/>
      </w:pPr>
      <w:r>
        <w:t>✅ Vérification KYC automatique</w:t>
      </w:r>
    </w:p>
    <w:p>
      <w:pPr>
        <w:pStyle w:val="ListBullet"/>
      </w:pPr>
      <w:r>
        <w:t>✅ Notifications en temps réel</w:t>
      </w:r>
    </w:p>
    <w:p>
      <w:pPr>
        <w:pBdr>
          <w:bottom w:val="single" w:sz="6" w:space="1" w:color="4472C4"/>
        </w:pBdr>
      </w:pPr>
    </w:p>
    <w:p>
      <w:pPr>
        <w:pStyle w:val="Heading2"/>
      </w:pPr>
      <w:r>
        <w:t>9. Perspectives d'Évolution</w:t>
      </w:r>
    </w:p>
    <w:p>
      <w:pPr>
        <w:pStyle w:val="Heading3"/>
      </w:pPr>
      <w:r>
        <w:t>9.1 Court terme (3-6 mois)</w:t>
      </w:r>
    </w:p>
    <w:p>
      <w:pPr>
        <w:pStyle w:val="ListBullet"/>
      </w:pPr>
      <w:r>
        <w:t>Intégration complète de Tesseract OCR en production</w:t>
      </w:r>
    </w:p>
    <w:p>
      <w:pPr>
        <w:pStyle w:val="ListBullet"/>
      </w:pPr>
      <w:r>
        <w:t>Implémentation du Circuit Breaker (Resilience4j)</w:t>
      </w:r>
    </w:p>
    <w:p>
      <w:pPr>
        <w:pStyle w:val="ListBullet"/>
      </w:pPr>
      <w:r>
        <w:t>Ajout de l'audit-service avec stockage MongoDB</w:t>
      </w:r>
    </w:p>
    <w:p>
      <w:pPr>
        <w:pStyle w:val="ListBullet"/>
      </w:pPr>
      <w:r>
        <w:t>Tests unitaires et d'intégration (coverage &gt; 80%)</w:t>
      </w:r>
    </w:p>
    <w:p>
      <w:pPr>
        <w:pStyle w:val="Heading3"/>
      </w:pPr>
      <w:r>
        <w:t>9.2 Moyen terme (6-12 mois)</w:t>
      </w:r>
    </w:p>
    <w:p>
      <w:pPr>
        <w:pStyle w:val="ListBullet"/>
      </w:pPr>
      <w:r>
        <w:t>Service de reporting avec agrégation des données</w:t>
      </w:r>
    </w:p>
    <w:p>
      <w:pPr>
        <w:pStyle w:val="ListBullet"/>
      </w:pPr>
      <w:r>
        <w:t>Intégration de vrais opérateurs SMS (Twilio, Orange API)</w:t>
      </w:r>
    </w:p>
    <w:p>
      <w:pPr>
        <w:pStyle w:val="ListBullet"/>
      </w:pPr>
      <w:r>
        <w:t>Dashboard administrateur avancé avec analytics</w:t>
      </w:r>
    </w:p>
    <w:p>
      <w:pPr>
        <w:pStyle w:val="ListBullet"/>
      </w:pPr>
      <w:r>
        <w:t>Système de scoring ML amélioré (Random Forest, XGBoost)</w:t>
      </w:r>
    </w:p>
    <w:p>
      <w:pPr>
        <w:pStyle w:val="Heading3"/>
      </w:pPr>
      <w:r>
        <w:t>9.3 Long terme (&gt; 12 mois)</w:t>
      </w:r>
    </w:p>
    <w:p>
      <w:pPr>
        <w:pStyle w:val="ListBullet"/>
      </w:pPr>
      <w:r>
        <w:t>Migration vers un service mesh (Istio)</w:t>
      </w:r>
    </w:p>
    <w:p>
      <w:pPr>
        <w:pStyle w:val="ListBullet"/>
      </w:pPr>
      <w:r>
        <w:t>Implémentation de l'architecture CQRS pour les transactions</w:t>
      </w:r>
    </w:p>
    <w:p>
      <w:pPr>
        <w:pStyle w:val="ListBullet"/>
      </w:pPr>
      <w:r>
        <w:t>Intégration blockchain pour la traçabilité</w:t>
      </w:r>
    </w:p>
    <w:p>
      <w:pPr>
        <w:pStyle w:val="ListBullet"/>
      </w:pPr>
      <w:r>
        <w:t>Conformité PCI-DSS pour les transactions par carte</w:t>
      </w:r>
    </w:p>
    <w:p>
      <w:pPr>
        <w:pStyle w:val="ListBullet"/>
      </w:pPr>
      <w:r>
        <w:t>Multi-tenancy pour supporter plusieurs institutions bancaires</w:t>
      </w:r>
    </w:p>
    <w:p>
      <w:pPr>
        <w:pBdr>
          <w:bottom w:val="single" w:sz="6" w:space="1" w:color="4472C4"/>
        </w:pBdr>
      </w:pPr>
    </w:p>
    <w:p>
      <w:pPr>
        <w:pStyle w:val="Heading2"/>
      </w:pPr>
      <w:r>
        <w:t>10. Conclusion</w:t>
      </w:r>
    </w:p>
    <w:p>
      <w:r>
        <w:t>Ce projet démontre la faisabilité d'une plateforme bancaire distribuée moderne basée sur les microservices. L'approche DDD a permis d'identifier clairement les responsabilités de chaque service, tandis que l'architecture choisie garantit la scalabilité et la résilience nécessaires dans un contexte financier.</w:t>
      </w:r>
    </w:p>
    <w:p>
      <w:r>
        <w:t>Les principaux enseignements sont :</w:t>
      </w:r>
    </w:p>
    <w:p>
      <w:pPr>
        <w:pStyle w:val="ListNumber"/>
      </w:pPr>
      <w:r>
        <w:t>Le DDD est indispensable avant de commencer le découpage technique</w:t>
      </w:r>
    </w:p>
    <w:p>
      <w:pPr>
        <w:pStyle w:val="ListNumber"/>
      </w:pPr>
      <w:r>
        <w:t>L'hétérogénéité technologique est un avantage si bien gérée</w:t>
      </w:r>
    </w:p>
    <w:p>
      <w:pPr>
        <w:pStyle w:val="ListNumber"/>
      </w:pPr>
      <w:r>
        <w:t>La communication asynchrone via Kafka améliore significativement la résilience</w:t>
      </w:r>
    </w:p>
    <w:p>
      <w:pPr>
        <w:pStyle w:val="ListNumber"/>
      </w:pPr>
      <w:r>
        <w:t>La sécurité doit être pensée dès la conception, pas ajoutée après</w:t>
      </w:r>
    </w:p>
    <w:p>
      <w:r>
        <w:t>La plateforme est fonctionnelle et déployable, avec des fondations solides pour évoluer vers un système de production complet.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