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Dictionnaire des Variables</w:t>
      </w:r>
    </w:p>
    <w:p>
      <w:pPr>
        <w:spacing w:after="300"/>
      </w:pPr>
      <w:r>
        <w:rPr>
          <w:i/>
          <w:iCs/>
          <w:color w:val="555555"/>
        </w:rPr>
        <w:t xml:space="preserve">Fichier source : Coût Global par Site en Dhs — CUMAREX S.A (extrait du 01 juin 2026)</w:t>
      </w:r>
    </w:p>
    <w:p>
      <w:pPr>
        <w:pStyle w:val="Heading1"/>
        <w:spacing w:after="200" w:before="400"/>
      </w:pPr>
      <w:r>
        <w:t xml:space="preserve">1. Présentation du fichier</w:t>
      </w:r>
    </w:p>
    <w:p>
      <w:pPr>
        <w:spacing w:after="120"/>
      </w:pPr>
      <w:r>
        <w:t xml:space="preserve">Le document analysé est un rapport de gestion intitulé « Coût Global par Site en Dhs », édité pour la société CUMAREX S.A. Il détaille, pour chaque produit/référence, les quantités produites, les coûts directs, les charges fixes, le chiffre d'affaires (prix moyen de vente) ainsi que les marges brute et nette, avec des lignes de sous-total par marque/sous-famille (ex : Caballa Merca, Caballa S/S, Sardine SPSA) et des totaux généraux (CX0, CX1).</w:t>
      </w:r>
    </w:p>
    <w:p>
      <w:pPr>
        <w:pStyle w:val="Heading1"/>
        <w:spacing w:after="200" w:before="400"/>
      </w:pPr>
      <w:r>
        <w:t xml:space="preserve">2. Variables brutes (issues du fichier)</w:t>
      </w:r>
    </w:p>
    <w:p>
      <w:pPr>
        <w:spacing w:after="120"/>
      </w:pPr>
      <w:r>
        <w:t xml:space="preserve">Ces variables sont directement lues dans le tableau source ; elles ne nécessitent aucun calcul.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800"/>
      </w:tblGrid>
      <w:tr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  <w:tc>
          <w:tcPr>
            <w:tcW w:type="dxa" w:w="3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Texte (identifiant)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article / référence produit unique (ex : 125FCOAHD). Sert de clé d'identification de la ligne de détail.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Marque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Texte (catégorie)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 de la marque ou de la sous-famille commerciale du produit (ex : Hacendado, ALIA, SEASON).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 du rapport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jour/mois/année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 d'arrêté des données affichée en en-tête (ex : lundi 01 juin 2026).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Société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Raison sociale de l'entité pour laquelle le coût global est calculé (ex : CUMAREX S.A).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B. Produc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Numérique (quantité)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kg / tonnes / unités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de production : quantité physique produite ou vendue servant de base au calcul des coûts et marges unitaires.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 CD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Numérique (montant)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Coût Direct : somme des coûts directement imputables à la production (matière première, main d'œuvre directe, etc.), hors charges fixes.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 Fixes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Numérique (montant)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Dhs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des charges fixes (frais généraux, structure, amortissements, etc.) allouées au produit/site.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Code niveau agrégation (ex. 842)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Numérique (code)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technique associé aux lignes de sous-total (regroupement par sous-famille, ex. « Caballa Merca »).</w:t>
            </w:r>
          </w:p>
        </w:tc>
      </w:tr>
    </w:tbl>
    <w:p>
      <w:pPr>
        <w:pStyle w:val="Heading1"/>
        <w:spacing w:after="200" w:before="400"/>
      </w:pPr>
      <w:r>
        <w:t xml:space="preserve">3. Variables calculées et leurs formules</w:t>
      </w:r>
    </w:p>
    <w:p>
      <w:pPr>
        <w:spacing w:after="120"/>
      </w:pPr>
      <w:r>
        <w:t xml:space="preserve">Les variables suivantes sont des agrégats ou des ratios dérivés des variables brutes. Les formules ont été retrouvées et vérifiées par recoupement des valeurs du tableau.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400"/>
        <w:gridCol w:w="2500"/>
      </w:tblGrid>
      <w:tr>
        <w:tc>
          <w:tcPr>
            <w:tcW w:type="dxa" w:w="1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Formule de calcul</w:t>
            </w:r>
          </w:p>
        </w:tc>
        <w:tc>
          <w:tcPr>
            <w:tcW w:type="dxa" w:w="2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Vérification sur l'exemple (Hacendado)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 PMV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Prix Moyen de Vente (chiffre d'affaires / valeur des ventes total du produit).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 PMV = Tot CD + Tot MB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289 525 + 125 106 = 414 631 ≈ 414 632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 MB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Marge Brute : marge dégagée avant déduction des charges fixes.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 MB = Tot PMV − Tot CD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414 632 − 289 525 = 125 107 ≈ 125 106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% MB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Taux de marge brute : part de la marge brute dans le chiffre d'affaires.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MB = Tot MB / Tot PMV × 100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125 106 / 414 632 = 30,2 %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% CF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Taux de charges fixes : poids des charges fixes dans le chiffre d'affaires.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CF = Ch Fixes / Tot PMV × 100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28 604 / 414 632 = 6,9 %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 M.N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Marge Nette : marge restant après déduction des charges fixes de la marge brute.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 M.N = Tot MB − Ch Fixes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125 106 − 28 604 = 96 502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% MN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Taux de marge nette : rentabilité nette rapportée au chiffre d'affaires.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MN = Tot M.N / Tot PMV × 100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96 502 / 414 632 = 23,3 %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 PR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Prix de Revient : coût total complet du produit (coûts directs + charges fixes).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 PR = Tot CD + Ch Fixes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289 525 + 28 604 = 318 129</w:t>
            </w:r>
          </w:p>
        </w:tc>
      </w:tr>
    </w:tbl>
    <w:p>
      <w:pPr>
        <w:pStyle w:val="Heading1"/>
        <w:spacing w:after="200" w:before="400"/>
      </w:pPr>
      <w:r>
        <w:t xml:space="preserve">4. Relations de cohérence entre variables</w:t>
      </w:r>
    </w:p>
    <w:p>
      <w:pPr>
        <w:spacing w:after="120"/>
      </w:pPr>
      <w:r>
        <w:t xml:space="preserve">Ces identités permettent de contrôler la cohérence du fichier et de recalculer une variable manquante à partir des autres.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4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 PMV = Tot PR + Tot M.N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chiffre d'affaires se décompose en coût de revient total et marge nette totale.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 PMV = Tot CD + Tot MB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chiffre d'affaires se décompose en coût direct et marge brute.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 PR = Tot CD + Ch Fixes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coût de revient total regroupe coûts directs et charges fixes.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 M.N = Tot MB − Ch Fixes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marge nette est la marge brute diminuée des charges fixes.</w:t>
            </w:r>
          </w:p>
        </w:tc>
      </w:tr>
    </w:tbl>
    <w:p>
      <w:pPr>
        <w:pStyle w:val="Heading1"/>
        <w:spacing w:after="200" w:before="400"/>
      </w:pPr>
      <w:r>
        <w:t xml:space="preserve">5. Feature Engineering possible</w:t>
      </w:r>
    </w:p>
    <w:p>
      <w:pPr>
        <w:spacing w:after="120"/>
      </w:pPr>
      <w:r>
        <w:t xml:space="preserve">Pistes de variables dérivées utiles pour une analyse ou un modèle statistique/ML à partir de ce fichier :</w:t>
      </w:r>
    </w:p>
    <w:p>
      <w:pPr>
        <w:pStyle w:val="Heading2"/>
        <w:spacing w:after="150" w:before="300"/>
      </w:pPr>
      <w:r>
        <w:t xml:space="preserve">5.1 Ratios unitaires (par unité de production)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Coût direct unitaire = Tot CD / B. Produc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Prix de vente moyen unitaire = Tot PMV / B. Produc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Marge brute unitaire = Tot MB / B. Produc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Marge nette unitaire = Tot M.N / B. Produc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Charges fixes unitaires = Ch Fixes / B. Produc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Prix de revient unitaire = Tot PR / B. Produc</w:t>
      </w:r>
    </w:p>
    <w:p>
      <w:pPr>
        <w:pStyle w:val="Heading2"/>
        <w:spacing w:after="150" w:before="300"/>
      </w:pPr>
      <w:r>
        <w:t xml:space="preserve">5.2 Indicateurs de structure de coûts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Poids des charges fixes dans le coût de revient = Ch Fixes / Tot PR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Poids du coût direct dans le coût de revient = Tot CD / Tot PR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Effet de levier des charges fixes = % CF / % MB (sensibilité de la marge nette aux charges fixes)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Indice de rentabilité = Tot M.N / Tot CD (marge nette rapportée au coût direct engagé)</w:t>
      </w:r>
    </w:p>
    <w:p>
      <w:pPr>
        <w:pStyle w:val="Heading2"/>
        <w:spacing w:after="150" w:before="300"/>
      </w:pPr>
      <w:r>
        <w:t xml:space="preserve">5.3 Variables catégorielles et regroupements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Famille de produit normalisée (regroupement Marque → famille commerciale : Caballa, Sardine,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Niveau hiérarchique de la ligne (détail produit / sous-total marque / total général CX0-CX1), utile pour filtrer les doublons avant agrégation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Indicateur binaire « ligne de sous-total » vs « ligne de détail », déduit de la présence du code d'agrégation en tête de ligne</w:t>
      </w:r>
    </w:p>
    <w:p>
      <w:pPr>
        <w:pStyle w:val="Heading2"/>
        <w:spacing w:after="150" w:before="300"/>
      </w:pPr>
      <w:r>
        <w:t xml:space="preserve">5.4 Variables temporelles (si plusieurs relevés sont disponibles)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Évolution période à période de Tot PMV, Tot MB, % MN (variation absolue et en 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Moyenne mobile ou cumul depuis le début d'exercice (YTD) pour chaque montant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Taux de croissance de la production (B. Produc) d'une période à l'autre</w:t>
      </w:r>
    </w:p>
    <w:p>
      <w:pPr>
        <w:pStyle w:val="Heading2"/>
        <w:spacing w:after="150" w:before="300"/>
      </w:pPr>
      <w:r>
        <w:t xml:space="preserve">5.5 Indicateurs de rang / comparaison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Rang de chaque produit/marque selon Tot M.N ou % MN (classement de rentabilité)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Écart à la moyenne du % MB ou % MN par rapport à la moyenne de la famille de produit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Contribution en % de chaque produit au Tot M.N global (part de marge nette totale)</w:t>
      </w:r>
    </w:p>
    <w:p>
      <w:pPr>
        <w:pStyle w:val="Heading2"/>
        <w:spacing w:after="150" w:before="300"/>
      </w:pPr>
      <w:r>
        <w:t xml:space="preserve">5.6 Détection d'anomalies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Marge brute ou nette négative (indicateur binaire) — utile pour repérer les produits déficitaires (ex : les lignes ALIA du fichier)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Écart entre Tot PMV recalculé (Tot CD + Tot MB) et la valeur affichée, pour détecter des erreurs d'arrondi ou de saisie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2026-07-29T08:07:09.784Z</dcterms:created>
  <dcterms:modified xsi:type="dcterms:W3CDTF">2026-07-29T08:07:09.814Z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