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Dictionnaire des Variables</w:t>
      </w:r>
    </w:p>
    <w:p>
      <w:pPr>
        <w:spacing w:after="160"/>
      </w:pPr>
      <w:r>
        <w:rPr>
          <w:i/>
          <w:iCs/>
          <w:sz w:val="21"/>
          <w:szCs w:val="21"/>
        </w:rPr>
        <w:t xml:space="preserve">Fichier source : Couts Journaliers Productions — Fiche par Article (formulaire RR-125A) — CUMAREX S.A (production du 02/06/2026, édition du 03/06/2026, article 125FCOAHD)</w:t>
      </w:r>
    </w:p>
    <w:p>
      <w:pPr>
        <w:pStyle w:val="Heading1"/>
        <w:spacing w:after="150" w:before="300"/>
      </w:pPr>
      <w:r>
        <w:t xml:space="preserve">1. Présentation du fichier</w:t>
      </w:r>
    </w:p>
    <w:p>
      <w:pPr>
        <w:spacing w:after="160"/>
      </w:pPr>
      <w:r>
        <w:rPr>
          <w:sz w:val="21"/>
          <w:szCs w:val="21"/>
        </w:rPr>
        <w:t xml:space="preserve">Le document analysé est une fiche de suivi journalier du coût de revient, éditée pour la société CUMAREX S.A (formulaire RR-125A). Contrairement au rapport « Coût Global par Site » (mensuel, multi-produits), cette fiche détaille le coût d'un seul article/référence pour une seule journée de production, en comparant systématiquement les valeurs Réelles aux valeurs Standard, avec calcul des écarts (Dev, %Dev).</w:t>
      </w:r>
    </w:p>
    <w:p>
      <w:pPr>
        <w:spacing w:after="160"/>
      </w:pPr>
      <w:r>
        <w:rPr>
          <w:sz w:val="21"/>
          <w:szCs w:val="21"/>
        </w:rPr>
        <w:t xml:space="preserve">Les coûts par poste (poisson, huile, boîte, main d'œuvre, etc.) sont présentés à quatre niveaux de lecture : (a) des quantités/indices physiques de consommation, (b) un coût unitaire en Dirhams par kg de produit fini, (c) le même coût unitaire converti en devise (EUR, via le taux de change), et (d) la valeur totale en Dhs pour la production du jour de cet article.</w:t>
      </w:r>
    </w:p>
    <w:p>
      <w:pPr>
        <w:pStyle w:val="Heading1"/>
        <w:spacing w:after="150" w:before="300"/>
      </w:pPr>
      <w:r>
        <w:t xml:space="preserve">2. Variables brutes (issues du fichier)</w:t>
      </w:r>
    </w:p>
    <w:p>
      <w:pPr>
        <w:pStyle w:val="Heading2"/>
        <w:spacing w:after="120" w:before="240"/>
      </w:pPr>
      <w:r>
        <w:t xml:space="preserve">2.1 Bloc identification (en-tête de fiche)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300"/>
        <w:gridCol w:w="4850"/>
      </w:tblGrid>
      <w:tr>
        <w:trPr>
          <w:tblHeader/>
        </w:trPr>
        <w:tc>
          <w:tcPr>
            <w:tcW w:type="dxa" w:w="1700"/>
            <w:tcBorders>
              <w:top w:val="single" w:color="B7B7B7" w:sz="4"/>
              <w:left w:val="single" w:color="B7B7B7" w:sz="4"/>
              <w:bottom w:val="single" w:color="B7B7B7" w:sz="4"/>
              <w:right w:val="single" w:color="B7B7B7" w:sz="4"/>
            </w:tcBorders>
            <w:shd w:fill="2F5496" w:val="clear"/>
            <w:tcMar>
              <w:top w:type="dxa" w:w="60"/>
              <w:left w:type="dxa" w:w="100"/>
              <w:bottom w:type="dxa" w:w="60"/>
              <w:right w:type="dxa" w:w="100"/>
            </w:tcMar>
          </w:tcPr>
          <w:p>
            <w:r>
              <w:rPr>
                <w:b/>
                <w:bCs/>
                <w:i w:val="false"/>
                <w:iCs w:val="false"/>
                <w:color w:val="FFFFFF"/>
                <w:sz w:val="19"/>
                <w:szCs w:val="19"/>
              </w:rPr>
              <w:t xml:space="preserve">Variable</w:t>
            </w:r>
          </w:p>
        </w:tc>
        <w:tc>
          <w:tcPr>
            <w:tcW w:type="dxa" w:w="1500"/>
            <w:tcBorders>
              <w:top w:val="single" w:color="B7B7B7" w:sz="4"/>
              <w:left w:val="single" w:color="B7B7B7" w:sz="4"/>
              <w:bottom w:val="single" w:color="B7B7B7" w:sz="4"/>
              <w:right w:val="single" w:color="B7B7B7" w:sz="4"/>
            </w:tcBorders>
            <w:shd w:fill="2F5496" w:val="clear"/>
            <w:tcMar>
              <w:top w:type="dxa" w:w="60"/>
              <w:left w:type="dxa" w:w="100"/>
              <w:bottom w:type="dxa" w:w="60"/>
              <w:right w:type="dxa" w:w="100"/>
            </w:tcMar>
          </w:tcPr>
          <w:p>
            <w:r>
              <w:rPr>
                <w:b/>
                <w:bCs/>
                <w:i w:val="false"/>
                <w:iCs w:val="false"/>
                <w:color w:val="FFFFFF"/>
                <w:sz w:val="19"/>
                <w:szCs w:val="19"/>
              </w:rPr>
              <w:t xml:space="preserve">Type</w:t>
            </w:r>
          </w:p>
        </w:tc>
        <w:tc>
          <w:tcPr>
            <w:tcW w:type="dxa" w:w="1300"/>
            <w:tcBorders>
              <w:top w:val="single" w:color="B7B7B7" w:sz="4"/>
              <w:left w:val="single" w:color="B7B7B7" w:sz="4"/>
              <w:bottom w:val="single" w:color="B7B7B7" w:sz="4"/>
              <w:right w:val="single" w:color="B7B7B7" w:sz="4"/>
            </w:tcBorders>
            <w:shd w:fill="2F5496" w:val="clear"/>
            <w:tcMar>
              <w:top w:type="dxa" w:w="60"/>
              <w:left w:type="dxa" w:w="100"/>
              <w:bottom w:type="dxa" w:w="60"/>
              <w:right w:type="dxa" w:w="100"/>
            </w:tcMar>
          </w:tcPr>
          <w:p>
            <w:r>
              <w:rPr>
                <w:b/>
                <w:bCs/>
                <w:i w:val="false"/>
                <w:iCs w:val="false"/>
                <w:color w:val="FFFFFF"/>
                <w:sz w:val="19"/>
                <w:szCs w:val="19"/>
              </w:rPr>
              <w:t xml:space="preserve">Unité</w:t>
            </w:r>
          </w:p>
        </w:tc>
        <w:tc>
          <w:tcPr>
            <w:tcW w:type="dxa" w:w="4850"/>
            <w:tcBorders>
              <w:top w:val="single" w:color="B7B7B7" w:sz="4"/>
              <w:left w:val="single" w:color="B7B7B7" w:sz="4"/>
              <w:bottom w:val="single" w:color="B7B7B7" w:sz="4"/>
              <w:right w:val="single" w:color="B7B7B7" w:sz="4"/>
            </w:tcBorders>
            <w:shd w:fill="2F5496" w:val="clear"/>
            <w:tcMar>
              <w:top w:type="dxa" w:w="60"/>
              <w:left w:type="dxa" w:w="100"/>
              <w:bottom w:type="dxa" w:w="60"/>
              <w:right w:type="dxa" w:w="100"/>
            </w:tcMar>
          </w:tcPr>
          <w:p>
            <w:r>
              <w:rPr>
                <w:b/>
                <w:bCs/>
                <w:i w:val="false"/>
                <w:iCs w:val="false"/>
                <w:color w:val="FFFFFF"/>
                <w:sz w:val="19"/>
                <w:szCs w:val="19"/>
              </w:rPr>
              <w:t xml:space="preserve">Définition</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 S Produit</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Texte (identifiant)</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Numéro de suivi standard du produit (ex : A2606021).</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Mois</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Texte</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Mois de la production (ex : juin).</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Site</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Texte (code)</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Code du site de production (ex : CX0).</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Date d'édition</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Date</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jj/mm/aaaa</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Date d'édition de la fiche (ex : 3/06/2026).</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 Poisson</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Texte (identifiant)</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Numéro du lot de poisson mis en œuvre (ex : A2606021).</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Date poisson</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Date</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jj/mm/aaaa</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Date de réception/traitement du lot de poisson (ex : 02/06/2026).</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Sous-famille</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Texte</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Sous-famille commerciale du produit (ex : Caballa Merca).</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Marque</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Texte</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Marque commerciale finale (ex : Hacendado).</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 ligne</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Numérique (code)</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Identifiant complémentaire de la ligne de saisie (ex : 54).</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Code</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Texte (identifiant)</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Code article/référence produit ; clé d'identification de la fiche (ex : 125FCOAHD).</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Réf. formulaire</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Texte</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Références croisées du formulaire de saisie (ex : RR-125A, A125FCO, RR-125).</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Type d'huile</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Texte</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Type d'huile de couverture utilisée (ex : OLIVE).</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Devise</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Texte</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Devise de référence pour la double cotation des coûts unitaires (ex : EUR).</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Change</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Numérique (taux)</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Dhs/EUR</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Taux de change appliqué pour convertir les coûts Dhs en EUR (ex : 10,8000).</w:t>
            </w:r>
          </w:p>
        </w:tc>
      </w:tr>
    </w:tbl>
    <w:p>
      <w:pPr>
        <w:spacing w:after="60"/>
      </w:pPr>
    </w:p>
    <w:p>
      <w:pPr>
        <w:pStyle w:val="Heading2"/>
        <w:spacing w:after="120" w:before="240"/>
      </w:pPr>
      <w:r>
        <w:t xml:space="preserve">2.2 Bloc production et rendement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300"/>
        <w:gridCol w:w="4850"/>
      </w:tblGrid>
      <w:tr>
        <w:trPr>
          <w:tblHeader/>
        </w:trPr>
        <w:tc>
          <w:tcPr>
            <w:tcW w:type="dxa" w:w="1700"/>
            <w:tcBorders>
              <w:top w:val="single" w:color="B7B7B7" w:sz="4"/>
              <w:left w:val="single" w:color="B7B7B7" w:sz="4"/>
              <w:bottom w:val="single" w:color="B7B7B7" w:sz="4"/>
              <w:right w:val="single" w:color="B7B7B7" w:sz="4"/>
            </w:tcBorders>
            <w:shd w:fill="2F5496" w:val="clear"/>
            <w:tcMar>
              <w:top w:type="dxa" w:w="60"/>
              <w:left w:type="dxa" w:w="100"/>
              <w:bottom w:type="dxa" w:w="60"/>
              <w:right w:type="dxa" w:w="100"/>
            </w:tcMar>
          </w:tcPr>
          <w:p>
            <w:r>
              <w:rPr>
                <w:b/>
                <w:bCs/>
                <w:i w:val="false"/>
                <w:iCs w:val="false"/>
                <w:color w:val="FFFFFF"/>
                <w:sz w:val="19"/>
                <w:szCs w:val="19"/>
              </w:rPr>
              <w:t xml:space="preserve">Variable</w:t>
            </w:r>
          </w:p>
        </w:tc>
        <w:tc>
          <w:tcPr>
            <w:tcW w:type="dxa" w:w="1500"/>
            <w:tcBorders>
              <w:top w:val="single" w:color="B7B7B7" w:sz="4"/>
              <w:left w:val="single" w:color="B7B7B7" w:sz="4"/>
              <w:bottom w:val="single" w:color="B7B7B7" w:sz="4"/>
              <w:right w:val="single" w:color="B7B7B7" w:sz="4"/>
            </w:tcBorders>
            <w:shd w:fill="2F5496" w:val="clear"/>
            <w:tcMar>
              <w:top w:type="dxa" w:w="60"/>
              <w:left w:type="dxa" w:w="100"/>
              <w:bottom w:type="dxa" w:w="60"/>
              <w:right w:type="dxa" w:w="100"/>
            </w:tcMar>
          </w:tcPr>
          <w:p>
            <w:r>
              <w:rPr>
                <w:b/>
                <w:bCs/>
                <w:i w:val="false"/>
                <w:iCs w:val="false"/>
                <w:color w:val="FFFFFF"/>
                <w:sz w:val="19"/>
                <w:szCs w:val="19"/>
              </w:rPr>
              <w:t xml:space="preserve">Type</w:t>
            </w:r>
          </w:p>
        </w:tc>
        <w:tc>
          <w:tcPr>
            <w:tcW w:type="dxa" w:w="1300"/>
            <w:tcBorders>
              <w:top w:val="single" w:color="B7B7B7" w:sz="4"/>
              <w:left w:val="single" w:color="B7B7B7" w:sz="4"/>
              <w:bottom w:val="single" w:color="B7B7B7" w:sz="4"/>
              <w:right w:val="single" w:color="B7B7B7" w:sz="4"/>
            </w:tcBorders>
            <w:shd w:fill="2F5496" w:val="clear"/>
            <w:tcMar>
              <w:top w:type="dxa" w:w="60"/>
              <w:left w:type="dxa" w:w="100"/>
              <w:bottom w:type="dxa" w:w="60"/>
              <w:right w:type="dxa" w:w="100"/>
            </w:tcMar>
          </w:tcPr>
          <w:p>
            <w:r>
              <w:rPr>
                <w:b/>
                <w:bCs/>
                <w:i w:val="false"/>
                <w:iCs w:val="false"/>
                <w:color w:val="FFFFFF"/>
                <w:sz w:val="19"/>
                <w:szCs w:val="19"/>
              </w:rPr>
              <w:t xml:space="preserve">Unité</w:t>
            </w:r>
          </w:p>
        </w:tc>
        <w:tc>
          <w:tcPr>
            <w:tcW w:type="dxa" w:w="4850"/>
            <w:tcBorders>
              <w:top w:val="single" w:color="B7B7B7" w:sz="4"/>
              <w:left w:val="single" w:color="B7B7B7" w:sz="4"/>
              <w:bottom w:val="single" w:color="B7B7B7" w:sz="4"/>
              <w:right w:val="single" w:color="B7B7B7" w:sz="4"/>
            </w:tcBorders>
            <w:shd w:fill="2F5496" w:val="clear"/>
            <w:tcMar>
              <w:top w:type="dxa" w:w="60"/>
              <w:left w:type="dxa" w:w="100"/>
              <w:bottom w:type="dxa" w:w="60"/>
              <w:right w:type="dxa" w:w="100"/>
            </w:tcMar>
          </w:tcPr>
          <w:p>
            <w:r>
              <w:rPr>
                <w:b/>
                <w:bCs/>
                <w:i w:val="false"/>
                <w:iCs w:val="false"/>
                <w:color w:val="FFFFFF"/>
                <w:sz w:val="19"/>
                <w:szCs w:val="19"/>
              </w:rPr>
              <w:t xml:space="preserve">Définition</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Caisses</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Numérique (quantité)</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caisses</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Nombre de caisses produites dans la journée (ex : 848).</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T. Boites</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Numérique (quantité)</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boîtes / kg</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Quantité totale de boîtes (base de production) servant de dénominateur au calcul des coûts unitaires (ex : 45.790).</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T Boites Utilisés</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Numérique (quantité)</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boîtes / kg</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Quantité de boîtes effectivement utilisées, avec ses écarts en % associés (ex : 45.926 ; écarts 0,34 % / 0,26 %).</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Huile (qté)</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Numérique (quantité)</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kg / L</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Quantité d'huile de couverture mise en œuvre (ex : 1.560).</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Poisson (qté)</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Numérique (quantité)</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kg</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Quantité de poisson entier mise en œuvre (ex : 13.812).</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Filet</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Numérique (quantité)</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kg</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Quantité de filet obtenue après parage du poisson (ex : 4.552).</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Px MP</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Numérique (montant)</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Dh/kg</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Prix de la matière première poisson (ex : 10,03).</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PU Huile</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Numérique (montant)</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Dh/kg ou L</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Prix unitaire de l'huile de couverture (ex : 38,00).</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Rdts</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Numérique (%)</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Rendement poisson → produit fini, réel et standard (ex : 33,0 % réel / 29,8 % standard).</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Fr fab (en-tête)</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Numérique (montant)</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Dhs</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Frais de fabrication totaux du jour pour l'article (ex : 21.832).</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MOD (en-tête)</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Numérique (montant)</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Dhs</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Main d'œuvre directe totale du jour pour l'article (ex : 92.610).</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MOMg</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Numérique (montant)</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Dhs</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Main d'œuvre / mélange (« Mg ») totale du jour (ex : 10.143).</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Ch Fixes</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Numérique (montant)</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Dhs</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Charges fixes totales allouées à l'article pour le jour (ex : 22.312).</w:t>
            </w:r>
          </w:p>
        </w:tc>
      </w:tr>
      <w:tr>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Cout min</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Numérique (montant)</w:t>
            </w:r>
          </w:p>
        </w:tc>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Dh/kg</w:t>
            </w:r>
          </w:p>
        </w:tc>
        <w:tc>
          <w:tcPr>
            <w:tcW w:type="dxa" w:w="48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Coût minimum de référence, réel et standard (ex : 0,56 réel / 0,55 standard).</w:t>
            </w:r>
          </w:p>
        </w:tc>
      </w:tr>
    </w:tbl>
    <w:p>
      <w:pPr>
        <w:spacing w:after="60"/>
      </w:pPr>
    </w:p>
    <w:p>
      <w:pPr>
        <w:pStyle w:val="Heading2"/>
        <w:spacing w:after="120" w:before="240"/>
      </w:pPr>
      <w:r>
        <w:t xml:space="preserve">2.3 Postes de coût détaillés (table Réel / Standard)</w:t>
      </w:r>
    </w:p>
    <w:p>
      <w:pPr>
        <w:spacing w:after="160"/>
      </w:pPr>
      <w:r>
        <w:rPr>
          <w:sz w:val="21"/>
          <w:szCs w:val="21"/>
        </w:rPr>
        <w:t xml:space="preserve">Chaque poste ci-dessous est décliné, dans la fiche, en trois sous-tableaux parallèles portant sur la même liste de postes : un tableau de coût unitaire en Dhs/kg (colonnes Reel, Stnd, Dev, %Dev), un tableau du même coût converti en EUR/kg (colonnes Reel, Stnd, Dev), et une colonne Total donnant la valeur en Dhs pour la production du jour. Les postes physiques (Poisson, MOD, MoMg) disposent en plus d'un couple Réel/Standard exprimé en indice ou en kg pour 100 kg produits.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tcBorders>
              <w:top w:val="single" w:color="B7B7B7" w:sz="4"/>
              <w:left w:val="single" w:color="B7B7B7" w:sz="4"/>
              <w:bottom w:val="single" w:color="B7B7B7" w:sz="4"/>
              <w:right w:val="single" w:color="B7B7B7" w:sz="4"/>
            </w:tcBorders>
            <w:shd w:fill="2F5496" w:val="clear"/>
            <w:tcMar>
              <w:top w:type="dxa" w:w="60"/>
              <w:left w:type="dxa" w:w="100"/>
              <w:bottom w:type="dxa" w:w="60"/>
              <w:right w:type="dxa" w:w="100"/>
            </w:tcMar>
          </w:tcPr>
          <w:p>
            <w:r>
              <w:rPr>
                <w:b/>
                <w:bCs/>
                <w:i w:val="false"/>
                <w:iCs w:val="false"/>
                <w:color w:val="FFFFFF"/>
                <w:sz w:val="19"/>
                <w:szCs w:val="19"/>
              </w:rPr>
              <w:t xml:space="preserve">Poste</w:t>
            </w:r>
          </w:p>
        </w:tc>
        <w:tc>
          <w:tcPr>
            <w:tcW w:type="dxa" w:w="7150"/>
            <w:tcBorders>
              <w:top w:val="single" w:color="B7B7B7" w:sz="4"/>
              <w:left w:val="single" w:color="B7B7B7" w:sz="4"/>
              <w:bottom w:val="single" w:color="B7B7B7" w:sz="4"/>
              <w:right w:val="single" w:color="B7B7B7" w:sz="4"/>
            </w:tcBorders>
            <w:shd w:fill="2F5496" w:val="clear"/>
            <w:tcMar>
              <w:top w:type="dxa" w:w="60"/>
              <w:left w:type="dxa" w:w="100"/>
              <w:bottom w:type="dxa" w:w="60"/>
              <w:right w:type="dxa" w:w="100"/>
            </w:tcMar>
          </w:tcPr>
          <w:p>
            <w:r>
              <w:rPr>
                <w:b/>
                <w:bCs/>
                <w:i w:val="false"/>
                <w:iCs w:val="false"/>
                <w:color w:val="FFFFFF"/>
                <w:sz w:val="19"/>
                <w:szCs w:val="19"/>
              </w:rPr>
              <w:t xml:space="preserve">Définition</w:t>
            </w:r>
          </w:p>
        </w:tc>
      </w:tr>
      <w:t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Poisson</w:t>
            </w:r>
          </w:p>
        </w:tc>
        <w:tc>
          <w:tcPr>
            <w:tcW w:type="dxa" w:w="71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Coût de la matière première poisson rapporté au kg de produit fini.</w:t>
            </w:r>
          </w:p>
        </w:tc>
      </w:tr>
      <w:t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Huile</w:t>
            </w:r>
          </w:p>
        </w:tc>
        <w:tc>
          <w:tcPr>
            <w:tcW w:type="dxa" w:w="71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Coût de l'huile de couverture rapporté au kg de produit fini.</w:t>
            </w:r>
          </w:p>
        </w:tc>
      </w:tr>
      <w:t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Additif</w:t>
            </w:r>
          </w:p>
        </w:tc>
        <w:tc>
          <w:tcPr>
            <w:tcW w:type="dxa" w:w="71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Coût des additifs (souvent nul ou marginal).</w:t>
            </w:r>
          </w:p>
        </w:tc>
      </w:tr>
      <w:t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Boite</w:t>
            </w:r>
          </w:p>
        </w:tc>
        <w:tc>
          <w:tcPr>
            <w:tcW w:type="dxa" w:w="71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Coût de l'emballage métallique (boîte).</w:t>
            </w:r>
          </w:p>
        </w:tc>
      </w:tr>
      <w:t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Etui-cart</w:t>
            </w:r>
          </w:p>
        </w:tc>
        <w:tc>
          <w:tcPr>
            <w:tcW w:type="dxa" w:w="71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Coût de l'étui carton.</w:t>
            </w:r>
          </w:p>
        </w:tc>
      </w:tr>
      <w:t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MOD</w:t>
            </w:r>
          </w:p>
        </w:tc>
        <w:tc>
          <w:tcPr>
            <w:tcW w:type="dxa" w:w="71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Coût de la main d'œuvre directe.</w:t>
            </w:r>
          </w:p>
        </w:tc>
      </w:tr>
      <w:t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MoMg</w:t>
            </w:r>
          </w:p>
        </w:tc>
        <w:tc>
          <w:tcPr>
            <w:tcW w:type="dxa" w:w="71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Coût de la main d'œuvre / mélange (« Mg »).</w:t>
            </w:r>
          </w:p>
        </w:tc>
      </w:tr>
      <w:t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Fr fab</w:t>
            </w:r>
          </w:p>
        </w:tc>
        <w:tc>
          <w:tcPr>
            <w:tcW w:type="dxa" w:w="71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Frais de fabrication (frais généraux d'atelier).</w:t>
            </w:r>
          </w:p>
        </w:tc>
      </w:tr>
      <w:t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Port</w:t>
            </w:r>
          </w:p>
        </w:tc>
        <w:tc>
          <w:tcPr>
            <w:tcW w:type="dxa" w:w="71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Frais de transport / port.</w:t>
            </w:r>
          </w:p>
        </w:tc>
      </w:tr>
      <w:t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G.Fin</w:t>
            </w:r>
          </w:p>
        </w:tc>
        <w:tc>
          <w:tcPr>
            <w:tcW w:type="dxa" w:w="71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Frais financiers.</w:t>
            </w:r>
          </w:p>
        </w:tc>
      </w:tr>
      <w:t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Com</w:t>
            </w:r>
          </w:p>
        </w:tc>
        <w:tc>
          <w:tcPr>
            <w:tcW w:type="dxa" w:w="71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Commission.</w:t>
            </w:r>
          </w:p>
        </w:tc>
      </w:tr>
      <w:t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C.D</w:t>
            </w:r>
          </w:p>
        </w:tc>
        <w:tc>
          <w:tcPr>
            <w:tcW w:type="dxa" w:w="71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Coût Direct unitaire : somme de tous les postes ci-dessus (variable calculée, voir §3).</w:t>
            </w:r>
          </w:p>
        </w:tc>
      </w:tr>
      <w:t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PMV</w:t>
            </w:r>
          </w:p>
        </w:tc>
        <w:tc>
          <w:tcPr>
            <w:tcW w:type="dxa" w:w="71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Prix Moyen de Vente unitaire (chiffre d'affaires par kg de produit fini).</w:t>
            </w:r>
          </w:p>
        </w:tc>
      </w:tr>
      <w:t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DhMB</w:t>
            </w:r>
          </w:p>
        </w:tc>
        <w:tc>
          <w:tcPr>
            <w:tcW w:type="dxa" w:w="71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Marge Brute unitaire, en Dhs (variable calculée, voir §3).</w:t>
            </w:r>
          </w:p>
        </w:tc>
      </w:tr>
      <w:t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%MB</w:t>
            </w:r>
          </w:p>
        </w:tc>
        <w:tc>
          <w:tcPr>
            <w:tcW w:type="dxa" w:w="71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Taux de marge brute (variable calculée, voir §3).</w:t>
            </w:r>
          </w:p>
        </w:tc>
      </w:tr>
    </w:tbl>
    <w:p>
      <w:pPr>
        <w:pStyle w:val="Heading1"/>
        <w:spacing w:after="150" w:before="300"/>
      </w:pPr>
      <w:r>
        <w:t xml:space="preserve">3. Variables calculées et leurs formules</w:t>
      </w:r>
    </w:p>
    <w:p>
      <w:pPr>
        <w:spacing w:after="160"/>
      </w:pPr>
      <w:r>
        <w:rPr>
          <w:sz w:val="21"/>
          <w:szCs w:val="21"/>
        </w:rPr>
        <w:t xml:space="preserve">Les formules ont été retrouvées et vérifiées par recoupement des valeurs de la fiche (article 125FCOAHD, colonne Réel, sauf mention contraire).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50"/>
      </w:tblGrid>
      <w:tr>
        <w:trPr>
          <w:tblHeader/>
        </w:trPr>
        <w:tc>
          <w:tcPr>
            <w:tcW w:type="dxa" w:w="1800"/>
            <w:tcBorders>
              <w:top w:val="single" w:color="B7B7B7" w:sz="4"/>
              <w:left w:val="single" w:color="B7B7B7" w:sz="4"/>
              <w:bottom w:val="single" w:color="B7B7B7" w:sz="4"/>
              <w:right w:val="single" w:color="B7B7B7" w:sz="4"/>
            </w:tcBorders>
            <w:shd w:fill="2F5496" w:val="clear"/>
            <w:tcMar>
              <w:top w:type="dxa" w:w="60"/>
              <w:left w:type="dxa" w:w="100"/>
              <w:bottom w:type="dxa" w:w="60"/>
              <w:right w:type="dxa" w:w="100"/>
            </w:tcMar>
          </w:tcPr>
          <w:p>
            <w:r>
              <w:rPr>
                <w:b/>
                <w:bCs/>
                <w:i w:val="false"/>
                <w:iCs w:val="false"/>
                <w:color w:val="FFFFFF"/>
                <w:sz w:val="19"/>
                <w:szCs w:val="19"/>
              </w:rPr>
              <w:t xml:space="preserve">Variable</w:t>
            </w:r>
          </w:p>
        </w:tc>
        <w:tc>
          <w:tcPr>
            <w:tcW w:type="dxa" w:w="4300"/>
            <w:tcBorders>
              <w:top w:val="single" w:color="B7B7B7" w:sz="4"/>
              <w:left w:val="single" w:color="B7B7B7" w:sz="4"/>
              <w:bottom w:val="single" w:color="B7B7B7" w:sz="4"/>
              <w:right w:val="single" w:color="B7B7B7" w:sz="4"/>
            </w:tcBorders>
            <w:shd w:fill="2F5496" w:val="clear"/>
            <w:tcMar>
              <w:top w:type="dxa" w:w="60"/>
              <w:left w:type="dxa" w:w="100"/>
              <w:bottom w:type="dxa" w:w="60"/>
              <w:right w:type="dxa" w:w="100"/>
            </w:tcMar>
          </w:tcPr>
          <w:p>
            <w:r>
              <w:rPr>
                <w:b/>
                <w:bCs/>
                <w:i w:val="false"/>
                <w:iCs w:val="false"/>
                <w:color w:val="FFFFFF"/>
                <w:sz w:val="19"/>
                <w:szCs w:val="19"/>
              </w:rPr>
              <w:t xml:space="preserve">Formule de calcul</w:t>
            </w:r>
          </w:p>
        </w:tc>
        <w:tc>
          <w:tcPr>
            <w:tcW w:type="dxa" w:w="3250"/>
            <w:tcBorders>
              <w:top w:val="single" w:color="B7B7B7" w:sz="4"/>
              <w:left w:val="single" w:color="B7B7B7" w:sz="4"/>
              <w:bottom w:val="single" w:color="B7B7B7" w:sz="4"/>
              <w:right w:val="single" w:color="B7B7B7" w:sz="4"/>
            </w:tcBorders>
            <w:shd w:fill="2F5496" w:val="clear"/>
            <w:tcMar>
              <w:top w:type="dxa" w:w="60"/>
              <w:left w:type="dxa" w:w="100"/>
              <w:bottom w:type="dxa" w:w="60"/>
              <w:right w:type="dxa" w:w="100"/>
            </w:tcMar>
          </w:tcPr>
          <w:p>
            <w:r>
              <w:rPr>
                <w:b/>
                <w:bCs/>
                <w:i w:val="false"/>
                <w:iCs w:val="false"/>
                <w:color w:val="FFFFFF"/>
                <w:sz w:val="19"/>
                <w:szCs w:val="19"/>
              </w:rPr>
              <w:t xml:space="preserve">Vérification sur l'exemple</w:t>
            </w:r>
          </w:p>
        </w:tc>
      </w:tr>
      <w:tr>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C.D (Dh/kg)</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C.D = Poisson + Huile + Additif + Boite + Etui-cart + MOD + MoMg + Fr fab + Port + G.Fin + Com</w:t>
            </w:r>
          </w:p>
        </w:tc>
        <w:tc>
          <w:tcPr>
            <w:tcW w:type="dxa" w:w="32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3,03+1,29+0+1,19+0,28+1,13+0,12+0,48+0,36+0,09+0 = 7,97</w:t>
            </w:r>
          </w:p>
        </w:tc>
      </w:tr>
      <w:tr>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DhMB (Dh/kg)</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DhMB = PMV − C.D</w:t>
            </w:r>
          </w:p>
        </w:tc>
        <w:tc>
          <w:tcPr>
            <w:tcW w:type="dxa" w:w="32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11,02 − 7,97 ≈ 3,04</w:t>
            </w:r>
          </w:p>
        </w:tc>
      </w:tr>
      <w:tr>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%MB</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%MB = DhMB / PMV × 100</w:t>
            </w:r>
          </w:p>
        </w:tc>
        <w:tc>
          <w:tcPr>
            <w:tcW w:type="dxa" w:w="32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3,04 / 11,02 ≈ 27,6 %</w:t>
            </w:r>
          </w:p>
        </w:tc>
      </w:tr>
      <w:tr>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Ch Fixes (Dh/kg)</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Ch Fixes/kg = Ch Fixes total / T. Boites</w:t>
            </w:r>
          </w:p>
        </w:tc>
        <w:tc>
          <w:tcPr>
            <w:tcW w:type="dxa" w:w="32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22.312 / 45.790 ≈ 0,49</w:t>
            </w:r>
          </w:p>
        </w:tc>
      </w:tr>
      <w:tr>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%CF</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%CF = Ch Fixes/kg / PMV × 100</w:t>
            </w:r>
          </w:p>
        </w:tc>
        <w:tc>
          <w:tcPr>
            <w:tcW w:type="dxa" w:w="32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0,49 / 11,02 ≈ 4,4 %</w:t>
            </w:r>
          </w:p>
        </w:tc>
      </w:tr>
      <w:tr>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M. Nette (Dh/kg)</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M. Nette = DhMB − Ch Fixes/kg</w:t>
            </w:r>
          </w:p>
        </w:tc>
        <w:tc>
          <w:tcPr>
            <w:tcW w:type="dxa" w:w="32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3,04 − 0,49 ≈ 2,56</w:t>
            </w:r>
          </w:p>
        </w:tc>
      </w:tr>
      <w:tr>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%MN</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%MN = %MB − %CF (= M. Nette / PMV × 100)</w:t>
            </w:r>
          </w:p>
        </w:tc>
        <w:tc>
          <w:tcPr>
            <w:tcW w:type="dxa" w:w="32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27,6 % − 4,4 % = 23,2 %</w:t>
            </w:r>
          </w:p>
        </w:tc>
      </w:tr>
      <w:tr>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Coût EUR/kg</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Coût EUR/kg = Coût Dh/kg / Change</w:t>
            </w:r>
          </w:p>
        </w:tc>
        <w:tc>
          <w:tcPr>
            <w:tcW w:type="dxa" w:w="32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Poisson : 3,03 / 10,8 ≈ 0,280</w:t>
            </w:r>
          </w:p>
        </w:tc>
      </w:tr>
      <w:tr>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Total poste (Dhs)</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Total = Coût unitaire réel (Dh/kg) × quantité produite (T. Boites Utilisés)</w:t>
            </w:r>
          </w:p>
        </w:tc>
        <w:tc>
          <w:tcPr>
            <w:tcW w:type="dxa" w:w="32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Poisson : 3,03 × 45.790 ≈ 138.557</w:t>
            </w:r>
          </w:p>
        </w:tc>
      </w:tr>
      <w:tr>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Dev (écart)</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Dev = Standard − Réel (écart positif = économie)</w:t>
            </w:r>
          </w:p>
        </w:tc>
        <w:tc>
          <w:tcPr>
            <w:tcW w:type="dxa" w:w="32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Poisson : 3,77 − 3,03 ≈ 0,75</w:t>
            </w:r>
          </w:p>
        </w:tc>
      </w:tr>
      <w:tr>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%Dev</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%Dev = Dev / Standard × 100</w:t>
            </w:r>
          </w:p>
        </w:tc>
        <w:tc>
          <w:tcPr>
            <w:tcW w:type="dxa" w:w="32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0,75 / 3,77 ≈ 19,8 %</w:t>
            </w:r>
          </w:p>
        </w:tc>
      </w:tr>
    </w:tbl>
    <w:p>
      <w:pPr>
        <w:pStyle w:val="Heading1"/>
        <w:spacing w:after="150" w:before="300"/>
      </w:pPr>
      <w:r>
        <w:t xml:space="preserve">4. Relations de cohérence entre variables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400"/>
        <w:gridCol w:w="4950"/>
      </w:tblGrid>
      <w:tr>
        <w:trPr>
          <w:tblHeader/>
        </w:trPr>
        <w:tc>
          <w:tcPr>
            <w:tcW w:type="dxa" w:w="4400"/>
            <w:tcBorders>
              <w:top w:val="single" w:color="B7B7B7" w:sz="4"/>
              <w:left w:val="single" w:color="B7B7B7" w:sz="4"/>
              <w:bottom w:val="single" w:color="B7B7B7" w:sz="4"/>
              <w:right w:val="single" w:color="B7B7B7" w:sz="4"/>
            </w:tcBorders>
            <w:shd w:fill="2F5496" w:val="clear"/>
            <w:tcMar>
              <w:top w:type="dxa" w:w="60"/>
              <w:left w:type="dxa" w:w="100"/>
              <w:bottom w:type="dxa" w:w="60"/>
              <w:right w:type="dxa" w:w="100"/>
            </w:tcMar>
          </w:tcPr>
          <w:p>
            <w:r>
              <w:rPr>
                <w:b/>
                <w:bCs/>
                <w:i w:val="false"/>
                <w:iCs w:val="false"/>
                <w:color w:val="FFFFFF"/>
                <w:sz w:val="19"/>
                <w:szCs w:val="19"/>
              </w:rPr>
              <w:t xml:space="preserve">Relation</w:t>
            </w:r>
          </w:p>
        </w:tc>
        <w:tc>
          <w:tcPr>
            <w:tcW w:type="dxa" w:w="4950"/>
            <w:tcBorders>
              <w:top w:val="single" w:color="B7B7B7" w:sz="4"/>
              <w:left w:val="single" w:color="B7B7B7" w:sz="4"/>
              <w:bottom w:val="single" w:color="B7B7B7" w:sz="4"/>
              <w:right w:val="single" w:color="B7B7B7" w:sz="4"/>
            </w:tcBorders>
            <w:shd w:fill="2F5496" w:val="clear"/>
            <w:tcMar>
              <w:top w:type="dxa" w:w="60"/>
              <w:left w:type="dxa" w:w="100"/>
              <w:bottom w:type="dxa" w:w="60"/>
              <w:right w:type="dxa" w:w="100"/>
            </w:tcMar>
          </w:tcPr>
          <w:p>
            <w:r>
              <w:rPr>
                <w:b/>
                <w:bCs/>
                <w:i w:val="false"/>
                <w:iCs w:val="false"/>
                <w:color w:val="FFFFFF"/>
                <w:sz w:val="19"/>
                <w:szCs w:val="19"/>
              </w:rPr>
              <w:t xml:space="preserve">Signification</w:t>
            </w:r>
          </w:p>
        </w:tc>
      </w:tr>
      <w:tr>
        <w:tc>
          <w:tcPr>
            <w:tcW w:type="dxa" w:w="44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PMV = C.D + DhMB</w:t>
            </w:r>
          </w:p>
        </w:tc>
        <w:tc>
          <w:tcPr>
            <w:tcW w:type="dxa" w:w="49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Le prix de vente unitaire se décompose en coût direct et marge brute.</w:t>
            </w:r>
          </w:p>
        </w:tc>
      </w:tr>
      <w:tr>
        <w:tc>
          <w:tcPr>
            <w:tcW w:type="dxa" w:w="44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DhMB = Ch Fixes/kg + M. Nette</w:t>
            </w:r>
          </w:p>
        </w:tc>
        <w:tc>
          <w:tcPr>
            <w:tcW w:type="dxa" w:w="49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La marge brute se décompose en charges fixes unitaires et marge nette.</w:t>
            </w:r>
          </w:p>
        </w:tc>
      </w:tr>
      <w:tr>
        <w:tc>
          <w:tcPr>
            <w:tcW w:type="dxa" w:w="44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%MB = %CF + %MN</w:t>
            </w:r>
          </w:p>
        </w:tc>
        <w:tc>
          <w:tcPr>
            <w:tcW w:type="dxa" w:w="49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Le taux de marge brute se décompose en taux de charges fixes et taux de marge nette.</w:t>
            </w:r>
          </w:p>
        </w:tc>
      </w:tr>
      <w:tr>
        <w:tc>
          <w:tcPr>
            <w:tcW w:type="dxa" w:w="44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Total poste ≈ Coût unitaire réel (Dh/kg) × T. Boites Utilisés</w:t>
            </w:r>
          </w:p>
        </w:tc>
        <w:tc>
          <w:tcPr>
            <w:tcW w:type="dxa" w:w="49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La valeur totale en Dhs d'un poste correspond au coût unitaire réel multiplié par la quantité produite.</w:t>
            </w:r>
          </w:p>
        </w:tc>
      </w:tr>
      <w:tr>
        <w:tc>
          <w:tcPr>
            <w:tcW w:type="dxa" w:w="44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Coût Dh/kg = Coût EUR/kg × Change</w:t>
            </w:r>
          </w:p>
        </w:tc>
        <w:tc>
          <w:tcPr>
            <w:tcW w:type="dxa" w:w="495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b w:val="false"/>
                <w:bCs w:val="false"/>
                <w:i w:val="false"/>
                <w:iCs w:val="false"/>
                <w:sz w:val="19"/>
                <w:szCs w:val="19"/>
              </w:rPr>
              <w:t xml:space="preserve">Passage entre les deux devises de cotation du coût unitaire.</w:t>
            </w:r>
          </w:p>
        </w:tc>
      </w:tr>
    </w:tbl>
    <w:p>
      <w:pPr>
        <w:pStyle w:val="Heading1"/>
        <w:spacing w:after="150" w:before="300"/>
      </w:pPr>
      <w:r>
        <w:t xml:space="preserve">5. Feature engineering possible</w:t>
      </w:r>
    </w:p>
    <w:p>
      <w:pPr>
        <w:spacing w:after="160"/>
      </w:pPr>
      <w:r>
        <w:rPr>
          <w:sz w:val="21"/>
          <w:szCs w:val="21"/>
        </w:rPr>
        <w:t xml:space="preserve">Pistes de variables dérivées utiles pour le suivi de production ou un modèle statistique/ML à partir de cette fiche journalière :</w:t>
      </w:r>
    </w:p>
    <w:p>
      <w:pPr>
        <w:pStyle w:val="ListParagraph"/>
        <w:numPr>
          <w:ilvl w:val="0"/>
          <w:numId w:val="1"/>
        </w:numPr>
        <w:spacing w:after="80"/>
      </w:pPr>
      <w:r>
        <w:rPr>
          <w:sz w:val="21"/>
          <w:szCs w:val="21"/>
        </w:rPr>
        <w:t xml:space="preserve">Écarts (Dev, %Dev) par poste comme indicateurs de performance de production (économie ou dépassement par rapport au standard).</w:t>
      </w:r>
    </w:p>
    <w:p>
      <w:pPr>
        <w:pStyle w:val="ListParagraph"/>
        <w:numPr>
          <w:ilvl w:val="0"/>
          <w:numId w:val="1"/>
        </w:numPr>
        <w:spacing w:after="80"/>
      </w:pPr>
      <w:r>
        <w:rPr>
          <w:sz w:val="21"/>
          <w:szCs w:val="21"/>
        </w:rPr>
        <w:t xml:space="preserve">Ratio Réel/Standard par poste, comme indice de dérive de consommation ou de coût.</w:t>
      </w:r>
    </w:p>
    <w:p>
      <w:pPr>
        <w:pStyle w:val="ListParagraph"/>
        <w:numPr>
          <w:ilvl w:val="0"/>
          <w:numId w:val="1"/>
        </w:numPr>
        <w:spacing w:after="80"/>
      </w:pPr>
      <w:r>
        <w:rPr>
          <w:sz w:val="21"/>
          <w:szCs w:val="21"/>
        </w:rPr>
        <w:t xml:space="preserve">Contribution en % de chaque poste (Poisson, Huile, MOD…) au C.D total de l'article.</w:t>
      </w:r>
    </w:p>
    <w:p>
      <w:pPr>
        <w:pStyle w:val="ListParagraph"/>
        <w:numPr>
          <w:ilvl w:val="0"/>
          <w:numId w:val="1"/>
        </w:numPr>
        <w:spacing w:after="80"/>
      </w:pPr>
      <w:r>
        <w:rPr>
          <w:sz w:val="21"/>
          <w:szCs w:val="21"/>
        </w:rPr>
        <w:t xml:space="preserve">Comparaison inter-articles du %MB et du %MN à date et site donnés (nécessite l'empilement de plusieurs fiches « Par Article »).</w:t>
      </w:r>
    </w:p>
    <w:p>
      <w:pPr>
        <w:pStyle w:val="ListParagraph"/>
        <w:numPr>
          <w:ilvl w:val="0"/>
          <w:numId w:val="1"/>
        </w:numPr>
        <w:spacing w:after="80"/>
      </w:pPr>
      <w:r>
        <w:rPr>
          <w:sz w:val="21"/>
          <w:szCs w:val="21"/>
        </w:rPr>
        <w:t xml:space="preserve">Suivi temporel, par lot de poisson (N° Poisson) ou par jour, de Px MP, Rdts et %MB pour détecter une dérive de rendement matière.</w:t>
      </w:r>
    </w:p>
    <w:p>
      <w:pPr>
        <w:pStyle w:val="ListParagraph"/>
        <w:numPr>
          <w:ilvl w:val="0"/>
          <w:numId w:val="1"/>
        </w:numPr>
        <w:spacing w:after="80"/>
      </w:pPr>
      <w:r>
        <w:rPr>
          <w:sz w:val="21"/>
          <w:szCs w:val="21"/>
        </w:rPr>
        <w:t xml:space="preserve">Indicateur de sensibilité de la marge au taux de change (simulation de la marge à Change constant vs Change réel).</w:t>
      </w:r>
    </w:p>
    <w:p>
      <w:pPr>
        <w:pStyle w:val="ListParagraph"/>
        <w:numPr>
          <w:ilvl w:val="0"/>
          <w:numId w:val="1"/>
        </w:numPr>
        <w:spacing w:after="80"/>
      </w:pPr>
      <w:r>
        <w:rPr>
          <w:sz w:val="21"/>
          <w:szCs w:val="21"/>
        </w:rPr>
        <w:t xml:space="preserve">Agrégation des fiches « Par Article » d'une même journée pour reconstituer le fichier « Résumé » du jour, puis sur une période pour alimenter le fichier mensuel « Coût Global par Site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2026-08-09T19:43:00.571Z</dcterms:created>
  <dcterms:modified xsi:type="dcterms:W3CDTF">2026-08-09T19:43:00.582Z</dcterms:modified>
</cp:coreProperties>
</file>

<file path=docProps/custom.xml><?xml version="1.0" encoding="utf-8"?>
<Properties xmlns="http://schemas.openxmlformats.org/officeDocument/2006/custom-properties" xmlns:vt="http://schemas.openxmlformats.org/officeDocument/2006/docPropsVTypes"/>
</file>