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Dictionnaire des Variables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Fichier source : Couts Journaliers Production — Résumé (n° 2606031) — CUMAREX S.A (Mercredi 3 juin 2026)</w:t>
      </w:r>
    </w:p>
    <w:p>
      <w:pPr>
        <w:pStyle w:val="Heading1"/>
        <w:spacing w:after="150" w:before="300"/>
      </w:pPr>
      <w:r>
        <w:t xml:space="preserve">1. Présentation du fichier</w:t>
      </w:r>
    </w:p>
    <w:p>
      <w:pPr>
        <w:spacing w:after="160"/>
      </w:pPr>
      <w:r>
        <w:rPr>
          <w:sz w:val="21"/>
          <w:szCs w:val="21"/>
        </w:rPr>
        <w:t xml:space="preserve">Le document analysé est le résumé journalier de production, édité pour la société CUMAREX S.A. Il agrège, pour l'ensemble des articles/codes fabriqués un même jour : les réceptions de poisson (achats par lot), le rendement filet global, l'allocation de la main d'œuvre (MOD/Mg), un tableau de rendement par code, un tableau des coûts totaux par code (en Dhs), les totaux du jour, et un tableau des coûts unitaires par code (en Dh/kg).</w:t>
      </w:r>
    </w:p>
    <w:p>
      <w:pPr>
        <w:spacing w:after="160"/>
      </w:pPr>
      <w:r>
        <w:rPr>
          <w:sz w:val="21"/>
          <w:szCs w:val="21"/>
        </w:rPr>
        <w:t xml:space="preserve">Ce fichier se situe à un niveau intermédiaire entre la fiche « Par Article » (le détail d'un seul code pour un seul jour) et le rapport mensuel « Coût Global par Site » : il consolide plusieurs fiches « Par Article » d'une même journée, et sa propre consolidation sur une période alimente le rapport mensuel.</w:t>
      </w:r>
    </w:p>
    <w:p>
      <w:pPr>
        <w:pStyle w:val="Heading1"/>
        <w:spacing w:after="150" w:before="300"/>
      </w:pPr>
      <w:r>
        <w:t xml:space="preserve">2. Variables brutes (issues du fichier)</w:t>
      </w:r>
    </w:p>
    <w:p>
      <w:pPr>
        <w:pStyle w:val="Heading2"/>
        <w:spacing w:after="120" w:before="240"/>
      </w:pPr>
      <w:r>
        <w:t xml:space="preserve">2.1 Bloc réception poisson (famille du jour)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300"/>
        <w:gridCol w:w="4850"/>
      </w:tblGrid>
      <w:tr>
        <w:trPr>
          <w:tblHeader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Unité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Poisson (famille)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Famille/espèce de poisson traitée ce jour (ex : Caballa).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Qte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(quantité)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kg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Quantité totale de poisson entier réceptionnée/utilisée ce jour (ex : 17.809).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Filet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(quantité)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kg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Quantité totale de filet obtenue après parage (ex : 5.776).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Rdt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(%)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Rendement filet global du jour (variable calculée, voir §3).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 Moy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(montant)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Dh/kg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Prix unitaire moyen d'achat du poisson du jour, tous lots confondus (ex : 9,89).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 Jour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(%)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Part de cette réception dans l'activité du jour (ex : 24,1 %).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%prd C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(%)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Taux de production conforme / « cuite » (ex : 88,0 %).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%prd R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(%)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Taux de rendement réel par rapport à la référence (ex : 94,6 %).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2.2 Bloc main d'œuvre (MOD) — total jour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300"/>
        <w:gridCol w:w="4850"/>
      </w:tblGrid>
      <w:tr>
        <w:trPr>
          <w:tblHeader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Unité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 O D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(montant)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Dhs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Main d'œuvre directe totale du jour, tous articles confondus (ex : 96.405).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 Mg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(montant)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Dhs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Main d'œuvre / mélange (« Mg ») totale du jour (ex : 58.620).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Mod/C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(indice)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Indice de main d'œuvre directe rapporté à la caisse/production (ex : 102,3).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Mg/C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(indice)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Indice mélange rapporté à la caisse/production (ex : 11,1).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2.3 Table des lots de poisson achetés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300"/>
        <w:gridCol w:w="4850"/>
      </w:tblGrid>
      <w:tr>
        <w:trPr>
          <w:tblHeader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Unité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 (fournisseur/bateau)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Texte (identifiant)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 du fournisseur ou du bateau ayant livré le lot (ex : CAOMA, CAMAT).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Partie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Texte (identifiant)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Numéro de lot de la partie livrée (ex : 1110/26).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P.U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(montant)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Dh/kg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Prix unitaire d'achat du lot (ex : 9,8).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Qte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(quantité)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kg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Quantité achetée pour ce lot (ex : 7.967).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2.4 Table de rendement par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300"/>
        <w:gridCol w:w="4850"/>
      </w:tblGrid>
      <w:tr>
        <w:trPr>
          <w:tblHeader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Unité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Texte (identifiant)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 article produit ce jour (ex : 125FCT4HD).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 Prod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(%)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Part de ce code dans la production totale du jour (ex : 88 %).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Égoutté Std / Reel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(poids)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Poids égoutté standard et réel par unité (ex : Std 90 / Réel 101).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Poids brut de référence de l'unité (ex : 310).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 Casse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(%)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Taux de casse/rebut (ex : 0,5 %).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Huile Reel / Std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(montant)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Dh/kg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Coût huile réel et standard par unité produite (ex : 2,29 / 2,16).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 Reel / Std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(indice)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Indice main d'œuvre directe réel et standard (ex : 102 / 103).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Mg Reel / Std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(indice)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Indice mélange réel et standard (ex : 11,1 / 12,5).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 FAB Reel / Std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Numérique (montant)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Dh/kg</w:t>
            </w:r>
          </w:p>
        </w:tc>
        <w:tc>
          <w:tcPr>
            <w:tcW w:type="dxa" w:w="4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Frais de fabrication réel et standard par unité (ex : 0,47 / 0,59).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2.5 Table des coûts totaux par code (Serie / Code, en Dhs)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71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Serie</w:t>
            </w:r>
          </w:p>
        </w:tc>
        <w:tc>
          <w:tcPr>
            <w:tcW w:type="dxa" w:w="71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Numéro de série de production du jour (ex : A26060).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</w:t>
            </w:r>
          </w:p>
        </w:tc>
        <w:tc>
          <w:tcPr>
            <w:tcW w:type="dxa" w:w="71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 article (ex : 125FCT4HD).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B.Pdtes</w:t>
            </w:r>
          </w:p>
        </w:tc>
        <w:tc>
          <w:tcPr>
            <w:tcW w:type="dxa" w:w="71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Base de production du code, en kg.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Poisson, Boits, Huile, Etui, MOd&amp;Mg, F.Fab, F.Fin, Port, G.Fin</w:t>
            </w:r>
          </w:p>
        </w:tc>
        <w:tc>
          <w:tcPr>
            <w:tcW w:type="dxa" w:w="71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Coûts totaux par poste, en Dhs, pour ce code (mêmes postes que la fiche « Par Article »).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C.D</w:t>
            </w:r>
          </w:p>
        </w:tc>
        <w:tc>
          <w:tcPr>
            <w:tcW w:type="dxa" w:w="71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Coût Direct total du code, en Dhs (variable calculée, voir §3).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MB / %MB</w:t>
            </w:r>
          </w:p>
        </w:tc>
        <w:tc>
          <w:tcPr>
            <w:tcW w:type="dxa" w:w="71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Marge Brute totale du code, en Dhs, et son taux (variables calculées, voir §3).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CF</w:t>
            </w:r>
          </w:p>
        </w:tc>
        <w:tc>
          <w:tcPr>
            <w:tcW w:type="dxa" w:w="71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Charges fixes totales allouées au code, en Dhs.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MN / %MN</w:t>
            </w:r>
          </w:p>
        </w:tc>
        <w:tc>
          <w:tcPr>
            <w:tcW w:type="dxa" w:w="71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Marge Nette totale du code, en Dhs, et son taux (variables calculées, voir §3).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2.6 Totaux du jour et table des coûts unitaires par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71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</w:t>
            </w:r>
          </w:p>
        </w:tc>
        <w:tc>
          <w:tcPr>
            <w:tcW w:type="dxa" w:w="71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Quantité totale produite tous codes confondus, en kg, et nombre de caisses (ex : 60.083 kg / 1.127 caisses).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PMV jour</w:t>
            </w:r>
          </w:p>
        </w:tc>
        <w:tc>
          <w:tcPr>
            <w:tcW w:type="dxa" w:w="71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Chiffre d'affaires total du jour, en Dhs (variable calculée, voir §3).</w:t>
            </w:r>
          </w:p>
        </w:tc>
      </w:tr>
      <w:t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 (table unitaire)</w:t>
            </w:r>
          </w:p>
        </w:tc>
        <w:tc>
          <w:tcPr>
            <w:tcW w:type="dxa" w:w="71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 article, décliné en coût unitaire (Dh/kg) : Poisson, Huile, Boite, Etui, Mod, Mg, F Fab, F Fin, C.D, P V, M B, %Mb, CH F, %Cf, M N, %M N — mêmes définitions que dans la fiche « Par Article ».</w:t>
            </w:r>
          </w:p>
        </w:tc>
      </w:tr>
    </w:tbl>
    <w:p>
      <w:pPr>
        <w:pStyle w:val="Heading1"/>
        <w:spacing w:after="150" w:before="300"/>
      </w:pPr>
      <w:r>
        <w:t xml:space="preserve">3. Variables calculées et leurs formules</w:t>
      </w:r>
    </w:p>
    <w:p>
      <w:pPr>
        <w:spacing w:after="160"/>
      </w:pPr>
      <w:r>
        <w:rPr>
          <w:sz w:val="21"/>
          <w:szCs w:val="21"/>
        </w:rPr>
        <w:t xml:space="preserve">Formules retrouvées et vérifiées par recoupement des valeurs du fichier (exemples : réception poisson du jour, code 125FCT4HD, et totaux du jour).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50"/>
      </w:tblGrid>
      <w:tr>
        <w:trPr>
          <w:tblHeader/>
        </w:trP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Formule de calcul</w:t>
            </w:r>
          </w:p>
        </w:tc>
        <w:tc>
          <w:tcPr>
            <w:tcW w:type="dxa" w:w="30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Vérification sur l'exemple</w:t>
            </w:r>
          </w:p>
        </w:tc>
      </w:tr>
      <w:t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Rdt (rendement filet)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Rdt = Filet / Qte × 100</w:t>
            </w:r>
          </w:p>
        </w:tc>
        <w:tc>
          <w:tcPr>
            <w:tcW w:type="dxa" w:w="30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5.776 / 17.809 ≈ 32,4 %</w:t>
            </w:r>
          </w:p>
        </w:tc>
      </w:tr>
      <w:t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C.D par code (Dh/kg)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C.D = Poisson + Huile + Boite + Etui + Mod + Mg + F Fab + F Fin</w:t>
            </w:r>
          </w:p>
        </w:tc>
        <w:tc>
          <w:tcPr>
            <w:tcW w:type="dxa" w:w="30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125FCT4HD : 3,07+0,28+1,19+0,27+1,06+0,11+0,47+0,36 ≈ 6,90</w:t>
            </w:r>
          </w:p>
        </w:tc>
      </w:tr>
      <w:t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 B par code (Dh/kg)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 B = P V − C.D</w:t>
            </w:r>
          </w:p>
        </w:tc>
        <w:tc>
          <w:tcPr>
            <w:tcW w:type="dxa" w:w="30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9,78 − 6,90 = 2,88</w:t>
            </w:r>
          </w:p>
        </w:tc>
      </w:tr>
      <w:t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%Mb par code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%Mb = M B / P V × 100</w:t>
            </w:r>
          </w:p>
        </w:tc>
        <w:tc>
          <w:tcPr>
            <w:tcW w:type="dxa" w:w="30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2,88 / 9,78 ≈ 29,4 %</w:t>
            </w:r>
          </w:p>
        </w:tc>
      </w:tr>
      <w:t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 N par code (Dh/kg)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 N = M B − CH F</w:t>
            </w:r>
          </w:p>
        </w:tc>
        <w:tc>
          <w:tcPr>
            <w:tcW w:type="dxa" w:w="30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2,88 − 0,46 = 2,42</w:t>
            </w:r>
          </w:p>
        </w:tc>
      </w:tr>
      <w:t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%MN par code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%MN = M N / P V × 100 (= %Mb − %Cf)</w:t>
            </w:r>
          </w:p>
        </w:tc>
        <w:tc>
          <w:tcPr>
            <w:tcW w:type="dxa" w:w="30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2,42 / 9,78 ≈ 24,7 %</w:t>
            </w:r>
          </w:p>
        </w:tc>
      </w:tr>
      <w:t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C.D par code, en Dhs (table Serie/Code)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C.D = Poisson+Boits+Huile+Etui+MOd&amp;Mg+F.Fab+F.Fin+Port+G.Fin</w:t>
            </w:r>
          </w:p>
        </w:tc>
        <w:tc>
          <w:tcPr>
            <w:tcW w:type="dxa" w:w="30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125FCT4HD : 154.968+60.410+14.365+13.870+53.543+5.737+23.827+18.101+4.038 = 348.859</w:t>
            </w:r>
          </w:p>
        </w:tc>
      </w:tr>
      <w:t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MB / MN par code, en Dhs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MB = PMV_code − C.D ; MN = MB − CF</w:t>
            </w:r>
          </w:p>
        </w:tc>
        <w:tc>
          <w:tcPr>
            <w:tcW w:type="dxa" w:w="30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MB=145.364 ; CF=23.130 ; MN=145.364−23.130=122.234</w:t>
            </w:r>
          </w:p>
        </w:tc>
      </w:tr>
      <w:t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PMV jour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PMV jour = C.D jour + MB jour = Σ PMV_code</w:t>
            </w:r>
          </w:p>
        </w:tc>
        <w:tc>
          <w:tcPr>
            <w:tcW w:type="dxa" w:w="30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390.574 + 141.769 = 532.343</w:t>
            </w:r>
          </w:p>
        </w:tc>
      </w:tr>
      <w:t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MN jour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MN jour = MB jour − CF jour</w:t>
            </w:r>
          </w:p>
        </w:tc>
        <w:tc>
          <w:tcPr>
            <w:tcW w:type="dxa" w:w="30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141.769 − 24.471 = 117.298</w:t>
            </w:r>
          </w:p>
        </w:tc>
      </w:tr>
      <w:t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Taux de marge sur coût direct (jour)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= MB jour / C.D jour × 100</w:t>
            </w:r>
          </w:p>
        </w:tc>
        <w:tc>
          <w:tcPr>
            <w:tcW w:type="dxa" w:w="30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141.769 / 390.574 ≈ 36,3 %</w:t>
            </w:r>
          </w:p>
        </w:tc>
      </w:tr>
      <w:t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Taux de charges fixes sur coût direct (jour)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= CF jour / C.D jour × 100</w:t>
            </w:r>
          </w:p>
        </w:tc>
        <w:tc>
          <w:tcPr>
            <w:tcW w:type="dxa" w:w="30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24.471 / 390.574 ≈ 6,3 %</w:t>
            </w:r>
          </w:p>
        </w:tc>
      </w:tr>
      <w:t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Taux de marge nette sur coût direct (jour)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= MN jour / C.D jour × 100</w:t>
            </w:r>
          </w:p>
        </w:tc>
        <w:tc>
          <w:tcPr>
            <w:tcW w:type="dxa" w:w="30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117.298 / 390.574 ≈ 30,0 %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Remarque : les trois derniers taux (36,3 % / 6,3 % / 30,0 %) sont calculés par rapport au Coût Direct total du jour, et non par rapport au PMV comme le %MB / %MN habituels — ce sont des « taux de marque » plutôt que des « taux de marge sur ventes ».</w:t>
      </w:r>
    </w:p>
    <w:p>
      <w:pPr>
        <w:pStyle w:val="Heading1"/>
        <w:spacing w:after="150" w:before="300"/>
      </w:pPr>
      <w:r>
        <w:t xml:space="preserve">4. Relations de cohérence entre variables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50"/>
      </w:tblGrid>
      <w:tr>
        <w:trPr>
          <w:tblHeader/>
        </w:trPr>
        <w:tc>
          <w:tcPr>
            <w:tcW w:type="dxa" w:w="4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Relation</w:t>
            </w:r>
          </w:p>
        </w:tc>
        <w:tc>
          <w:tcPr>
            <w:tcW w:type="dxa" w:w="47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4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PMV jour = Σ PMV_code</w:t>
            </w:r>
          </w:p>
        </w:tc>
        <w:tc>
          <w:tcPr>
            <w:tcW w:type="dxa" w:w="47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 chiffre d'affaires du jour est la somme des chiffres d'affaires de chaque code produit.</w:t>
            </w:r>
          </w:p>
        </w:tc>
      </w:tr>
      <w:tr>
        <w:tc>
          <w:tcPr>
            <w:tcW w:type="dxa" w:w="4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C.D jour = Σ C.D_code</w:t>
            </w:r>
          </w:p>
        </w:tc>
        <w:tc>
          <w:tcPr>
            <w:tcW w:type="dxa" w:w="47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 coût direct du jour est la somme des coûts directs de chaque code.</w:t>
            </w:r>
          </w:p>
        </w:tc>
      </w:tr>
      <w:tr>
        <w:tc>
          <w:tcPr>
            <w:tcW w:type="dxa" w:w="4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MB jour = PMV jour − C.D jour = Σ MB_code</w:t>
            </w:r>
          </w:p>
        </w:tc>
        <w:tc>
          <w:tcPr>
            <w:tcW w:type="dxa" w:w="47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marge brute du jour se décompose comme au niveau global, et comme la somme des marges par code.</w:t>
            </w:r>
          </w:p>
        </w:tc>
      </w:tr>
      <w:tr>
        <w:tc>
          <w:tcPr>
            <w:tcW w:type="dxa" w:w="4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MN jour = MB jour − CF jour</w:t>
            </w:r>
          </w:p>
        </w:tc>
        <w:tc>
          <w:tcPr>
            <w:tcW w:type="dxa" w:w="47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marge nette du jour est la marge brute diminuée des charges fixes du jour.</w:t>
            </w:r>
          </w:p>
        </w:tc>
      </w:tr>
      <w:tr>
        <w:tc>
          <w:tcPr>
            <w:tcW w:type="dxa" w:w="4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Valeur totale par code (table Serie/Code) ≈ Coût unitaire (table CODE) × B.Pdtes</w:t>
            </w:r>
          </w:p>
        </w:tc>
        <w:tc>
          <w:tcPr>
            <w:tcW w:type="dxa" w:w="47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 deux tableaux de coûts par code (en Dhs et en Dh/kg) sont liés par la quantité produite du code.</w:t>
            </w:r>
          </w:p>
        </w:tc>
      </w:tr>
      <w:tr>
        <w:tc>
          <w:tcPr>
            <w:tcW w:type="dxa" w:w="4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Fiches « Par Article » du jour ⊂ Résumé du jour ⊂ Coût Global par Site (mensuel)</w:t>
            </w:r>
          </w:p>
        </w:tc>
        <w:tc>
          <w:tcPr>
            <w:tcW w:type="dxa" w:w="47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Niveau d'agrégation croissant : article/jour → tous articles/jour → tous articles/mois.</w:t>
            </w:r>
          </w:p>
        </w:tc>
      </w:tr>
    </w:tbl>
    <w:p>
      <w:pPr>
        <w:pStyle w:val="Heading1"/>
        <w:spacing w:after="150" w:before="300"/>
      </w:pPr>
      <w:r>
        <w:t xml:space="preserve">5. Feature engineering possible</w:t>
      </w:r>
    </w:p>
    <w:p>
      <w:pPr>
        <w:spacing w:after="160"/>
      </w:pPr>
      <w:r>
        <w:rPr>
          <w:sz w:val="21"/>
          <w:szCs w:val="21"/>
        </w:rPr>
        <w:t xml:space="preserve">Pistes de variables dérivées utiles pour le suivi de production ou un modèle statistique/ML à partir de ce résumé journalier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Répartition en % de chaque code dans le C.D, la MB et la PMV du jour (poids relatif de chaque référence).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Écarts Réel/Standard par code sur Huile, MOD, Mg et Fr FAB, comme indicateurs de dérive de production à l'échelle du jour.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Suivi temporel du rendement filet (Rdt) et du prix unitaire moyen d'achat (PU Moy) pour détecter une saisonnalité ou une dérive matière première.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Coût moyen pondéré du poisson du jour à partir des lots (Code/Partie/P.U/Qte), comparé au PU Moy affiché.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Consolidation des résumés journaliers sur une période (semaine, mois) pour reconstituer les variables du fichier mensuel « Coût Global par Site ».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Détection d'anomalie : code(s) à %MN négatif (ex : 125MCDSTPM, −13 %) comme signal de produit déficitaire du jour.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Indicateur binaire « code déficitaire » vs « code rentable », utile pour un tableau de bord quotidien de suivi de rentabilité.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2026-08-09T19:43:45.469Z</dcterms:created>
  <dcterms:modified xsi:type="dcterms:W3CDTF">2026-08-09T19:43:45.469Z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