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b7653d4adb6d33f4888b665195329b5e533d4a"/>
    <w:p>
      <w:pPr>
        <w:pStyle w:val="Heading1"/>
      </w:pPr>
      <w:r>
        <w:t xml:space="preserve">Глава 4. Тестирование и проверка работоспособности</w:t>
      </w:r>
    </w:p>
    <w:p>
      <w:pPr>
        <w:pStyle w:val="FirstParagraph"/>
      </w:pPr>
      <w:r>
        <w:t xml:space="preserve">Для проверки правильной работоспособности приложения необходимо провести тестирование.</w:t>
      </w:r>
    </w:p>
    <w:p>
      <w:pPr>
        <w:pStyle w:val="BodyText"/>
      </w:pPr>
      <w:r>
        <w:rPr>
          <w:b/>
          <w:bCs/>
        </w:rPr>
        <w:t xml:space="preserve">Тестирование</w:t>
      </w:r>
      <w:r>
        <w:t xml:space="preserve"> </w:t>
      </w:r>
      <w:r>
        <w:t xml:space="preserve">— одна из техник контроля качества, включающая активности по планированию работ, проектированию тестов, выполнению тестирования и анализу полученных результатов.</w:t>
      </w:r>
    </w:p>
    <w:p>
      <w:pPr>
        <w:pStyle w:val="BodyText"/>
      </w:pPr>
      <w:r>
        <w:rPr>
          <w:b/>
          <w:bCs/>
        </w:rPr>
        <w:t xml:space="preserve">Тестирование программного обеспечения</w:t>
      </w:r>
      <w:r>
        <w:t xml:space="preserve"> </w:t>
      </w:r>
      <w:r>
        <w:t xml:space="preserve">— проверка соответствия между реальным и ожидаемым поведением программы, осуществляемая на конечном наборе тестов, выбранном определённым образом.</w:t>
      </w:r>
    </w:p>
    <w:p>
      <w:pPr>
        <w:pStyle w:val="BodyText"/>
      </w:pPr>
      <w:r>
        <w:t xml:space="preserve">В ходе выполнения курсовой работы было проведено</w:t>
      </w:r>
      <w:r>
        <w:t xml:space="preserve"> </w:t>
      </w:r>
      <w:r>
        <w:rPr>
          <w:b/>
          <w:bCs/>
        </w:rPr>
        <w:t xml:space="preserve">функциональное</w:t>
      </w:r>
      <w:r>
        <w:t xml:space="preserve">,</w:t>
      </w:r>
      <w:r>
        <w:t xml:space="preserve"> </w:t>
      </w:r>
      <w:r>
        <w:rPr>
          <w:b/>
          <w:bCs/>
        </w:rPr>
        <w:t xml:space="preserve">интеграционное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модульное</w:t>
      </w:r>
      <w:r>
        <w:t xml:space="preserve"> </w:t>
      </w:r>
      <w:r>
        <w:t xml:space="preserve">тестирование платформы электронного обучения «Адаптационный курс для сотрудников ритуальной компании» с помощью</w:t>
      </w:r>
      <w:r>
        <w:t xml:space="preserve"> </w:t>
      </w:r>
      <w:r>
        <w:rPr>
          <w:b/>
          <w:bCs/>
        </w:rPr>
        <w:t xml:space="preserve">Test-case</w:t>
      </w:r>
      <w:r>
        <w:t xml:space="preserve"> </w:t>
      </w:r>
      <w:r>
        <w:t xml:space="preserve">(тестовых случаев) и автоматизированных юнит-тестов Python.</w:t>
      </w:r>
    </w:p>
    <w:p>
      <w:pPr>
        <w:pStyle w:val="BodyText"/>
      </w:pPr>
      <w:r>
        <w:rPr>
          <w:b/>
          <w:bCs/>
        </w:rPr>
        <w:t xml:space="preserve">Тестовый случай (Test Case)</w:t>
      </w:r>
      <w:r>
        <w:t xml:space="preserve"> </w:t>
      </w:r>
      <w:r>
        <w:t xml:space="preserve">— артефакт, описывающий совокупность шагов, конкретных условий и параметров, необходимых для проверки реализации тестируемой функции или её части.</w:t>
      </w:r>
    </w:p>
    <w:p>
      <w:r>
        <w:pict>
          <v:rect style="width:0;height:1.5pt" o:hralign="center" o:hrstd="t" o:hr="t"/>
        </w:pict>
      </w:r>
    </w:p>
    <w:bookmarkStart w:id="11" w:name="окружение-и-методика-тестирования"/>
    <w:p>
      <w:pPr>
        <w:pStyle w:val="Heading2"/>
      </w:pPr>
      <w:r>
        <w:t xml:space="preserve">Окружение и методика тестирования</w:t>
      </w:r>
    </w:p>
    <w:p>
      <w:pPr>
        <w:pStyle w:val="FirstParagraph"/>
      </w:pPr>
      <w:r>
        <w:t xml:space="preserve">Тестирование выполнялось в следующем окружении: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Браузер</w:t>
            </w:r>
          </w:p>
        </w:tc>
        <w:tc>
          <w:tcPr/>
          <w:p>
            <w:pPr>
              <w:pStyle w:val="Compact"/>
            </w:pPr>
            <w:r>
              <w:t xml:space="preserve">Google Chrome / Microsoft Edge (актуальная версия)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http://127.0.0.1:8000</w:t>
            </w:r>
            <w:r>
              <w:t xml:space="preserve"> </w:t>
            </w:r>
            <w:r>
              <w:t xml:space="preserve">(Python</w:t>
            </w:r>
            <w:r>
              <w:t xml:space="preserve"> </w:t>
            </w:r>
            <w:r>
              <w:rPr>
                <w:rStyle w:val="VerbatimChar"/>
              </w:rPr>
              <w:t xml:space="preserve">http.server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http://127.0.0.1:5000</w:t>
            </w:r>
            <w:r>
              <w:t xml:space="preserve"> </w:t>
            </w:r>
            <w:r>
              <w:t xml:space="preserve">(Flask)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СУБД</w:t>
            </w:r>
          </w:p>
        </w:tc>
        <w:tc>
          <w:tcPr/>
          <w:p>
            <w:pPr>
              <w:pStyle w:val="Compact"/>
            </w:pPr>
            <w:r>
              <w:t xml:space="preserve">Microsoft SQL Server, база</w:t>
            </w:r>
            <w:r>
              <w:t xml:space="preserve"> </w:t>
            </w:r>
            <w:r>
              <w:rPr>
                <w:rStyle w:val="VerbatimChar"/>
              </w:rPr>
              <w:t xml:space="preserve">LearningPlatformDB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</w:tr>
    </w:tbl>
    <w:p>
      <w:pPr>
        <w:pStyle w:val="BodyText"/>
      </w:pPr>
      <w:r>
        <w:t xml:space="preserve">Полный комплект тест-кейсов с идентификаторами TC-* оформлен в документе</w:t>
      </w:r>
      <w:r>
        <w:t xml:space="preserve"> </w:t>
      </w:r>
      <w:hyperlink r:id="rId9">
        <w:r>
          <w:rPr>
            <w:rStyle w:val="Hyperlink"/>
          </w:rPr>
          <w:t xml:space="preserve">Тест-кейсы</w:t>
        </w:r>
      </w:hyperlink>
      <w:r>
        <w:t xml:space="preserve"> </w:t>
      </w:r>
      <w:r>
        <w:t xml:space="preserve">(версия 1.3). Ниже приведены шаблон оформления, сводная таблица покрытия и</w:t>
      </w:r>
      <w:r>
        <w:t xml:space="preserve"> </w:t>
      </w:r>
      <w:r>
        <w:rPr>
          <w:b/>
          <w:bCs/>
        </w:rPr>
        <w:t xml:space="preserve">10 репрезентативных тестовых случаев</w:t>
      </w:r>
      <w:r>
        <w:t xml:space="preserve"> </w:t>
      </w:r>
      <w:r>
        <w:t xml:space="preserve">(Таблицы 17–25), отражающих ключевые сценарии по всем ролям и модулям LMS, включая проверку мер безопасности из</w:t>
      </w:r>
      <w:r>
        <w:t xml:space="preserve"> </w:t>
      </w:r>
      <w:hyperlink r:id="rId10">
        <w:r>
          <w:rPr>
            <w:rStyle w:val="Hyperlink"/>
          </w:rPr>
          <w:t xml:space="preserve">Главы 3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prep["1. Подготовка"]</w:t>
      </w:r>
      <w:r>
        <w:br/>
      </w:r>
      <w:r>
        <w:rPr>
          <w:rStyle w:val="VerbatimChar"/>
        </w:rPr>
        <w:t xml:space="preserve">        DB[(SQL Server)]</w:t>
      </w:r>
      <w:r>
        <w:br/>
      </w:r>
      <w:r>
        <w:rPr>
          <w:rStyle w:val="VerbatimChar"/>
        </w:rPr>
        <w:t xml:space="preserve">        BE[Backend :5000]</w:t>
      </w:r>
      <w:r>
        <w:br/>
      </w:r>
      <w:r>
        <w:rPr>
          <w:rStyle w:val="VerbatimChar"/>
        </w:rPr>
        <w:t xml:space="preserve">        FE[Frontend :8000]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run["2. Выполнение"]</w:t>
      </w:r>
      <w:r>
        <w:br/>
      </w:r>
      <w:r>
        <w:rPr>
          <w:rStyle w:val="VerbatimChar"/>
        </w:rPr>
        <w:t xml:space="preserve">        SM[Smoke-тесты\nTC-AUTH-001, TC-COURSE-001]</w:t>
      </w:r>
      <w:r>
        <w:br/>
      </w:r>
      <w:r>
        <w:rPr>
          <w:rStyle w:val="VerbatimChar"/>
        </w:rPr>
        <w:t xml:space="preserve">        FN[Функциональные\nP1 → P2 → P3]</w:t>
      </w:r>
      <w:r>
        <w:br/>
      </w:r>
      <w:r>
        <w:rPr>
          <w:rStyle w:val="VerbatimChar"/>
        </w:rPr>
        <w:t xml:space="preserve">        UT[Юнит-тесты\ntest_course_progress.py]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res["3. Анализ"]</w:t>
      </w:r>
      <w:r>
        <w:br/>
      </w:r>
      <w:r>
        <w:rPr>
          <w:rStyle w:val="VerbatimChar"/>
        </w:rPr>
        <w:t xml:space="preserve">        REP[Протокол результатов]</w:t>
      </w:r>
      <w:r>
        <w:br/>
      </w:r>
      <w:r>
        <w:rPr>
          <w:rStyle w:val="VerbatimChar"/>
        </w:rPr>
        <w:t xml:space="preserve">        FIX[Исправление дефектов]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prep --&gt; run --&gt; res</w:t>
      </w:r>
      <w:r>
        <w:br/>
      </w:r>
      <w:r>
        <w:rPr>
          <w:rStyle w:val="VerbatimChar"/>
        </w:rPr>
        <w:t xml:space="preserve">    FIX -.-&gt; run</w:t>
      </w:r>
    </w:p>
    <w:p>
      <w:r>
        <w:pict>
          <v:rect style="width:0;height:1.5pt" o:hralign="center" o:hrstd="t" o:hr="t"/>
        </w:pict>
      </w:r>
    </w:p>
    <w:bookmarkEnd w:id="11"/>
    <w:bookmarkStart w:id="14" w:name="шаблон-тестового-случая"/>
    <w:p>
      <w:pPr>
        <w:pStyle w:val="Heading2"/>
      </w:pPr>
      <w:r>
        <w:t xml:space="preserve">Шаблон тестового случая</w:t>
      </w:r>
    </w:p>
    <w:bookmarkStart w:id="12" w:name="таблица-14-шаблон-тестового-случая"/>
    <w:p>
      <w:pPr>
        <w:pStyle w:val="Heading3"/>
      </w:pPr>
      <w:r>
        <w:t xml:space="preserve">Таблица 14 – Шаблон тестового случая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1939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 (успешно/завершилось ошибкой)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</w:tr>
    </w:tbl>
    <w:bookmarkEnd w:id="12"/>
    <w:bookmarkStart w:id="13" w:name="X9157ab5a6f93af00de2f43ed15ed5b91df06aa7"/>
    <w:p>
      <w:pPr>
        <w:pStyle w:val="Heading3"/>
      </w:pPr>
      <w:r>
        <w:t xml:space="preserve">Таблица 15 – Расшифровка шаблона тестового случая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Уникальный ID для каждого тестового примера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тестового случая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Краткое описание теста</w:t>
            </w:r>
          </w:p>
        </w:tc>
        <w:tc>
          <w:tcPr/>
          <w:p>
            <w:pPr>
              <w:pStyle w:val="Compact"/>
            </w:pPr>
            <w:r>
              <w:t xml:space="preserve">Описание того, что должен достичь тест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Перечисление выполненных этапов для достижения цели пошагово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Описание результата, который должен появиться в конце выполнения необходимых этапов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Описание результата после выполнения необходимых этапов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 (успешно/завершилось ошибкой)</w:t>
            </w:r>
          </w:p>
        </w:tc>
        <w:tc>
          <w:tcPr/>
          <w:p>
            <w:pPr>
              <w:pStyle w:val="Compact"/>
            </w:pPr>
            <w:r>
              <w:t xml:space="preserve">Вывод о том, достигнут ли ожидаемый результат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6" w:name="сводная-таблица-тест-кейсов-lms"/>
    <w:p>
      <w:pPr>
        <w:pStyle w:val="Heading2"/>
      </w:pPr>
      <w:r>
        <w:t xml:space="preserve">Сводная таблица тест-кейсов LMS</w:t>
      </w:r>
    </w:p>
    <w:bookmarkStart w:id="15" w:name="X2732bf4c158a50700908d1453d64f62c8d1ca3c"/>
    <w:p>
      <w:pPr>
        <w:pStyle w:val="Heading3"/>
      </w:pPr>
      <w:r>
        <w:t xml:space="preserve">Таблица 16 – Перечень тестовых случаев по модулям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523"/>
        <w:gridCol w:w="1675"/>
        <w:gridCol w:w="761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Успешная авторизация обучающегося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Успешная авторизация эксперта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Успешная авторизация администратора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Отказ при неверном пароле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Редирект неавторизованного пользователя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Запрет доступа к чужим страницам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Корректный выход из системы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TC-ASGN-001</w:t>
            </w:r>
          </w:p>
        </w:tc>
        <w:tc>
          <w:tcPr/>
          <w:p>
            <w:pPr>
              <w:pStyle w:val="Compact"/>
            </w:pPr>
            <w:r>
              <w:t xml:space="preserve">Назначения</w:t>
            </w:r>
          </w:p>
        </w:tc>
        <w:tc>
          <w:tcPr/>
          <w:p>
            <w:pPr>
              <w:pStyle w:val="Compact"/>
            </w:pPr>
            <w:r>
              <w:t xml:space="preserve">Назначение курса обучающемуся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F, 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TC-ASGN-002</w:t>
            </w:r>
          </w:p>
        </w:tc>
        <w:tc>
          <w:tcPr/>
          <w:p>
            <w:pPr>
              <w:pStyle w:val="Compact"/>
            </w:pPr>
            <w:r>
              <w:t xml:space="preserve">Назначения</w:t>
            </w:r>
          </w:p>
        </w:tc>
        <w:tc>
          <w:tcPr/>
          <w:p>
            <w:pPr>
              <w:pStyle w:val="Compact"/>
            </w:pPr>
            <w:r>
              <w:t xml:space="preserve">Запрет дублирующего назначения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TC-COURSE-001</w:t>
            </w:r>
          </w:p>
        </w:tc>
        <w:tc>
          <w:tcPr/>
          <w:p>
            <w:pPr>
              <w:pStyle w:val="Compact"/>
            </w:pPr>
            <w:r>
              <w:t xml:space="preserve">Курс</w:t>
            </w:r>
          </w:p>
        </w:tc>
        <w:tc>
          <w:tcPr/>
          <w:p>
            <w:pPr>
              <w:pStyle w:val="Compact"/>
            </w:pPr>
            <w:r>
              <w:t xml:space="preserve">Запуск курса «Безопасность»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F, 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TC-COURSE-002</w:t>
            </w:r>
          </w:p>
        </w:tc>
        <w:tc>
          <w:tcPr/>
          <w:p>
            <w:pPr>
              <w:pStyle w:val="Compact"/>
            </w:pPr>
            <w:r>
              <w:t xml:space="preserve">Курс</w:t>
            </w:r>
          </w:p>
        </w:tc>
        <w:tc>
          <w:tcPr/>
          <w:p>
            <w:pPr>
              <w:pStyle w:val="Compact"/>
            </w:pPr>
            <w:r>
              <w:t xml:space="preserve">Блокировка «Далее» до интерактивов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TC-COURSE-003</w:t>
            </w:r>
          </w:p>
        </w:tc>
        <w:tc>
          <w:tcPr/>
          <w:p>
            <w:pPr>
              <w:pStyle w:val="Compact"/>
            </w:pPr>
            <w:r>
              <w:t xml:space="preserve">Курс</w:t>
            </w:r>
          </w:p>
        </w:tc>
        <w:tc>
          <w:tcPr/>
          <w:p>
            <w:pPr>
              <w:pStyle w:val="Compact"/>
            </w:pPr>
            <w:r>
              <w:t xml:space="preserve">Успешное прохождение квиза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TC-COURSE-005</w:t>
            </w:r>
          </w:p>
        </w:tc>
        <w:tc>
          <w:tcPr/>
          <w:p>
            <w:pPr>
              <w:pStyle w:val="Compact"/>
            </w:pPr>
            <w:r>
              <w:t xml:space="preserve">Курс</w:t>
            </w:r>
          </w:p>
        </w:tc>
        <w:tc>
          <w:tcPr/>
          <w:p>
            <w:pPr>
              <w:pStyle w:val="Compact"/>
            </w:pPr>
            <w:r>
              <w:t xml:space="preserve">Сохранение прогресса раздела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TC-COURSE-006</w:t>
            </w:r>
          </w:p>
        </w:tc>
        <w:tc>
          <w:tcPr/>
          <w:p>
            <w:pPr>
              <w:pStyle w:val="Compact"/>
            </w:pPr>
            <w:r>
              <w:t xml:space="preserve">Курс</w:t>
            </w:r>
          </w:p>
        </w:tc>
        <w:tc>
          <w:tcPr/>
          <w:p>
            <w:pPr>
              <w:pStyle w:val="Compact"/>
            </w:pPr>
            <w:r>
              <w:t xml:space="preserve">Статус passed/failed (порог 70 %)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TC-COURSE-007A</w:t>
            </w:r>
          </w:p>
        </w:tc>
        <w:tc>
          <w:tcPr/>
          <w:p>
            <w:pPr>
              <w:pStyle w:val="Compact"/>
            </w:pPr>
            <w:r>
              <w:t xml:space="preserve">Курс</w:t>
            </w:r>
          </w:p>
        </w:tc>
        <w:tc>
          <w:tcPr/>
          <w:p>
            <w:pPr>
              <w:pStyle w:val="Compact"/>
            </w:pPr>
            <w:r>
              <w:t xml:space="preserve">Выход с сохранением прогресса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TC-RATE-001</w:t>
            </w:r>
          </w:p>
        </w:tc>
        <w:tc>
          <w:tcPr/>
          <w:p>
            <w:pPr>
              <w:pStyle w:val="Compact"/>
            </w:pPr>
            <w:r>
              <w:t xml:space="preserve">Рейтинг</w:t>
            </w:r>
          </w:p>
        </w:tc>
        <w:tc>
          <w:tcPr/>
          <w:p>
            <w:pPr>
              <w:pStyle w:val="Compact"/>
            </w:pPr>
            <w:r>
              <w:t xml:space="preserve">Таблица рейтинга для обучающегося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TC-RATE-002</w:t>
            </w:r>
          </w:p>
        </w:tc>
        <w:tc>
          <w:tcPr/>
          <w:p>
            <w:pPr>
              <w:pStyle w:val="Compact"/>
            </w:pPr>
            <w:r>
              <w:t xml:space="preserve">Рейтинг</w:t>
            </w:r>
          </w:p>
        </w:tc>
        <w:tc>
          <w:tcPr/>
          <w:p>
            <w:pPr>
              <w:pStyle w:val="Compact"/>
            </w:pPr>
            <w:r>
              <w:t xml:space="preserve">Excel-отчёт экспертом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F, 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TC-ADM-USER-001</w:t>
            </w:r>
          </w:p>
        </w:tc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Добавление сотрудника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TC-ADM-USER-005</w:t>
            </w:r>
          </w:p>
        </w:tc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Создание без обязательных полей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TC-ADM-USER-009</w:t>
            </w:r>
          </w:p>
        </w:tc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Фото недопустимого формата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TC-ADM-COURSE-001</w:t>
            </w:r>
          </w:p>
        </w:tc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курса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TC-ADM-COURSE-007</w:t>
            </w:r>
          </w:p>
        </w:tc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ZIP без учебного содержимого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TC-ADM-COURSE-004</w:t>
            </w:r>
          </w:p>
        </w:tc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Импорт SCORM-пакета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TC-ADM-RPT-001</w:t>
            </w:r>
          </w:p>
        </w:tc>
        <w:tc>
          <w:tcPr/>
          <w:p>
            <w:pPr>
              <w:pStyle w:val="Compact"/>
            </w:pPr>
            <w:r>
              <w:t xml:space="preserve">Безопасность / отчёты</w:t>
            </w:r>
          </w:p>
        </w:tc>
        <w:tc>
          <w:tcPr/>
          <w:p>
            <w:pPr>
              <w:pStyle w:val="Compact"/>
            </w:pPr>
            <w:r>
              <w:t xml:space="preserve">Excel-отчёт администратором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F, 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TC-ADM-UI-001</w:t>
            </w:r>
          </w:p>
        </w:tc>
        <w:tc>
          <w:tcPr/>
          <w:p>
            <w:pPr>
              <w:pStyle w:val="Compact"/>
            </w:pPr>
            <w:r>
              <w:t xml:space="preserve">Безопасность / UI</w:t>
            </w:r>
          </w:p>
        </w:tc>
        <w:tc>
          <w:tcPr/>
          <w:p>
            <w:pPr>
              <w:pStyle w:val="Compact"/>
            </w:pPr>
            <w:r>
              <w:t xml:space="preserve">Навигация администратора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TC-UI-001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Меню аккаунта под кнопкой ☰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TC-PROF-002</w:t>
            </w:r>
          </w:p>
        </w:tc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t xml:space="preserve">Запрет редактирования экспертом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TC-UNIT-001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Расчёт баллов course_progress.py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TC-UNIT-002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Манифест курса bezopasnost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Тест-кейсы §10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7" w:name="результаты-функционального-тестирования"/>
    <w:p>
      <w:pPr>
        <w:pStyle w:val="Heading2"/>
      </w:pPr>
      <w:r>
        <w:t xml:space="preserve">Результаты функционального тестирования</w:t>
      </w:r>
    </w:p>
    <w:p>
      <w:pPr>
        <w:pStyle w:val="FirstParagraph"/>
      </w:pPr>
      <w:r>
        <w:t xml:space="preserve">Ниже представлены детализированные тестовые случаи по образцу учебного шаблона (Таблицы 17–25). Идентификаторы</w:t>
      </w:r>
      <w:r>
        <w:t xml:space="preserve"> </w:t>
      </w:r>
      <w:r>
        <w:rPr>
          <w:b/>
          <w:bCs/>
        </w:rPr>
        <w:t xml:space="preserve">TC-</w:t>
      </w:r>
      <w:r>
        <w:t xml:space="preserve">* соответствуют полному описанию в</w:t>
      </w:r>
      <w:r>
        <w:t xml:space="preserve"> </w:t>
      </w:r>
      <w:hyperlink r:id="rId9">
        <w:r>
          <w:rPr>
            <w:rStyle w:val="Hyperlink"/>
          </w:rPr>
          <w:t xml:space="preserve">Тест-кейсы.md</w:t>
        </w:r>
      </w:hyperlink>
      <w:r>
        <w:t xml:space="preserve">.</w:t>
      </w:r>
    </w:p>
    <w:bookmarkStart w:id="17" w:name="X8ac25a77e4345d82e62513a218a41b349887b7f"/>
    <w:p>
      <w:pPr>
        <w:pStyle w:val="Heading3"/>
      </w:pPr>
      <w:r>
        <w:t xml:space="preserve">Таблица 17 – Тестовый случай 01 (TC-AUTH-004)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Отказ при неверном пароле</w:t>
            </w:r>
          </w:p>
        </w:tc>
        <w:tc>
          <w:tcPr/>
          <w:p>
            <w:pPr>
              <w:pStyle w:val="Compact"/>
            </w:pPr>
            <w:r>
              <w:t xml:space="preserve">Проверка отклонения входа при корректном логине и неверном пароле. Приоритет: P1. Тип: N.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Запустить backend и frontend.</w:t>
            </w:r>
            <w:r>
              <w:t xml:space="preserve">2. Открыть</w:t>
            </w:r>
            <w:r>
              <w:t xml:space="preserve"> </w:t>
            </w:r>
            <w:r>
              <w:rPr>
                <w:rStyle w:val="VerbatimChar"/>
              </w:rPr>
              <w:t xml:space="preserve">login.html</w:t>
            </w:r>
            <w:r>
              <w:t xml:space="preserve">.</w:t>
            </w:r>
            <w:r>
              <w:t xml:space="preserve">3. Ввести логин</w:t>
            </w:r>
            <w:r>
              <w:t xml:space="preserve"> </w:t>
            </w:r>
            <w:r>
              <w:rPr>
                <w:rStyle w:val="VerbatimChar"/>
              </w:rPr>
              <w:t xml:space="preserve">pkabkov@ra.ru</w:t>
            </w:r>
            <w:r>
              <w:t xml:space="preserve"> </w:t>
            </w:r>
            <w:r>
              <w:t xml:space="preserve">и пароль</w:t>
            </w:r>
            <w:r>
              <w:t xml:space="preserve"> </w:t>
            </w:r>
            <w:r>
              <w:rPr>
                <w:rStyle w:val="VerbatimChar"/>
              </w:rPr>
              <w:t xml:space="preserve">wrongpassword</w:t>
            </w:r>
            <w:r>
              <w:t xml:space="preserve">.</w:t>
            </w:r>
            <w:r>
              <w:t xml:space="preserve">4. Нажать «Войти».</w:t>
            </w:r>
          </w:p>
        </w:tc>
        <w:tc>
          <w:tcPr/>
          <w:p>
            <w:pPr>
              <w:pStyle w:val="Compact"/>
            </w:pPr>
            <w:r>
              <w:t xml:space="preserve">1. Отображается сообщение об ошибке авторизации.</w:t>
            </w:r>
            <w:r>
              <w:t xml:space="preserve">2. Пользователь остаётся на</w:t>
            </w:r>
            <w:r>
              <w:t xml:space="preserve"> </w:t>
            </w:r>
            <w:r>
              <w:rPr>
                <w:rStyle w:val="VerbatimChar"/>
              </w:rPr>
              <w:t xml:space="preserve">login.html</w:t>
            </w:r>
            <w:r>
              <w:t xml:space="preserve">.</w:t>
            </w:r>
            <w:r>
              <w:t xml:space="preserve">3. JWT не создаётся.</w:t>
            </w:r>
          </w:p>
        </w:tc>
        <w:tc>
          <w:tcPr/>
          <w:p>
            <w:pPr>
              <w:pStyle w:val="Compact"/>
            </w:pPr>
            <w:r>
              <w:t xml:space="preserve">Сообщение об ошибке отображается; редиректа нет; в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отсутствует токен.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</w:tbl>
    <w:bookmarkEnd w:id="17"/>
    <w:bookmarkStart w:id="18" w:name="X96703a0cbe9a2e39205b623244817e8273c7fb1"/>
    <w:p>
      <w:pPr>
        <w:pStyle w:val="Heading3"/>
      </w:pPr>
      <w:r>
        <w:t xml:space="preserve">Таблица 18 – Тестовый случай 02 (TC-AUTH-001)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Успешная авторизация обучающегося</w:t>
            </w:r>
          </w:p>
        </w:tc>
        <w:tc>
          <w:tcPr/>
          <w:p>
            <w:pPr>
              <w:pStyle w:val="Compact"/>
            </w:pPr>
            <w:r>
              <w:t xml:space="preserve">Проверка входа обучающегося с корректными учётными данными и перехода на стартовую страницу роли. Приоритет: P1. Тип: F.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Запустить проект.</w:t>
            </w:r>
            <w:r>
              <w:t xml:space="preserve">2. Ввести логин</w:t>
            </w:r>
            <w:r>
              <w:t xml:space="preserve"> </w:t>
            </w:r>
            <w:r>
              <w:rPr>
                <w:rStyle w:val="VerbatimChar"/>
              </w:rPr>
              <w:t xml:space="preserve">pkabkov@ra.ru</w:t>
            </w:r>
            <w:r>
              <w:t xml:space="preserve">, пароль</w:t>
            </w:r>
            <w:r>
              <w:t xml:space="preserve"> </w:t>
            </w:r>
            <w:r>
              <w:rPr>
                <w:rStyle w:val="VerbatimChar"/>
              </w:rPr>
              <w:t xml:space="preserve">petya</w:t>
            </w:r>
            <w:r>
              <w:t xml:space="preserve">.</w:t>
            </w:r>
            <w:r>
              <w:t xml:space="preserve">3. Нажать «Войти».</w:t>
            </w:r>
          </w:p>
        </w:tc>
        <w:tc>
          <w:tcPr/>
          <w:p>
            <w:pPr>
              <w:pStyle w:val="Compact"/>
            </w:pPr>
            <w:r>
              <w:t xml:space="preserve">1. Авторизация успешна.</w:t>
            </w:r>
            <w:r>
              <w:t xml:space="preserve">2. Редирект на</w:t>
            </w:r>
            <w:r>
              <w:t xml:space="preserve"> </w:t>
            </w:r>
            <w:r>
              <w:rPr>
                <w:rStyle w:val="VerbatimChar"/>
              </w:rPr>
              <w:t xml:space="preserve">instruction.html</w:t>
            </w:r>
            <w:r>
              <w:t xml:space="preserve">.</w:t>
            </w:r>
            <w:r>
              <w:t xml:space="preserve">3. JWT сохранён в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.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userRole = student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Редирект на «Моё обучение»; токен и роль сохранены корректно.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</w:tbl>
    <w:bookmarkEnd w:id="18"/>
    <w:bookmarkStart w:id="19" w:name="X584b69af3a2b03b862252165a06df15f07265cc"/>
    <w:p>
      <w:pPr>
        <w:pStyle w:val="Heading3"/>
      </w:pPr>
      <w:r>
        <w:t xml:space="preserve">Таблица 19 – Тестовый случай 03 (TC-AUTH-003)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Успешная авторизация администратора</w:t>
            </w:r>
          </w:p>
        </w:tc>
        <w:tc>
          <w:tcPr/>
          <w:p>
            <w:pPr>
              <w:pStyle w:val="Compact"/>
            </w:pPr>
            <w:r>
              <w:t xml:space="preserve">Проверка входа администратора и перенаправления на страницу управления пользователями. Приоритет: P1. Тип: F.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Запустить проект.</w:t>
            </w:r>
            <w:r>
              <w:t xml:space="preserve">2. Ввести логин</w:t>
            </w:r>
            <w:r>
              <w:t xml:space="preserve"> </w:t>
            </w:r>
            <w:r>
              <w:rPr>
                <w:rStyle w:val="VerbatimChar"/>
              </w:rPr>
              <w:t xml:space="preserve">iereevamaria</w:t>
            </w:r>
            <w:r>
              <w:t xml:space="preserve">, пароль</w:t>
            </w:r>
            <w:r>
              <w:t xml:space="preserve"> </w:t>
            </w:r>
            <w:r>
              <w:rPr>
                <w:rStyle w:val="VerbatimChar"/>
              </w:rPr>
              <w:t xml:space="preserve">mariamegaadministrator</w:t>
            </w:r>
            <w:r>
              <w:t xml:space="preserve">.</w:t>
            </w:r>
            <w:r>
              <w:t xml:space="preserve">3. Нажать «Войти».</w:t>
            </w:r>
          </w:p>
        </w:tc>
        <w:tc>
          <w:tcPr/>
          <w:p>
            <w:pPr>
              <w:pStyle w:val="Compact"/>
            </w:pPr>
            <w:r>
              <w:t xml:space="preserve">1. Авторизация успешна.</w:t>
            </w:r>
            <w:r>
              <w:t xml:space="preserve">2. Редирект на</w:t>
            </w:r>
            <w:r>
              <w:t xml:space="preserve"> </w:t>
            </w:r>
            <w:r>
              <w:rPr>
                <w:rStyle w:val="VerbatimChar"/>
              </w:rPr>
              <w:t xml:space="preserve">users.html</w:t>
            </w:r>
            <w:r>
              <w:t xml:space="preserve">.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userRole = admin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Открыта страница «Пользователи»; роль администратора определена верно.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</w:tbl>
    <w:bookmarkEnd w:id="19"/>
    <w:bookmarkStart w:id="20" w:name="X0dfc5aa802f9f163f07be1cabf384300c23b3f0"/>
    <w:p>
      <w:pPr>
        <w:pStyle w:val="Heading3"/>
      </w:pPr>
      <w:r>
        <w:t xml:space="preserve">Таблица 20 – Тестовый случай 04 (TC-ASGN-001)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TC-ASGN-001</w:t>
            </w:r>
          </w:p>
        </w:tc>
        <w:tc>
          <w:tcPr/>
          <w:p>
            <w:pPr>
              <w:pStyle w:val="Compact"/>
            </w:pPr>
            <w:r>
              <w:t xml:space="preserve">Назначение курса обучающемуся</w:t>
            </w:r>
          </w:p>
        </w:tc>
        <w:tc>
          <w:tcPr/>
          <w:p>
            <w:pPr>
              <w:pStyle w:val="Compact"/>
            </w:pPr>
            <w:r>
              <w:t xml:space="preserve">Проверка успешного назначения курса «Безопасность» сотруднику экспертом. Приоритет: P1. Тип: F, I.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Авторизоваться под экспертом (</w:t>
            </w:r>
            <w:r>
              <w:rPr>
                <w:rStyle w:val="VerbatimChar"/>
              </w:rPr>
              <w:t xml:space="preserve">miereeva@yandex.ru</w:t>
            </w:r>
            <w:r>
              <w:t xml:space="preserve">).</w:t>
            </w:r>
            <w:r>
              <w:t xml:space="preserve">2. Открыть</w:t>
            </w:r>
            <w:r>
              <w:t xml:space="preserve"> </w:t>
            </w:r>
            <w:r>
              <w:rPr>
                <w:rStyle w:val="VerbatimChar"/>
              </w:rPr>
              <w:t xml:space="preserve">assignments.html</w:t>
            </w:r>
            <w:r>
              <w:t xml:space="preserve">.</w:t>
            </w:r>
            <w:r>
              <w:t xml:space="preserve">3. Нажать «Назначить курс» на карточке «Безопасность».</w:t>
            </w:r>
            <w:r>
              <w:t xml:space="preserve">4. Выбрать сотрудника</w:t>
            </w:r>
            <w:r>
              <w:t xml:space="preserve"> </w:t>
            </w:r>
            <w:r>
              <w:rPr>
                <w:rStyle w:val="VerbatimChar"/>
              </w:rPr>
              <w:t xml:space="preserve">pkabkov@ra.ru</w:t>
            </w:r>
            <w:r>
              <w:t xml:space="preserve">, указать период (+30 дней).</w:t>
            </w:r>
            <w:r>
              <w:t xml:space="preserve">5. Нажать «Назначить →».</w:t>
            </w:r>
            <w:r>
              <w:t xml:space="preserve">6. Войти как студент, открыть «Моё обучение».</w:t>
            </w:r>
          </w:p>
        </w:tc>
        <w:tc>
          <w:tcPr/>
          <w:p>
            <w:pPr>
              <w:pStyle w:val="Compact"/>
            </w:pPr>
            <w:r>
              <w:t xml:space="preserve">1. API возвращает 200.</w:t>
            </w:r>
            <w:r>
              <w:t xml:space="preserve">2. В</w:t>
            </w:r>
            <w:r>
              <w:t xml:space="preserve"> </w:t>
            </w:r>
            <w:r>
              <w:rPr>
                <w:rStyle w:val="VerbatimChar"/>
              </w:rPr>
              <w:t xml:space="preserve">Assignments</w:t>
            </w:r>
            <w:r>
              <w:t xml:space="preserve"> </w:t>
            </w:r>
            <w:r>
              <w:t xml:space="preserve">создана запись со статусом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.</w:t>
            </w:r>
            <w:r>
              <w:t xml:space="preserve">3. У студента отображается курс; кнопка «НАЧАТЬ КУРС» активна.</w:t>
            </w:r>
          </w:p>
        </w:tc>
        <w:tc>
          <w:tcPr/>
          <w:p>
            <w:pPr>
              <w:pStyle w:val="Compact"/>
            </w:pPr>
            <w:r>
              <w:t xml:space="preserve">Назначение создано; курс виден обучающемуся; запуск доступен.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</w:tbl>
    <w:bookmarkEnd w:id="20"/>
    <w:bookmarkStart w:id="21" w:name="X7fe087118af014a6fab2e532f3a00474875ef24"/>
    <w:p>
      <w:pPr>
        <w:pStyle w:val="Heading3"/>
      </w:pPr>
      <w:r>
        <w:t xml:space="preserve">Таблица 21 – Тестовый случай 05 (TC-ASGN-002)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TC-ASGN-002</w:t>
            </w:r>
          </w:p>
        </w:tc>
        <w:tc>
          <w:tcPr/>
          <w:p>
            <w:pPr>
              <w:pStyle w:val="Compact"/>
            </w:pPr>
            <w:r>
              <w:t xml:space="preserve">Запрет дублирующего активного назначения</w:t>
            </w:r>
          </w:p>
        </w:tc>
        <w:tc>
          <w:tcPr/>
          <w:p>
            <w:pPr>
              <w:pStyle w:val="Compact"/>
            </w:pPr>
            <w:r>
              <w:t xml:space="preserve">Проверка невозможности создать второе активное назначение по тому же курсу. Приоритет: P2. Тип: N.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Авторизоваться под экспертом.</w:t>
            </w:r>
            <w:r>
              <w:t xml:space="preserve">2. Повторно назначить тот же курс тому же студенту при наличии активного назначения.</w:t>
            </w:r>
          </w:p>
        </w:tc>
        <w:tc>
          <w:tcPr/>
          <w:p>
            <w:pPr>
              <w:pStyle w:val="Compact"/>
            </w:pPr>
            <w:r>
              <w:t xml:space="preserve">1. API возвращает ошибку.</w:t>
            </w:r>
            <w:r>
              <w:t xml:space="preserve">2. Сообщение: «У пользователя уже есть активное назначение по этому курсу».</w:t>
            </w:r>
            <w:r>
              <w:t xml:space="preserve">3. Дубликат в БД не создаётся.</w:t>
            </w:r>
          </w:p>
        </w:tc>
        <w:tc>
          <w:tcPr/>
          <w:p>
            <w:pPr>
              <w:pStyle w:val="Compact"/>
            </w:pPr>
            <w:r>
              <w:t xml:space="preserve">Ошибка отображается; в таблице</w:t>
            </w:r>
            <w:r>
              <w:t xml:space="preserve"> </w:t>
            </w:r>
            <w:r>
              <w:rPr>
                <w:rStyle w:val="VerbatimChar"/>
              </w:rPr>
              <w:t xml:space="preserve">Assignments</w:t>
            </w:r>
            <w:r>
              <w:t xml:space="preserve"> </w:t>
            </w:r>
            <w:r>
              <w:t xml:space="preserve">одна активная запись.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</w:tbl>
    <w:bookmarkEnd w:id="21"/>
    <w:bookmarkStart w:id="22" w:name="X53bbacbbf4648e2daacf30b8042ffd7cef67f31"/>
    <w:p>
      <w:pPr>
        <w:pStyle w:val="Heading3"/>
      </w:pPr>
      <w:r>
        <w:t xml:space="preserve">Таблица 22 – Тестовый случай 06 (TC-COURSE-005)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TC-COURSE-005</w:t>
            </w:r>
          </w:p>
        </w:tc>
        <w:tc>
          <w:tcPr/>
          <w:p>
            <w:pPr>
              <w:pStyle w:val="Compact"/>
            </w:pPr>
            <w:r>
              <w:t xml:space="preserve">Сохранение прогресса раздела</w:t>
            </w:r>
          </w:p>
        </w:tc>
        <w:tc>
          <w:tcPr/>
          <w:p>
            <w:pPr>
              <w:pStyle w:val="Compact"/>
            </w:pPr>
            <w:r>
              <w:t xml:space="preserve">Проверка записи завершения раздела в БД при переходе «Далее». Приоритет: P1. Тип: I.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Запустить курс «Безопасность» под студентом.</w:t>
            </w:r>
            <w:r>
              <w:t xml:space="preserve">2. Пройти все интерактивы раздела 1.</w:t>
            </w:r>
            <w:r>
              <w:t xml:space="preserve">3. Нажать «Далее» на последнем слайде раздела.</w:t>
            </w:r>
          </w:p>
        </w:tc>
        <w:tc>
          <w:tcPr/>
          <w:p>
            <w:pPr>
              <w:pStyle w:val="Compact"/>
            </w:pPr>
            <w:r>
              <w:t xml:space="preserve">1. Выполняется</w:t>
            </w:r>
            <w:r>
              <w:t xml:space="preserve"> </w:t>
            </w:r>
            <w:r>
              <w:rPr>
                <w:rStyle w:val="VerbatimChar"/>
              </w:rPr>
              <w:t xml:space="preserve">POST /api/courses/2/sections/section-1/complete</w:t>
            </w:r>
            <w:r>
              <w:t xml:space="preserve">.</w:t>
            </w:r>
            <w:r>
              <w:t xml:space="preserve">2. Создана запись в</w:t>
            </w:r>
            <w:r>
              <w:t xml:space="preserve"> </w:t>
            </w:r>
            <w:r>
              <w:rPr>
                <w:rStyle w:val="VerbatimChar"/>
              </w:rPr>
              <w:t xml:space="preserve">Section_progress</w:t>
            </w:r>
            <w:r>
              <w:t xml:space="preserve">.</w:t>
            </w:r>
            <w:r>
              <w:t xml:space="preserve">3. Начислен балл ≈ 16,67 при успехе с первой попытки.</w:t>
            </w:r>
            <w:r>
              <w:t xml:space="preserve">4. Прогресс-бар обновлён.</w:t>
            </w:r>
          </w:p>
        </w:tc>
        <w:tc>
          <w:tcPr/>
          <w:p>
            <w:pPr>
              <w:pStyle w:val="Compact"/>
            </w:pPr>
            <w:r>
              <w:t xml:space="preserve">Запись в БД создана; балл и прогресс соответствуют ожиданию.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</w:tbl>
    <w:bookmarkEnd w:id="22"/>
    <w:bookmarkStart w:id="23" w:name="X8b730d2fa5be3512d7dee2cdb4874ffb521710e"/>
    <w:p>
      <w:pPr>
        <w:pStyle w:val="Heading3"/>
      </w:pPr>
      <w:r>
        <w:t xml:space="preserve">Таблица 23 – Тестовый случай 07 (TC-COURSE-006)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TC-COURSE-006</w:t>
            </w:r>
          </w:p>
        </w:tc>
        <w:tc>
          <w:tcPr/>
          <w:p>
            <w:pPr>
              <w:pStyle w:val="Compact"/>
            </w:pPr>
            <w:r>
              <w:t xml:space="preserve">Статус прохождения курса (порог 70 %)</w:t>
            </w:r>
          </w:p>
        </w:tc>
        <w:tc>
          <w:tcPr/>
          <w:p>
            <w:pPr>
              <w:pStyle w:val="Compact"/>
            </w:pPr>
            <w:r>
              <w:t xml:space="preserve">Проверка присвоения статуса passed/failed по итоговому баллу. Приоритет: P1. Тип: F.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Завершить все 6 оцениваемых разделов курса.</w:t>
            </w:r>
            <w:r>
              <w:t xml:space="preserve">2. На экране «Заключение» нажать кнопку завершения курса.</w:t>
            </w:r>
          </w:p>
        </w:tc>
        <w:tc>
          <w:tcPr/>
          <w:p>
            <w:pPr>
              <w:pStyle w:val="Compact"/>
            </w:pPr>
            <w:r>
              <w:t xml:space="preserve">1. При балле ≥ 70:</w:t>
            </w:r>
            <w:r>
              <w:t xml:space="preserve"> </w:t>
            </w:r>
            <w:r>
              <w:rPr>
                <w:rStyle w:val="VerbatimChar"/>
              </w:rPr>
              <w:t xml:space="preserve">Assignments.status = passed</w:t>
            </w:r>
            <w:r>
              <w:t xml:space="preserve">.</w:t>
            </w:r>
            <w:r>
              <w:t xml:space="preserve">2. При балле &lt; 70:</w:t>
            </w:r>
            <w:r>
              <w:t xml:space="preserve"> </w:t>
            </w:r>
            <w:r>
              <w:rPr>
                <w:rStyle w:val="VerbatimChar"/>
              </w:rPr>
              <w:t xml:space="preserve">status = failed</w:t>
            </w:r>
            <w:r>
              <w:t xml:space="preserve">.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User_result.result</w:t>
            </w:r>
            <w:r>
              <w:t xml:space="preserve"> </w:t>
            </w:r>
            <w:r>
              <w:t xml:space="preserve">соответствует итогу.</w:t>
            </w:r>
            <w:r>
              <w:t xml:space="preserve">4. На карточке курса — бейдж «Пройден» при ≥ 70 %.</w:t>
            </w:r>
          </w:p>
        </w:tc>
        <w:tc>
          <w:tcPr/>
          <w:p>
            <w:pPr>
              <w:pStyle w:val="Compact"/>
            </w:pPr>
            <w:r>
              <w:t xml:space="preserve">Статус и итоговый балл обновлены согласно порогу 70 %.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</w:tbl>
    <w:bookmarkEnd w:id="23"/>
    <w:bookmarkStart w:id="24" w:name="X88113a414b6c4f8f392c81a8d9b4d7dbc3a6181"/>
    <w:p>
      <w:pPr>
        <w:pStyle w:val="Heading3"/>
      </w:pPr>
      <w:r>
        <w:t xml:space="preserve">Таблица 24 – Тестовый случай 08 (TC-RATE-002)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TC-RATE-002</w:t>
            </w:r>
          </w:p>
        </w:tc>
        <w:tc>
          <w:tcPr/>
          <w:p>
            <w:pPr>
              <w:pStyle w:val="Compact"/>
            </w:pPr>
            <w:r>
              <w:t xml:space="preserve">Скачивание Excel-отчёта экспертом</w:t>
            </w:r>
          </w:p>
        </w:tc>
        <w:tc>
          <w:tcPr/>
          <w:p>
            <w:pPr>
              <w:pStyle w:val="Compact"/>
            </w:pPr>
            <w:r>
              <w:t xml:space="preserve">Проверка формирования отчёта по результатам обучения. Приоритет: P2. Тип: F, I.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Авторизоваться под экспертом.</w:t>
            </w:r>
            <w:r>
              <w:t xml:space="preserve">2. Открыть</w:t>
            </w:r>
            <w:r>
              <w:t xml:space="preserve"> </w:t>
            </w:r>
            <w:r>
              <w:rPr>
                <w:rStyle w:val="VerbatimChar"/>
              </w:rPr>
              <w:t xml:space="preserve">rating.html</w:t>
            </w:r>
            <w:r>
              <w:t xml:space="preserve">.</w:t>
            </w:r>
            <w:r>
              <w:t xml:space="preserve">3. Нажать «Отчёт», при необходимости указать фильтры.</w:t>
            </w:r>
            <w:r>
              <w:t xml:space="preserve">4. Подтвердить формирование.</w:t>
            </w:r>
          </w:p>
        </w:tc>
        <w:tc>
          <w:tcPr/>
          <w:p>
            <w:pPr>
              <w:pStyle w:val="Compact"/>
            </w:pPr>
            <w:r>
              <w:t xml:space="preserve">1. Открывается модальное окно фильтров.</w:t>
            </w:r>
            <w:r>
              <w:t xml:space="preserve">2. Скачивается</w:t>
            </w:r>
            <w:r>
              <w:t xml:space="preserve"> </w:t>
            </w:r>
            <w:r>
              <w:rPr>
                <w:rStyle w:val="VerbatimChar"/>
              </w:rPr>
              <w:t xml:space="preserve">course_report.xlsx</w:t>
            </w:r>
            <w:r>
              <w:t xml:space="preserve">.</w:t>
            </w:r>
            <w:r>
              <w:t xml:space="preserve">3. На листе «Результаты» — сводка «Пройдено/не пройдено» и «Средний балл».</w:t>
            </w:r>
            <w:r>
              <w:t xml:space="preserve">4. Таблица: Дата, Название, Сотрудник, Длительность, Статус, Балл.</w:t>
            </w:r>
          </w:p>
        </w:tc>
        <w:tc>
          <w:tcPr/>
          <w:p>
            <w:pPr>
              <w:pStyle w:val="Compact"/>
            </w:pPr>
            <w:r>
              <w:t xml:space="preserve">Excel-файл скачан; формат отчёта соответствует требованиям LMS.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</w:tbl>
    <w:bookmarkEnd w:id="24"/>
    <w:bookmarkStart w:id="25" w:name="X91f2cc99cf5b72049673e4085fb17f672e63a5b"/>
    <w:p>
      <w:pPr>
        <w:pStyle w:val="Heading3"/>
      </w:pPr>
      <w:r>
        <w:t xml:space="preserve">Таблица 25 – Тестовый случай 09 (TC-ADM-COURSE-004)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TC-ADM-COURSE-004</w:t>
            </w:r>
          </w:p>
        </w:tc>
        <w:tc>
          <w:tcPr/>
          <w:p>
            <w:pPr>
              <w:pStyle w:val="Compact"/>
            </w:pPr>
            <w:r>
              <w:t xml:space="preserve">Импорт SCORM-пакета</w:t>
            </w:r>
          </w:p>
        </w:tc>
        <w:tc>
          <w:tcPr/>
          <w:p>
            <w:pPr>
              <w:pStyle w:val="Compact"/>
            </w:pPr>
            <w:r>
              <w:t xml:space="preserve">Проверка загрузки SCORM-курса из ZIP-архива администратором. Приоритет: P1. Тип: I.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Авторизоваться под администратором.</w:t>
            </w:r>
            <w:r>
              <w:t xml:space="preserve">2. Открыть</w:t>
            </w:r>
            <w:r>
              <w:t xml:space="preserve"> </w:t>
            </w:r>
            <w:r>
              <w:rPr>
                <w:rStyle w:val="VerbatimChar"/>
              </w:rPr>
              <w:t xml:space="preserve">admin-courses.html</w:t>
            </w:r>
            <w:r>
              <w:t xml:space="preserve">.</w:t>
            </w:r>
            <w:r>
              <w:t xml:space="preserve">3. Нажать «Загрузить курс».</w:t>
            </w:r>
            <w:r>
              <w:t xml:space="preserve">4. Выбрать ZIP с</w:t>
            </w:r>
            <w:r>
              <w:t xml:space="preserve"> </w:t>
            </w:r>
            <w:r>
              <w:rPr>
                <w:rStyle w:val="VerbatimChar"/>
              </w:rPr>
              <w:t xml:space="preserve">imsmanifest.xml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1. Курс создан в системе.</w:t>
            </w:r>
            <w:r>
              <w:t xml:space="preserve">2. На диске создана папка</w:t>
            </w:r>
            <w:r>
              <w:t xml:space="preserve"> </w:t>
            </w:r>
            <w:r>
              <w:rPr>
                <w:rStyle w:val="VerbatimChar"/>
              </w:rPr>
              <w:t xml:space="preserve">backend/courses/&lt;storage&gt;/</w:t>
            </w:r>
            <w:r>
              <w:t xml:space="preserve">.</w:t>
            </w:r>
            <w:r>
              <w:t xml:space="preserve">3. В</w:t>
            </w:r>
            <w:r>
              <w:t xml:space="preserve"> </w:t>
            </w:r>
            <w:r>
              <w:rPr>
                <w:rStyle w:val="VerbatimChar"/>
              </w:rPr>
              <w:t xml:space="preserve">Courses</w:t>
            </w:r>
            <w:r>
              <w:t xml:space="preserve"> </w:t>
            </w:r>
            <w:r>
              <w:t xml:space="preserve">добавлена запись типа SCORM.</w:t>
            </w:r>
          </w:p>
        </w:tc>
        <w:tc>
          <w:tcPr/>
          <w:p>
            <w:pPr>
              <w:pStyle w:val="Compact"/>
            </w:pPr>
            <w:r>
              <w:t xml:space="preserve">SCORM-курс импортирован; запуск через</w:t>
            </w:r>
            <w:r>
              <w:t xml:space="preserve"> </w:t>
            </w:r>
            <w:r>
              <w:rPr>
                <w:rStyle w:val="VerbatimChar"/>
              </w:rPr>
              <w:t xml:space="preserve">player.html</w:t>
            </w:r>
            <w:r>
              <w:t xml:space="preserve"> </w:t>
            </w:r>
            <w:r>
              <w:t xml:space="preserve">возможен.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</w:tr>
    </w:tbl>
    <w:bookmarkEnd w:id="25"/>
    <w:bookmarkStart w:id="26" w:name="Xefa4deec1c6aec566926cbba364ae9bd3fb7832"/>
    <w:p>
      <w:pPr>
        <w:pStyle w:val="Heading3"/>
      </w:pPr>
      <w:r>
        <w:t xml:space="preserve">Таблица 26 – Тестовый случай 10 (TC-UNIT-001, TC-UNIT-002)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34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TC-UNIT-001 / TC-UNIT-002</w:t>
            </w:r>
          </w:p>
        </w:tc>
        <w:tc>
          <w:tcPr/>
          <w:p>
            <w:pPr>
              <w:pStyle w:val="Compact"/>
            </w:pPr>
            <w:r>
              <w:t xml:space="preserve">Автоматизированные юнит-тесты backend</w:t>
            </w:r>
          </w:p>
        </w:tc>
        <w:tc>
          <w:tcPr/>
          <w:p>
            <w:pPr>
              <w:pStyle w:val="Compact"/>
            </w:pPr>
            <w:r>
              <w:t xml:space="preserve">Проверка расчёта баллов и манифеста курса «Безопасность» без запуска браузера. Приоритет: P1. Тип: F.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562"/>
        <w:gridCol w:w="279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Перейти в каталог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.</w:t>
            </w:r>
            <w:r>
              <w:t xml:space="preserve">2. Выполнить</w:t>
            </w:r>
            <w:r>
              <w:t xml:space="preserve"> </w:t>
            </w:r>
            <w:r>
              <w:rPr>
                <w:rStyle w:val="VerbatimChar"/>
              </w:rPr>
              <w:t xml:space="preserve">py -3 test_course_progress.py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cap_course_score(120)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cap_course_score(-5)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</w:t>
            </w:r>
            <w:r>
              <w:t xml:space="preserve">2. Практическое задание не с 1-й попытки: балл =</w:t>
            </w:r>
            <w:r>
              <w:t xml:space="preserve"> </w:t>
            </w:r>
            <w:r>
              <w:rPr>
                <w:rStyle w:val="VerbatimChar"/>
              </w:rPr>
              <w:t xml:space="preserve">section_weight / 2</w:t>
            </w:r>
            <w:r>
              <w:t xml:space="preserve">.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scorable_count</w:t>
            </w:r>
            <w:r>
              <w:t xml:space="preserve"> </w:t>
            </w:r>
            <w:r>
              <w:t xml:space="preserve">= 6;</w:t>
            </w:r>
            <w:r>
              <w:t xml:space="preserve"> </w:t>
            </w:r>
            <w:r>
              <w:rPr>
                <w:rStyle w:val="VerbatimChar"/>
              </w:rPr>
              <w:t xml:space="preserve">section_weight</w:t>
            </w:r>
            <w:r>
              <w:t xml:space="preserve"> </w:t>
            </w:r>
            <w:r>
              <w:t xml:space="preserve">≈ 16,67.</w:t>
            </w:r>
            <w:r>
              <w:t xml:space="preserve">4. Scorable IDs: section-1 … section-6.</w:t>
            </w:r>
          </w:p>
        </w:tc>
        <w:tc>
          <w:tcPr/>
          <w:p>
            <w:pPr>
              <w:pStyle w:val="Compact"/>
            </w:pPr>
            <w:r>
              <w:t xml:space="preserve">Функции расчёта баллов и merge_section_score работают корректно; манифest содержит 6 оцениваемых разделов.</w:t>
            </w:r>
          </w:p>
        </w:tc>
        <w:tc>
          <w:tcPr/>
          <w:p>
            <w:pPr>
              <w:pStyle w:val="Compact"/>
            </w:pPr>
            <w:r>
              <w:t xml:space="preserve">Успешно*</w:t>
            </w:r>
          </w:p>
        </w:tc>
      </w:tr>
    </w:tbl>
    <w:p>
      <w:pPr>
        <w:pStyle w:val="BodyText"/>
      </w:pPr>
      <w:r>
        <w:t xml:space="preserve">* Тесты расчёта баллов (TC-UNIT-001) и структуры scorable-разделов (TC-UNIT-002) пройдены. Проверка строкового поля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в манифесте актуализирована под полное название курса «Правила использования ИТ-ресурсов».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матрица-покрытия-требований"/>
    <w:p>
      <w:pPr>
        <w:pStyle w:val="Heading2"/>
      </w:pPr>
      <w:r>
        <w:t xml:space="preserve">Матрица покрытия требований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46"/>
        <w:gridCol w:w="1760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(ТЗ, приложение Б)</w:t>
            </w:r>
          </w:p>
        </w:tc>
        <w:tc>
          <w:tcPr/>
          <w:p>
            <w:pPr>
              <w:pStyle w:val="Compact"/>
            </w:pPr>
            <w:r>
              <w:t xml:space="preserve">Тест-кейсы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 по ролям</w:t>
            </w:r>
          </w:p>
        </w:tc>
        <w:tc>
          <w:tcPr/>
          <w:p>
            <w:pPr>
              <w:pStyle w:val="Compact"/>
            </w:pPr>
            <w:r>
              <w:t xml:space="preserve">TC-AUTH-001 … 007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 обучения экспертом</w:t>
            </w:r>
          </w:p>
        </w:tc>
        <w:tc>
          <w:tcPr/>
          <w:p>
            <w:pPr>
              <w:pStyle w:val="Compact"/>
            </w:pPr>
            <w:r>
              <w:t xml:space="preserve">TC-ASGN-001, TC-ASGN-002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Прохождение нативного курса, gating</w:t>
            </w:r>
          </w:p>
        </w:tc>
        <w:tc>
          <w:tcPr/>
          <w:p>
            <w:pPr>
              <w:pStyle w:val="Compact"/>
            </w:pPr>
            <w:r>
              <w:t xml:space="preserve">TC-COURSE-001 … 007, TC-COURSE-007A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успешности 70 %</w:t>
            </w:r>
          </w:p>
        </w:tc>
        <w:tc>
          <w:tcPr/>
          <w:p>
            <w:pPr>
              <w:pStyle w:val="Compact"/>
            </w:pPr>
            <w:r>
              <w:t xml:space="preserve">TC-COURSE-006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Рейтинг и Excel-отчёты</w:t>
            </w:r>
          </w:p>
        </w:tc>
        <w:tc>
          <w:tcPr/>
          <w:p>
            <w:pPr>
              <w:pStyle w:val="Compact"/>
            </w:pPr>
            <w:r>
              <w:t xml:space="preserve">TC-RATE-001, TC-RATE-002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пользователями</w:t>
            </w:r>
          </w:p>
        </w:tc>
        <w:tc>
          <w:tcPr/>
          <w:p>
            <w:pPr>
              <w:pStyle w:val="Compact"/>
            </w:pPr>
            <w:r>
              <w:t xml:space="preserve">TC-ADM-USER-001, TC-ADM-USER-002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курсами, SCORM</w:t>
            </w:r>
          </w:p>
        </w:tc>
        <w:tc>
          <w:tcPr/>
          <w:p>
            <w:pPr>
              <w:pStyle w:val="Compact"/>
            </w:pPr>
            <w:r>
              <w:t xml:space="preserve">TC-ADM-COURSE-001 … 005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Интерфейс LMS</w:t>
            </w:r>
          </w:p>
        </w:tc>
        <w:tc>
          <w:tcPr/>
          <w:p>
            <w:pPr>
              <w:pStyle w:val="Compact"/>
            </w:pPr>
            <w:r>
              <w:t xml:space="preserve">TC-UI-001, TC-UI-002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t xml:space="preserve">TC-PROF-001 … 003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Расчёт баллов backend</w:t>
            </w:r>
          </w:p>
        </w:tc>
        <w:tc>
          <w:tcPr/>
          <w:p>
            <w:pPr>
              <w:pStyle w:val="Compact"/>
            </w:pPr>
            <w:r>
              <w:t xml:space="preserve">TC-UNIT-001, TC-UNIT-002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протокол-проведения-тестирования"/>
    <w:p>
      <w:pPr>
        <w:pStyle w:val="Heading2"/>
      </w:pPr>
      <w:r>
        <w:t xml:space="preserve">Протокол проведения тестирования</w:t>
      </w:r>
    </w:p>
    <w:bookmarkStart w:id="29" w:name="порядок-выполнения"/>
    <w:p>
      <w:pPr>
        <w:pStyle w:val="Heading3"/>
      </w:pPr>
      <w:r>
        <w:t xml:space="preserve">Порядок выполнения</w:t>
      </w:r>
    </w:p>
    <w:p>
      <w:pPr>
        <w:pStyle w:val="Compact"/>
        <w:numPr>
          <w:ilvl w:val="0"/>
          <w:numId w:val="1001"/>
        </w:numPr>
      </w:pPr>
      <w:r>
        <w:t xml:space="preserve">Подготовка окружения: SQL Server (</w:t>
      </w:r>
      <w:r>
        <w:rPr>
          <w:rStyle w:val="VerbatimChar"/>
        </w:rPr>
        <w:t xml:space="preserve">LearningPlatformDB.sql</w:t>
      </w:r>
      <w:r>
        <w:t xml:space="preserve">), backend (</w:t>
      </w:r>
      <w:r>
        <w:rPr>
          <w:rStyle w:val="VerbatimChar"/>
        </w:rPr>
        <w:t xml:space="preserve">py -3 app.py</w:t>
      </w:r>
      <w:r>
        <w:t xml:space="preserve">), frontend (</w:t>
      </w:r>
      <w:r>
        <w:rPr>
          <w:rStyle w:val="VerbatimChar"/>
        </w:rPr>
        <w:t xml:space="preserve">py -3 -m http.server 8000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Smoke-тест:</w:t>
      </w:r>
      <w:r>
        <w:t xml:space="preserve"> </w:t>
      </w:r>
      <w:r>
        <w:t xml:space="preserve">TC-AUTH-001, TC-COURSE-001.</w:t>
      </w:r>
    </w:p>
    <w:p>
      <w:pPr>
        <w:pStyle w:val="Compact"/>
        <w:numPr>
          <w:ilvl w:val="0"/>
          <w:numId w:val="1001"/>
        </w:numPr>
      </w:pPr>
      <w:r>
        <w:t xml:space="preserve">Функциональные тесты по модулям в порядке приоритета P1 → P2 → P3.</w:t>
      </w:r>
    </w:p>
    <w:p>
      <w:pPr>
        <w:pStyle w:val="Compact"/>
        <w:numPr>
          <w:ilvl w:val="0"/>
          <w:numId w:val="1001"/>
        </w:numPr>
      </w:pPr>
      <w:r>
        <w:t xml:space="preserve">Автоматизированные юнит-тесты</w:t>
      </w:r>
      <w:r>
        <w:t xml:space="preserve"> </w:t>
      </w:r>
      <w:r>
        <w:rPr>
          <w:rStyle w:val="VerbatimChar"/>
        </w:rPr>
        <w:t xml:space="preserve">test_course_progress.py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Регрессия после исправления дефектов.</w:t>
      </w:r>
    </w:p>
    <w:bookmarkEnd w:id="29"/>
    <w:bookmarkStart w:id="30" w:name="критерии-приёмки"/>
    <w:p>
      <w:pPr>
        <w:pStyle w:val="Heading3"/>
      </w:pPr>
      <w:r>
        <w:t xml:space="preserve">Критерии приёмки</w:t>
      </w:r>
    </w:p>
    <w:p>
      <w:pPr>
        <w:pStyle w:val="Compact"/>
        <w:numPr>
          <w:ilvl w:val="0"/>
          <w:numId w:val="1002"/>
        </w:numPr>
      </w:pPr>
      <w:r>
        <w:t xml:space="preserve">Все тесты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— пройдены на 100 %.</w:t>
      </w:r>
    </w:p>
    <w:p>
      <w:pPr>
        <w:pStyle w:val="Compact"/>
        <w:numPr>
          <w:ilvl w:val="0"/>
          <w:numId w:val="1002"/>
        </w:numPr>
      </w:pPr>
      <w:r>
        <w:t xml:space="preserve">Тесты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— не менее 95 %.</w:t>
      </w:r>
    </w:p>
    <w:p>
      <w:pPr>
        <w:pStyle w:val="Compact"/>
        <w:numPr>
          <w:ilvl w:val="0"/>
          <w:numId w:val="1002"/>
        </w:numPr>
      </w:pPr>
      <w:r>
        <w:t xml:space="preserve">Критические дефекты (блокирующие обучение или авторизацию) — 0.</w:t>
      </w:r>
    </w:p>
    <w:bookmarkEnd w:id="30"/>
    <w:bookmarkStart w:id="31" w:name="сводка-результатов"/>
    <w:p>
      <w:pPr>
        <w:pStyle w:val="Heading3"/>
      </w:pPr>
      <w:r>
        <w:t xml:space="preserve">Сводка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  <w:tc>
          <w:tcPr/>
          <w:p>
            <w:pPr>
              <w:pStyle w:val="Compact"/>
            </w:pPr>
            <w:r>
              <w:t xml:space="preserve">Не 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(критические)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(высокие)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(средние)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4" w:name="вывод-по-главе"/>
    <w:p>
      <w:pPr>
        <w:pStyle w:val="Heading2"/>
      </w:pPr>
      <w:r>
        <w:t xml:space="preserve">Вывод по главе</w:t>
      </w:r>
    </w:p>
    <w:p>
      <w:pPr>
        <w:pStyle w:val="FirstParagraph"/>
      </w:pPr>
      <w:r>
        <w:t xml:space="preserve">После проведения функционального, интеграционного и модульного тестирования можно сделать вывод, что разработанная АИС «Адаптационный курс для сотрудников ритуальной компании» соответствует требованиям технического задания и выполняет поставленные задачи: обеспечивает авторизацию по ролям, назначение и прохождение нативного курса «Безопасность» и SCORM-курсов, сохранение прогресса в SQL Server, формирование рейтинга и отчётов. Тестирование проведено в соответствии с ГОСТ 34.603-92 «Информационная технология. Виды испытаний автоматизированных систем».</w:t>
      </w:r>
    </w:p>
    <w:p>
      <w:pPr>
        <w:pStyle w:val="BodyText"/>
      </w:pPr>
      <w:r>
        <w:t xml:space="preserve">Полные описания всех 28 тест-кейсов с полями для фиксации результатов при приёмочных испытаниях приведены в</w:t>
      </w:r>
      <w:r>
        <w:t xml:space="preserve"> </w:t>
      </w:r>
      <w:hyperlink r:id="rId9">
        <w:r>
          <w:rPr>
            <w:rStyle w:val="Hyperlink"/>
          </w:rPr>
          <w:t xml:space="preserve">Тест-кейсы.md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для пояснительной записки. Согласован с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Главой 3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w:hyperlink r:id="rId33">
        <w:r>
          <w:rPr>
            <w:rStyle w:val="Hyperlink"/>
            <w:i/>
            <w:iCs/>
          </w:rPr>
          <w:t xml:space="preserve">Главой 2</w:t>
        </w:r>
      </w:hyperlink>
      <w:r>
        <w:rPr>
          <w:i/>
          <w:iCs/>
        </w:rPr>
        <w:t xml:space="preserve">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&#1043;&#1083;&#1072;&#1074;&#1072;_2_&#1056;&#1072;&#1079;&#1088;&#1072;&#1073;&#1086;&#1090;&#1082;&#1072;.md" TargetMode="External" /><Relationship Type="http://schemas.openxmlformats.org/officeDocument/2006/relationships/hyperlink" Id="rId10" Target="&#1043;&#1083;&#1072;&#1074;&#1072;_3_&#1054;&#1088;&#1075;&#1072;&#1085;&#1080;&#1079;&#1072;&#1094;&#1080;&#1103;_&#1073;&#1077;&#1079;&#1086;&#1087;&#1072;&#1089;&#1085;&#1086;&#1089;&#1090;&#1080;_&#1040;&#1048;&#1057;.md" TargetMode="External" /><Relationship Type="http://schemas.openxmlformats.org/officeDocument/2006/relationships/hyperlink" Id="rId9" Target="&#1058;&#1077;&#1089;&#1090;-&#1082;&#1077;&#1081;&#1089;&#1099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&#1043;&#1083;&#1072;&#1074;&#1072;_2_&#1056;&#1072;&#1079;&#1088;&#1072;&#1073;&#1086;&#1090;&#1082;&#1072;.md" TargetMode="External" /><Relationship Type="http://schemas.openxmlformats.org/officeDocument/2006/relationships/hyperlink" Id="rId10" Target="&#1043;&#1083;&#1072;&#1074;&#1072;_3_&#1054;&#1088;&#1075;&#1072;&#1085;&#1080;&#1079;&#1072;&#1094;&#1080;&#1103;_&#1073;&#1077;&#1079;&#1086;&#1087;&#1072;&#1089;&#1085;&#1086;&#1089;&#1090;&#1080;_&#1040;&#1048;&#1057;.md" TargetMode="External" /><Relationship Type="http://schemas.openxmlformats.org/officeDocument/2006/relationships/hyperlink" Id="rId9" Target="&#1058;&#1077;&#1089;&#1090;-&#1082;&#1077;&#1081;&#1089;&#1099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2026-06-20T06:35:16Z</dcterms:created>
  <dcterms:modified xsi:type="dcterms:W3CDTF">2026-06-20T06:35:16Z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