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приложение-г.-диаграмма-idef0"/>
    <w:p>
      <w:pPr>
        <w:pStyle w:val="Heading1"/>
      </w:pPr>
      <w:r>
        <w:t xml:space="preserve">Приложение Г. Диаграмма IDEF0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10" w:name="X39386341bdefb3dab15af69fb2fd2f78428de7d"/>
    <w:p>
      <w:pPr>
        <w:pStyle w:val="Heading2"/>
      </w:pPr>
      <w:r>
        <w:t xml:space="preserve">Рисунок 1. Контекстная диаграмма IDEF0 (A-0)</w:t>
      </w:r>
    </w:p>
    <w:p>
      <w:pPr>
        <w:pStyle w:val="FirstParagraph"/>
      </w:pPr>
      <w:r>
        <w:rPr>
          <w:b/>
          <w:bCs/>
        </w:rPr>
        <w:t xml:space="preserve">Функция A-0:</w:t>
      </w:r>
      <w:r>
        <w:t xml:space="preserve"> </w:t>
      </w:r>
      <w:r>
        <w:t xml:space="preserve">«Обеспечить корпоративное обучение сотрудников»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inputs["Входы (I)"]</w:t>
      </w:r>
      <w:r>
        <w:br/>
      </w:r>
      <w:r>
        <w:rPr>
          <w:rStyle w:val="VerbatimChar"/>
        </w:rPr>
        <w:t xml:space="preserve">        I1["Учётные данные\nсотрудников"]</w:t>
      </w:r>
      <w:r>
        <w:br/>
      </w:r>
      <w:r>
        <w:rPr>
          <w:rStyle w:val="VerbatimChar"/>
        </w:rPr>
        <w:t xml:space="preserve">        I2["Учебные материалы\n(курсы)"]</w:t>
      </w:r>
      <w:r>
        <w:br/>
      </w:r>
      <w:r>
        <w:rPr>
          <w:rStyle w:val="VerbatimChar"/>
        </w:rPr>
        <w:t xml:space="preserve">        I3["Заявки на\nназначение обучения"]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process["A-0"]</w:t>
      </w:r>
      <w:r>
        <w:br/>
      </w:r>
      <w:r>
        <w:rPr>
          <w:rStyle w:val="VerbatimChar"/>
        </w:rPr>
        <w:t xml:space="preserve">        A0["Обеспечить\nкорпоративное\nобучение\nсотрудников"]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controls["Управление (C)"]</w:t>
      </w:r>
      <w:r>
        <w:br/>
      </w:r>
      <w:r>
        <w:rPr>
          <w:rStyle w:val="VerbatimChar"/>
        </w:rPr>
        <w:t xml:space="preserve">        C1["Политика обучения\nкомпании"]</w:t>
      </w:r>
      <w:r>
        <w:br/>
      </w:r>
      <w:r>
        <w:rPr>
          <w:rStyle w:val="VerbatimChar"/>
        </w:rPr>
        <w:t xml:space="preserve">        C2["Техническое\nзадание"]</w:t>
      </w:r>
      <w:r>
        <w:br/>
      </w:r>
      <w:r>
        <w:rPr>
          <w:rStyle w:val="VerbatimChar"/>
        </w:rPr>
        <w:t xml:space="preserve">        C3["Порог прохождения\n70%"]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mechanisms["Механизмы (M)"]</w:t>
      </w:r>
      <w:r>
        <w:br/>
      </w:r>
      <w:r>
        <w:rPr>
          <w:rStyle w:val="VerbatimChar"/>
        </w:rPr>
        <w:t xml:space="preserve">        M1["LMS\n(Flask + SQL Server)"]</w:t>
      </w:r>
      <w:r>
        <w:br/>
      </w:r>
      <w:r>
        <w:rPr>
          <w:rStyle w:val="VerbatimChar"/>
        </w:rPr>
        <w:t xml:space="preserve">        M2["Эксперт /\nАдминистратор"]</w:t>
      </w:r>
      <w:r>
        <w:br/>
      </w:r>
      <w:r>
        <w:rPr>
          <w:rStyle w:val="VerbatimChar"/>
        </w:rPr>
        <w:t xml:space="preserve">        M3["Обучающийся"]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outputs["Выходы (O)"]</w:t>
      </w:r>
      <w:r>
        <w:br/>
      </w:r>
      <w:r>
        <w:rPr>
          <w:rStyle w:val="VerbatimChar"/>
        </w:rPr>
        <w:t xml:space="preserve">        O1["Рейтинг\nи статистика"]</w:t>
      </w:r>
      <w:r>
        <w:br/>
      </w:r>
      <w:r>
        <w:rPr>
          <w:rStyle w:val="VerbatimChar"/>
        </w:rPr>
        <w:t xml:space="preserve">        O2["Отчёты Excel"]</w:t>
      </w:r>
      <w:r>
        <w:br/>
      </w:r>
      <w:r>
        <w:rPr>
          <w:rStyle w:val="VerbatimChar"/>
        </w:rPr>
        <w:t xml:space="preserve">        O3["Результаты\nпрохождения курсов"]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I1 --&gt; A0</w:t>
      </w:r>
      <w:r>
        <w:br/>
      </w:r>
      <w:r>
        <w:rPr>
          <w:rStyle w:val="VerbatimChar"/>
        </w:rPr>
        <w:t xml:space="preserve">    I2 --&gt; A0</w:t>
      </w:r>
      <w:r>
        <w:br/>
      </w:r>
      <w:r>
        <w:rPr>
          <w:rStyle w:val="VerbatimChar"/>
        </w:rPr>
        <w:t xml:space="preserve">    I3 --&gt; A0</w:t>
      </w:r>
      <w:r>
        <w:br/>
      </w:r>
      <w:r>
        <w:rPr>
          <w:rStyle w:val="VerbatimChar"/>
        </w:rPr>
        <w:t xml:space="preserve">    C1 --&gt; A0</w:t>
      </w:r>
      <w:r>
        <w:br/>
      </w:r>
      <w:r>
        <w:rPr>
          <w:rStyle w:val="VerbatimChar"/>
        </w:rPr>
        <w:t xml:space="preserve">    C2 --&gt; A0</w:t>
      </w:r>
      <w:r>
        <w:br/>
      </w:r>
      <w:r>
        <w:rPr>
          <w:rStyle w:val="VerbatimChar"/>
        </w:rPr>
        <w:t xml:space="preserve">    C3 --&gt; A0</w:t>
      </w:r>
      <w:r>
        <w:br/>
      </w:r>
      <w:r>
        <w:rPr>
          <w:rStyle w:val="VerbatimChar"/>
        </w:rPr>
        <w:t xml:space="preserve">    M1 --&gt; A0</w:t>
      </w:r>
      <w:r>
        <w:br/>
      </w:r>
      <w:r>
        <w:rPr>
          <w:rStyle w:val="VerbatimChar"/>
        </w:rPr>
        <w:t xml:space="preserve">    M2 --&gt; A0</w:t>
      </w:r>
      <w:r>
        <w:br/>
      </w:r>
      <w:r>
        <w:rPr>
          <w:rStyle w:val="VerbatimChar"/>
        </w:rPr>
        <w:t xml:space="preserve">    M3 --&gt; A0</w:t>
      </w:r>
      <w:r>
        <w:br/>
      </w:r>
      <w:r>
        <w:rPr>
          <w:rStyle w:val="VerbatimChar"/>
        </w:rPr>
        <w:t xml:space="preserve">    A0 --&gt; O1</w:t>
      </w:r>
      <w:r>
        <w:br/>
      </w:r>
      <w:r>
        <w:rPr>
          <w:rStyle w:val="VerbatimChar"/>
        </w:rPr>
        <w:t xml:space="preserve">    A0 --&gt; O2</w:t>
      </w:r>
      <w:r>
        <w:br/>
      </w:r>
      <w:r>
        <w:rPr>
          <w:rStyle w:val="VerbatimChar"/>
        </w:rPr>
        <w:t xml:space="preserve">    A0 --&gt; O3</w:t>
      </w:r>
    </w:p>
    <w:bookmarkStart w:id="9" w:name="расшифровка-контекстной-диаграммы"/>
    <w:p>
      <w:pPr>
        <w:pStyle w:val="Heading3"/>
      </w:pPr>
      <w:r>
        <w:t xml:space="preserve">Расшифровка контекстной диаграммы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Входы</w:t>
            </w:r>
          </w:p>
        </w:tc>
        <w:tc>
          <w:tcPr/>
          <w:p>
            <w:pPr>
              <w:pStyle w:val="Compact"/>
            </w:pPr>
            <w:r>
              <w:t xml:space="preserve">Данные пользователей, файлы курсов, запросы на 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Корпоративные правила обучения, ТЗ, требования к оценке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Механизмы</w:t>
            </w:r>
          </w:p>
        </w:tc>
        <w:tc>
          <w:tcPr/>
          <w:p>
            <w:pPr>
              <w:pStyle w:val="Compact"/>
            </w:pPr>
            <w:r>
              <w:t xml:space="preserve">Программная платформа LMS, роли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Выходы</w:t>
            </w:r>
          </w:p>
        </w:tc>
        <w:tc>
          <w:tcPr/>
          <w:p>
            <w:pPr>
              <w:pStyle w:val="Compact"/>
            </w:pPr>
            <w:r>
              <w:t xml:space="preserve">Рейтинг, отчёты, зафиксированные результаты в БД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X28594ccd360314fb1c866350c10e57239e6646c"/>
    <w:p>
      <w:pPr>
        <w:pStyle w:val="Heading2"/>
      </w:pPr>
      <w:r>
        <w:t xml:space="preserve">Рисунок 2. Декомпозиция контекстной диаграммы IDEF0 (A0)</w:t>
      </w:r>
    </w:p>
    <w:p>
      <w:pPr>
        <w:pStyle w:val="FirstParagraph"/>
      </w:pPr>
      <w:r>
        <w:rPr>
          <w:b/>
          <w:bCs/>
        </w:rPr>
        <w:t xml:space="preserve">Декомпозиция функции A0 на подфункции A1–A4: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A0_block["A0: Обеспечить корпоративное обучение"]</w:t>
      </w:r>
      <w:r>
        <w:br/>
      </w:r>
      <w:r>
        <w:rPr>
          <w:rStyle w:val="VerbatimChar"/>
        </w:rPr>
        <w:t xml:space="preserve">        A1["A1\nАутентификация\nи управление\nпользователями"]</w:t>
      </w:r>
      <w:r>
        <w:br/>
      </w:r>
      <w:r>
        <w:rPr>
          <w:rStyle w:val="VerbatimChar"/>
        </w:rPr>
        <w:t xml:space="preserve">        A2["A2\nУправление\nкаталогом курсов"]</w:t>
      </w:r>
      <w:r>
        <w:br/>
      </w:r>
      <w:r>
        <w:rPr>
          <w:rStyle w:val="VerbatimChar"/>
        </w:rPr>
        <w:t xml:space="preserve">        A3["A3\nНазначение\nи прохождение\nкурсов"]</w:t>
      </w:r>
      <w:r>
        <w:br/>
      </w:r>
      <w:r>
        <w:rPr>
          <w:rStyle w:val="VerbatimChar"/>
        </w:rPr>
        <w:t xml:space="preserve">        A4["A4\nУчёт результатов\nи отчётность"]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I1["Учётные данные"] --&gt; A1</w:t>
      </w:r>
      <w:r>
        <w:br/>
      </w:r>
      <w:r>
        <w:rPr>
          <w:rStyle w:val="VerbatimChar"/>
        </w:rPr>
        <w:t xml:space="preserve">    I2["Учебные материалы"] --&gt; A2</w:t>
      </w:r>
      <w:r>
        <w:br/>
      </w:r>
      <w:r>
        <w:rPr>
          <w:rStyle w:val="VerbatimChar"/>
        </w:rPr>
        <w:t xml:space="preserve">    A1 --&gt; A3</w:t>
      </w:r>
      <w:r>
        <w:br/>
      </w:r>
      <w:r>
        <w:rPr>
          <w:rStyle w:val="VerbatimChar"/>
        </w:rPr>
        <w:t xml:space="preserve">    A2 --&gt; A3</w:t>
      </w:r>
      <w:r>
        <w:br/>
      </w:r>
      <w:r>
        <w:rPr>
          <w:rStyle w:val="VerbatimChar"/>
        </w:rPr>
        <w:t xml:space="preserve">    A3 --&gt; A4</w:t>
      </w:r>
      <w:r>
        <w:br/>
      </w:r>
      <w:r>
        <w:rPr>
          <w:rStyle w:val="VerbatimChar"/>
        </w:rPr>
        <w:t xml:space="preserve">    A4 --&gt; O1["Рейтинг"]</w:t>
      </w:r>
      <w:r>
        <w:br/>
      </w:r>
      <w:r>
        <w:rPr>
          <w:rStyle w:val="VerbatimChar"/>
        </w:rPr>
        <w:t xml:space="preserve">    A4 --&gt; O2["Отчёты"]</w:t>
      </w:r>
      <w:r>
        <w:br/>
      </w:r>
      <w:r>
        <w:rPr>
          <w:rStyle w:val="VerbatimChar"/>
        </w:rPr>
        <w:t xml:space="preserve">    A4 --&gt; O3["User_result,\nSection_progress"]</w:t>
      </w:r>
      <w:r>
        <w:br/>
      </w:r>
      <w:r>
        <w:br/>
      </w:r>
      <w:r>
        <w:rPr>
          <w:rStyle w:val="VerbatimChar"/>
        </w:rPr>
        <w:t xml:space="preserve">    C1["Роли и права"] --&gt; A1</w:t>
      </w:r>
      <w:r>
        <w:br/>
      </w:r>
      <w:r>
        <w:rPr>
          <w:rStyle w:val="VerbatimChar"/>
        </w:rPr>
        <w:t xml:space="preserve">    C1 --&gt; A3</w:t>
      </w:r>
      <w:r>
        <w:br/>
      </w:r>
      <w:r>
        <w:rPr>
          <w:rStyle w:val="VerbatimChar"/>
        </w:rPr>
        <w:t xml:space="preserve">    C2["Порог 70%"] --&gt; A4</w:t>
      </w:r>
      <w:r>
        <w:br/>
      </w:r>
      <w:r>
        <w:rPr>
          <w:rStyle w:val="VerbatimChar"/>
        </w:rPr>
        <w:t xml:space="preserve">    M1["Администратор"] --&gt; A1</w:t>
      </w:r>
      <w:r>
        <w:br/>
      </w:r>
      <w:r>
        <w:rPr>
          <w:rStyle w:val="VerbatimChar"/>
        </w:rPr>
        <w:t xml:space="preserve">    M1 --&gt; A2</w:t>
      </w:r>
      <w:r>
        <w:br/>
      </w:r>
      <w:r>
        <w:rPr>
          <w:rStyle w:val="VerbatimChar"/>
        </w:rPr>
        <w:t xml:space="preserve">    M2["Эксперт"] --&gt; A3</w:t>
      </w:r>
      <w:r>
        <w:br/>
      </w:r>
      <w:r>
        <w:rPr>
          <w:rStyle w:val="VerbatimChar"/>
        </w:rPr>
        <w:t xml:space="preserve">    M3["Обучающийся"] --&gt; A3</w:t>
      </w:r>
    </w:p>
    <w:bookmarkStart w:id="11" w:name="описание-подфункций"/>
    <w:p>
      <w:pPr>
        <w:pStyle w:val="Heading3"/>
      </w:pPr>
      <w:r>
        <w:t xml:space="preserve">Описание подфункций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04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и 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Вход в систему (JWT), CRUD пользователей, роли, должности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Управление каталогом курсов</w:t>
            </w:r>
          </w:p>
        </w:tc>
        <w:tc>
          <w:tcPr/>
          <w:p>
            <w:pPr>
              <w:pStyle w:val="Compact"/>
            </w:pPr>
            <w:r>
              <w:t xml:space="preserve">Загрузка SCORM, редактирование метаданных, скачивание архивов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Назначение и прохождение курсов</w:t>
            </w:r>
          </w:p>
        </w:tc>
        <w:tc>
          <w:tcPr/>
          <w:p>
            <w:pPr>
              <w:pStyle w:val="Compact"/>
            </w:pPr>
            <w:r>
              <w:t xml:space="preserve">Создание Assignments, запуск плеера, сохранение Section_progress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Учёт результатов и отчётность</w:t>
            </w:r>
          </w:p>
        </w:tc>
        <w:tc>
          <w:tcPr/>
          <w:p>
            <w:pPr>
              <w:pStyle w:val="Compact"/>
            </w:pPr>
            <w:r>
              <w:t xml:space="preserve">Расчёт баллов, рейтинг, Excel-отчёт, статусы passed/failed</w:t>
            </w:r>
          </w:p>
        </w:tc>
      </w:tr>
    </w:tbl>
    <w:bookmarkEnd w:id="11"/>
    <w:bookmarkStart w:id="12" w:name="связи-между-подфункциями"/>
    <w:p>
      <w:pPr>
        <w:pStyle w:val="Heading3"/>
      </w:pPr>
      <w:r>
        <w:t xml:space="preserve">Связи между подфункциями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A1 → A3:</w:t>
      </w:r>
      <w:r>
        <w:t xml:space="preserve"> </w:t>
      </w:r>
      <w:r>
        <w:t xml:space="preserve">только авторизованный пользователь с активным назначением может проходить курс.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 → A3:</w:t>
      </w:r>
      <w:r>
        <w:t xml:space="preserve"> </w:t>
      </w:r>
      <w:r>
        <w:t xml:space="preserve">курс из каталога выбирается при назначении и запуске.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 → A4:</w:t>
      </w:r>
      <w:r>
        <w:t xml:space="preserve"> </w:t>
      </w:r>
      <w:r>
        <w:t xml:space="preserve">завершение разделов и курса записывается в БД для аналитики.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Диаграммы подготовлены в нотации Mermaid. Для вставки в «проектная документация.docx»:</w:t>
      </w:r>
    </w:p>
    <w:p>
      <w:pPr>
        <w:pStyle w:val="Compact"/>
        <w:numPr>
          <w:ilvl w:val="0"/>
          <w:numId w:val="1002"/>
        </w:numPr>
      </w:pPr>
      <w:r>
        <w:t xml:space="preserve">Откройте файл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в VS Code / Cursor с предпросмотром Mermaid.</w:t>
      </w:r>
    </w:p>
    <w:p>
      <w:pPr>
        <w:pStyle w:val="Compact"/>
        <w:numPr>
          <w:ilvl w:val="0"/>
          <w:numId w:val="1002"/>
        </w:numPr>
      </w:pPr>
      <w:r>
        <w:t xml:space="preserve">Экспортируйте рисунки как PNG (или перерисуйте в draw.io / Visio по схеме выше).</w:t>
      </w:r>
    </w:p>
    <w:p>
      <w:pPr>
        <w:pStyle w:val="Compact"/>
        <w:numPr>
          <w:ilvl w:val="0"/>
          <w:numId w:val="1002"/>
        </w:numPr>
      </w:pPr>
      <w:r>
        <w:t xml:space="preserve">Вставьте подписи: «Рисунок 1. Контекстная диаграмма IDEF0», «Рисунок 2. Декомпозиция контекстной диаграммы IDEF0».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2026-06-14T17:15:59Z</dcterms:created>
  <dcterms:modified xsi:type="dcterms:W3CDTF">2026-06-14T17:15:59Z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