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b/>
          <w:bCs/>
          <w:color w:val="145A32"/>
          <w:sz w:val="56"/>
          <w:szCs w:val="56"/>
        </w:rPr>
        <w:t xml:space="preserve">OPTIAGENT TECHNOLOGIES</w:t>
      </w:r>
    </w:p>
    <w:p>
      <w:pPr>
        <w:spacing w:after="200"/>
        <w:jc w:val="center"/>
      </w:pPr>
      <w:r>
        <w:rPr>
          <w:b/>
          <w:bCs/>
          <w:color w:val="1E8449"/>
          <w:sz w:val="38"/>
          <w:szCs w:val="38"/>
        </w:rPr>
        <w:t xml:space="preserve">IT GOVERNANCE POLICY &amp; STANDARDS</w:t>
      </w:r>
    </w:p>
    <w:p>
      <w:pPr>
        <w:spacing w:after="150"/>
        <w:jc w:val="center"/>
      </w:pPr>
      <w:r>
        <w:rPr>
          <w:color w:val="555555"/>
          <w:sz w:val="22"/>
          <w:szCs w:val="22"/>
        </w:rPr>
        <w:t xml:space="preserve">Document ID: OAT-IT-001  |  Version: 4.0  |  Effective: January 1, 2025</w:t>
      </w:r>
    </w:p>
    <w:p>
      <w:pPr>
        <w:spacing w:after="150"/>
        <w:jc w:val="center"/>
      </w:pPr>
      <w:r>
        <w:rPr>
          <w:color w:val="555555"/>
          <w:sz w:val="22"/>
          <w:szCs w:val="22"/>
        </w:rPr>
        <w:t xml:space="preserve">Owner: VP IT Operations  |  it.policy@optiagent.com</w:t>
      </w:r>
    </w:p>
    <w:p>
      <w:pPr>
        <w:jc w:val="center"/>
      </w:pPr>
      <w:r>
        <w:rPr>
          <w:i/>
          <w:iCs/>
          <w:color w:val="888888"/>
          <w:sz w:val="22"/>
          <w:szCs w:val="22"/>
        </w:rPr>
        <w:t xml:space="preserve">Classification: Internal — IT, Engineering, Security, Management</w:t>
      </w:r>
    </w:p>
    <w:p>
      <w:r>
        <w:br w:type="page"/>
      </w:r>
    </w:p>
    <w:p>
      <w:pPr>
        <w:pStyle w:val="Heading1"/>
        <w:spacing w:after="200" w:before="400"/>
      </w:pPr>
      <w:r>
        <w:t xml:space="preserve">Table of Contents</w:t>
      </w:r>
    </w:p>
    <w:p>
      <w:pPr>
        <w:spacing w:after="120" w:line="276"/>
      </w:pPr>
      <w:r>
        <w:rPr>
          <w:sz w:val="22"/>
          <w:szCs w:val="22"/>
        </w:rPr>
        <w:t xml:space="preserve">1.  Purpose, Scope &amp; IT Organization</w:t>
      </w:r>
    </w:p>
    <w:p>
      <w:pPr>
        <w:spacing w:after="120" w:line="276"/>
      </w:pPr>
      <w:r>
        <w:rPr>
          <w:sz w:val="22"/>
          <w:szCs w:val="22"/>
        </w:rPr>
        <w:t xml:space="preserve">2.  IT Service Management (ITSM) Framework</w:t>
      </w:r>
    </w:p>
    <w:p>
      <w:pPr>
        <w:spacing w:after="120" w:line="276"/>
      </w:pPr>
      <w:r>
        <w:rPr>
          <w:sz w:val="22"/>
          <w:szCs w:val="22"/>
        </w:rPr>
        <w:t xml:space="preserve">3.  Incident Management Policy</w:t>
      </w:r>
    </w:p>
    <w:p>
      <w:pPr>
        <w:spacing w:after="120" w:line="276"/>
      </w:pPr>
      <w:r>
        <w:rPr>
          <w:sz w:val="22"/>
          <w:szCs w:val="22"/>
        </w:rPr>
        <w:t xml:space="preserve">4.  Change Management Policy</w:t>
      </w:r>
    </w:p>
    <w:p>
      <w:pPr>
        <w:spacing w:after="120" w:line="276"/>
      </w:pPr>
      <w:r>
        <w:rPr>
          <w:sz w:val="22"/>
          <w:szCs w:val="22"/>
        </w:rPr>
        <w:t xml:space="preserve">5.  Problem Management Policy</w:t>
      </w:r>
    </w:p>
    <w:p>
      <w:pPr>
        <w:spacing w:after="120" w:line="276"/>
      </w:pPr>
      <w:r>
        <w:rPr>
          <w:sz w:val="22"/>
          <w:szCs w:val="22"/>
        </w:rPr>
        <w:t xml:space="preserve">6.  IT Asset Management Policy</w:t>
      </w:r>
    </w:p>
    <w:p>
      <w:pPr>
        <w:spacing w:after="120" w:line="276"/>
      </w:pPr>
      <w:r>
        <w:rPr>
          <w:sz w:val="22"/>
          <w:szCs w:val="22"/>
        </w:rPr>
        <w:t xml:space="preserve">7.  Software Development Lifecycle (SDLC) Policy</w:t>
      </w:r>
    </w:p>
    <w:p>
      <w:pPr>
        <w:spacing w:after="120" w:line="276"/>
      </w:pPr>
      <w:r>
        <w:rPr>
          <w:sz w:val="22"/>
          <w:szCs w:val="22"/>
        </w:rPr>
        <w:t xml:space="preserve">8.  DevSecOps Standards</w:t>
      </w:r>
    </w:p>
    <w:p>
      <w:pPr>
        <w:spacing w:after="120" w:line="276"/>
      </w:pPr>
      <w:r>
        <w:rPr>
          <w:sz w:val="22"/>
          <w:szCs w:val="22"/>
        </w:rPr>
        <w:t xml:space="preserve">9.  Cloud Governance Policy</w:t>
      </w:r>
    </w:p>
    <w:p>
      <w:pPr>
        <w:spacing w:after="120" w:line="276"/>
      </w:pPr>
      <w:r>
        <w:rPr>
          <w:sz w:val="22"/>
          <w:szCs w:val="22"/>
        </w:rPr>
        <w:t xml:space="preserve">10. Network &amp; Infrastructure Policy</w:t>
      </w:r>
    </w:p>
    <w:p>
      <w:pPr>
        <w:spacing w:after="120" w:line="276"/>
      </w:pPr>
      <w:r>
        <w:rPr>
          <w:sz w:val="22"/>
          <w:szCs w:val="22"/>
        </w:rPr>
        <w:t xml:space="preserve">11. Endpoint Management Policy</w:t>
      </w:r>
    </w:p>
    <w:p>
      <w:pPr>
        <w:spacing w:after="120" w:line="276"/>
      </w:pPr>
      <w:r>
        <w:rPr>
          <w:sz w:val="22"/>
          <w:szCs w:val="22"/>
        </w:rPr>
        <w:t xml:space="preserve">12. Identity &amp; Access Management (IAM) Policy</w:t>
      </w:r>
    </w:p>
    <w:p>
      <w:pPr>
        <w:spacing w:after="120" w:line="276"/>
      </w:pPr>
      <w:r>
        <w:rPr>
          <w:sz w:val="22"/>
          <w:szCs w:val="22"/>
        </w:rPr>
        <w:t xml:space="preserve">13. Disaster Recovery &amp; Business Continuity (IT)</w:t>
      </w:r>
    </w:p>
    <w:p>
      <w:pPr>
        <w:spacing w:after="120" w:line="276"/>
      </w:pPr>
      <w:r>
        <w:rPr>
          <w:sz w:val="22"/>
          <w:szCs w:val="22"/>
        </w:rPr>
        <w:t xml:space="preserve">14. Vendor &amp; Third-Party IT Risk Management</w:t>
      </w:r>
    </w:p>
    <w:p>
      <w:pPr>
        <w:spacing w:after="120" w:line="276"/>
      </w:pPr>
      <w:r>
        <w:rPr>
          <w:sz w:val="22"/>
          <w:szCs w:val="22"/>
        </w:rPr>
        <w:t xml:space="preserve">15. IT Procurement Policy</w:t>
      </w:r>
    </w:p>
    <w:p>
      <w:pPr>
        <w:spacing w:after="120" w:line="276"/>
      </w:pPr>
      <w:r>
        <w:rPr>
          <w:sz w:val="22"/>
          <w:szCs w:val="22"/>
        </w:rPr>
        <w:t xml:space="preserve">16. Data Governance &amp; Architecture Standards</w:t>
      </w:r>
    </w:p>
    <w:p>
      <w:pPr>
        <w:spacing w:after="120" w:line="276"/>
      </w:pPr>
      <w:r>
        <w:rPr>
          <w:sz w:val="22"/>
          <w:szCs w:val="22"/>
        </w:rPr>
        <w:t xml:space="preserve">17. Monitoring, Logging &amp; Observability</w:t>
      </w:r>
    </w:p>
    <w:p>
      <w:pPr>
        <w:spacing w:after="120" w:line="276"/>
      </w:pPr>
      <w:r>
        <w:rPr>
          <w:sz w:val="22"/>
          <w:szCs w:val="22"/>
        </w:rPr>
        <w:t xml:space="preserve">18. IT Compliance &amp; Audit</w:t>
      </w:r>
    </w:p>
    <w:p>
      <w:pPr>
        <w:spacing w:after="120" w:line="276"/>
      </w:pPr>
      <w:r>
        <w:rPr>
          <w:sz w:val="22"/>
          <w:szCs w:val="22"/>
        </w:rPr>
        <w:t xml:space="preserve">19. AI / ML Infrastructure Policy</w:t>
      </w:r>
    </w:p>
    <w:p>
      <w:pPr>
        <w:spacing w:after="120" w:line="276"/>
      </w:pPr>
      <w:r>
        <w:rPr>
          <w:sz w:val="22"/>
          <w:szCs w:val="22"/>
        </w:rPr>
        <w:t xml:space="preserve">20. Glossary &amp; Key Contacts</w:t>
      </w:r>
    </w:p>
    <w:p>
      <w:r>
        <w:br w:type="page"/>
      </w:r>
    </w:p>
    <w:p>
      <w:pPr>
        <w:pStyle w:val="Heading1"/>
        <w:spacing w:after="200" w:before="400"/>
      </w:pPr>
      <w:r>
        <w:t xml:space="preserve">1. Purpose, Scope &amp; IT Organization</w:t>
      </w:r>
    </w:p>
    <w:p>
      <w:pPr>
        <w:pStyle w:val="Heading2"/>
        <w:spacing w:after="150" w:before="300"/>
      </w:pPr>
      <w:r>
        <w:t xml:space="preserve">1.1 Purpose</w:t>
      </w:r>
    </w:p>
    <w:p>
      <w:pPr>
        <w:spacing w:after="120" w:line="276"/>
      </w:pPr>
      <w:r>
        <w:rPr>
          <w:sz w:val="22"/>
          <w:szCs w:val="22"/>
        </w:rPr>
        <w:t xml:space="preserve">This IT Governance Policy &amp; Standards document establishes the framework, policies, and technical standards that govern all Information Technology operations, infrastructure, and engineering practices at OptiAgent Technologies. It is intended to ensure that IT systems are reliable, secure, compliant, and aligned with business objectives.</w:t>
      </w:r>
    </w:p>
    <w:p>
      <w:pPr>
        <w:spacing w:after="120" w:line="276"/>
      </w:pPr>
      <w:r>
        <w:rPr>
          <w:sz w:val="22"/>
          <w:szCs w:val="22"/>
        </w:rPr>
        <w:t xml:space="preserve">This document should be read in conjunction with the Company Policy (OAT-CP-001), which covers end-user acceptable use, security, and data classification. Where there is overlap, the more specific policy governs. For HR-related IT topics (equipment, onboarding, offboarding), see the Employee Handbook (HR-EH-001) and Onboarding Process (HR-OP-001).</w:t>
      </w:r>
    </w:p>
    <w:p>
      <w:pPr>
        <w:pStyle w:val="Heading2"/>
        <w:spacing w:after="150" w:before="300"/>
      </w:pPr>
      <w:r>
        <w:t xml:space="preserve">1.2 Scope</w:t>
      </w:r>
    </w:p>
    <w:p>
      <w:pPr>
        <w:spacing w:after="120" w:line="276"/>
      </w:pPr>
      <w:r>
        <w:rPr>
          <w:sz w:val="22"/>
          <w:szCs w:val="22"/>
        </w:rPr>
        <w:t xml:space="preserve">This policy applies to all IT systems, platforms, networks, and data environments owned, operated, or managed by OptiAgent Technologies globally. It applies to all employees, contractors, managed service providers, and third parties who design, build, operate, or support OptiAgent IT systems.</w:t>
      </w:r>
    </w:p>
    <w:p>
      <w:pPr>
        <w:pStyle w:val="Heading2"/>
        <w:spacing w:after="150" w:before="300"/>
      </w:pPr>
      <w:r>
        <w:t xml:space="preserve">1.3 IT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shd w:fill="145A32" w:color="145A32" w:val="clear"/>
          </w:tcPr>
          <w:p>
            <w:pPr>
              <w:spacing w:after="60"/>
            </w:pPr>
            <w:r>
              <w:rPr>
                <w:b/>
                <w:bCs/>
                <w:color w:val="FFFFFF"/>
                <w:sz w:val="20"/>
                <w:szCs w:val="20"/>
              </w:rPr>
              <w:t xml:space="preserve">Role</w:t>
            </w:r>
          </w:p>
        </w:tc>
        <w:tc>
          <w:tcPr>
            <w:tcW w:type="dxa" w:w="1800"/>
            <w:shd w:fill="145A32" w:color="145A32" w:val="clear"/>
          </w:tcPr>
          <w:p>
            <w:pPr>
              <w:spacing w:after="60"/>
            </w:pPr>
            <w:r>
              <w:rPr>
                <w:b/>
                <w:bCs/>
                <w:color w:val="FFFFFF"/>
                <w:sz w:val="20"/>
                <w:szCs w:val="20"/>
              </w:rPr>
              <w:t xml:space="preserve">Name / Team</w:t>
            </w:r>
          </w:p>
        </w:tc>
        <w:tc>
          <w:tcPr>
            <w:tcW w:type="dxa" w:w="2800"/>
            <w:shd w:fill="145A32" w:color="145A32" w:val="clear"/>
          </w:tcPr>
          <w:p>
            <w:pPr>
              <w:spacing w:after="60"/>
            </w:pPr>
            <w:r>
              <w:rPr>
                <w:b/>
                <w:bCs/>
                <w:color w:val="FFFFFF"/>
                <w:sz w:val="20"/>
                <w:szCs w:val="20"/>
              </w:rPr>
              <w:t xml:space="preserve">Contact</w:t>
            </w:r>
          </w:p>
        </w:tc>
        <w:tc>
          <w:tcPr>
            <w:tcW w:type="dxa" w:w="2560"/>
            <w:shd w:fill="145A32" w:color="145A32" w:val="clear"/>
          </w:tcPr>
          <w:p>
            <w:pPr>
              <w:spacing w:after="60"/>
            </w:pPr>
            <w:r>
              <w:rPr>
                <w:b/>
                <w:bCs/>
                <w:color w:val="FFFFFF"/>
                <w:sz w:val="20"/>
                <w:szCs w:val="20"/>
              </w:rPr>
              <w:t xml:space="preserve">Responsibility</w:t>
            </w:r>
          </w:p>
        </w:tc>
      </w:tr>
      <w:tr>
        <w:tc>
          <w:tcPr>
            <w:tcW w:type="dxa" w:w="2200"/>
            <w:shd w:fill="E9F7EF" w:color="E9F7EF" w:val="clear"/>
          </w:tcPr>
          <w:p>
            <w:pPr>
              <w:spacing w:after="60"/>
            </w:pPr>
            <w:r>
              <w:rPr>
                <w:sz w:val="20"/>
                <w:szCs w:val="20"/>
              </w:rPr>
              <w:t xml:space="preserve">VP IT Operations</w:t>
            </w:r>
          </w:p>
        </w:tc>
        <w:tc>
          <w:tcPr>
            <w:tcW w:type="dxa" w:w="1800"/>
            <w:shd w:fill="E9F7EF" w:color="E9F7EF" w:val="clear"/>
          </w:tcPr>
          <w:p>
            <w:pPr>
              <w:spacing w:after="60"/>
            </w:pPr>
            <w:r>
              <w:rPr>
                <w:sz w:val="20"/>
                <w:szCs w:val="20"/>
              </w:rPr>
              <w:t xml:space="preserve">Sanjay Mehta</w:t>
            </w:r>
          </w:p>
        </w:tc>
        <w:tc>
          <w:tcPr>
            <w:tcW w:type="dxa" w:w="2800"/>
            <w:shd w:fill="E9F7EF" w:color="E9F7EF" w:val="clear"/>
          </w:tcPr>
          <w:p>
            <w:pPr>
              <w:spacing w:after="60"/>
            </w:pPr>
            <w:r>
              <w:rPr>
                <w:sz w:val="20"/>
                <w:szCs w:val="20"/>
              </w:rPr>
              <w:t xml:space="preserve">sanjay.mehta@optiagent.com</w:t>
            </w:r>
          </w:p>
        </w:tc>
        <w:tc>
          <w:tcPr>
            <w:tcW w:type="dxa" w:w="2560"/>
            <w:shd w:fill="E9F7EF" w:color="E9F7EF" w:val="clear"/>
          </w:tcPr>
          <w:p>
            <w:pPr>
              <w:spacing w:after="60"/>
            </w:pPr>
            <w:r>
              <w:rPr>
                <w:sz w:val="20"/>
                <w:szCs w:val="20"/>
              </w:rPr>
              <w:t xml:space="preserve">Overall IT operations, infrastructure, helpdesk, and vendor management</w:t>
            </w:r>
          </w:p>
        </w:tc>
      </w:tr>
      <w:tr>
        <w:tc>
          <w:tcPr>
            <w:tcW w:type="dxa" w:w="2200"/>
            <w:shd w:fill="FFFFFF" w:color="FFFFFF" w:val="clear"/>
          </w:tcPr>
          <w:p>
            <w:pPr>
              <w:spacing w:after="60"/>
            </w:pPr>
            <w:r>
              <w:rPr>
                <w:sz w:val="20"/>
                <w:szCs w:val="20"/>
              </w:rPr>
              <w:t xml:space="preserve">CISO</w:t>
            </w:r>
          </w:p>
        </w:tc>
        <w:tc>
          <w:tcPr>
            <w:tcW w:type="dxa" w:w="1800"/>
            <w:shd w:fill="FFFFFF" w:color="FFFFFF" w:val="clear"/>
          </w:tcPr>
          <w:p>
            <w:pPr>
              <w:spacing w:after="60"/>
            </w:pPr>
            <w:r>
              <w:rPr>
                <w:sz w:val="20"/>
                <w:szCs w:val="20"/>
              </w:rPr>
              <w:t xml:space="preserve">Raj Anand</w:t>
            </w:r>
          </w:p>
        </w:tc>
        <w:tc>
          <w:tcPr>
            <w:tcW w:type="dxa" w:w="2800"/>
            <w:shd w:fill="FFFFFF" w:color="FFFFFF" w:val="clear"/>
          </w:tcPr>
          <w:p>
            <w:pPr>
              <w:spacing w:after="60"/>
            </w:pPr>
            <w:r>
              <w:rPr>
                <w:sz w:val="20"/>
                <w:szCs w:val="20"/>
              </w:rPr>
              <w:t xml:space="preserve">raj.anand@optiagent.com</w:t>
            </w:r>
          </w:p>
        </w:tc>
        <w:tc>
          <w:tcPr>
            <w:tcW w:type="dxa" w:w="2560"/>
            <w:shd w:fill="FFFFFF" w:color="FFFFFF" w:val="clear"/>
          </w:tcPr>
          <w:p>
            <w:pPr>
              <w:spacing w:after="60"/>
            </w:pPr>
            <w:r>
              <w:rPr>
                <w:sz w:val="20"/>
                <w:szCs w:val="20"/>
              </w:rPr>
              <w:t xml:space="preserve">Security architecture, security operations, compliance; see Company Policy OAT-CP-001</w:t>
            </w:r>
          </w:p>
        </w:tc>
      </w:tr>
      <w:tr>
        <w:tc>
          <w:tcPr>
            <w:tcW w:type="dxa" w:w="2200"/>
            <w:shd w:fill="E9F7EF" w:color="E9F7EF" w:val="clear"/>
          </w:tcPr>
          <w:p>
            <w:pPr>
              <w:spacing w:after="60"/>
            </w:pPr>
            <w:r>
              <w:rPr>
                <w:sz w:val="20"/>
                <w:szCs w:val="20"/>
              </w:rPr>
              <w:t xml:space="preserve">Director, IT Infrastructure</w:t>
            </w:r>
          </w:p>
        </w:tc>
        <w:tc>
          <w:tcPr>
            <w:tcW w:type="dxa" w:w="1800"/>
            <w:shd w:fill="E9F7EF" w:color="E9F7EF" w:val="clear"/>
          </w:tcPr>
          <w:p>
            <w:pPr>
              <w:spacing w:after="60"/>
            </w:pPr>
            <w:r>
              <w:rPr>
                <w:sz w:val="20"/>
                <w:szCs w:val="20"/>
              </w:rPr>
              <w:t xml:space="preserve">Tomasz Kowalski</w:t>
            </w:r>
          </w:p>
        </w:tc>
        <w:tc>
          <w:tcPr>
            <w:tcW w:type="dxa" w:w="2800"/>
            <w:shd w:fill="E9F7EF" w:color="E9F7EF" w:val="clear"/>
          </w:tcPr>
          <w:p>
            <w:pPr>
              <w:spacing w:after="60"/>
            </w:pPr>
            <w:r>
              <w:rPr>
                <w:sz w:val="20"/>
                <w:szCs w:val="20"/>
              </w:rPr>
              <w:t xml:space="preserve">tomasz.kowalski@optiagent.com</w:t>
            </w:r>
          </w:p>
        </w:tc>
        <w:tc>
          <w:tcPr>
            <w:tcW w:type="dxa" w:w="2560"/>
            <w:shd w:fill="E9F7EF" w:color="E9F7EF" w:val="clear"/>
          </w:tcPr>
          <w:p>
            <w:pPr>
              <w:spacing w:after="60"/>
            </w:pPr>
            <w:r>
              <w:rPr>
                <w:sz w:val="20"/>
                <w:szCs w:val="20"/>
              </w:rPr>
              <w:t xml:space="preserve">Data centers, networking, cloud infrastructure (non-product), telephony</w:t>
            </w:r>
          </w:p>
        </w:tc>
      </w:tr>
      <w:tr>
        <w:tc>
          <w:tcPr>
            <w:tcW w:type="dxa" w:w="2200"/>
            <w:shd w:fill="FFFFFF" w:color="FFFFFF" w:val="clear"/>
          </w:tcPr>
          <w:p>
            <w:pPr>
              <w:spacing w:after="60"/>
            </w:pPr>
            <w:r>
              <w:rPr>
                <w:sz w:val="20"/>
                <w:szCs w:val="20"/>
              </w:rPr>
              <w:t xml:space="preserve">Director, IT Helpdesk</w:t>
            </w:r>
          </w:p>
        </w:tc>
        <w:tc>
          <w:tcPr>
            <w:tcW w:type="dxa" w:w="1800"/>
            <w:shd w:fill="FFFFFF" w:color="FFFFFF" w:val="clear"/>
          </w:tcPr>
          <w:p>
            <w:pPr>
              <w:spacing w:after="60"/>
            </w:pPr>
            <w:r>
              <w:rPr>
                <w:sz w:val="20"/>
                <w:szCs w:val="20"/>
              </w:rPr>
              <w:t xml:space="preserve">Nkechi Obi</w:t>
            </w:r>
          </w:p>
        </w:tc>
        <w:tc>
          <w:tcPr>
            <w:tcW w:type="dxa" w:w="2800"/>
            <w:shd w:fill="FFFFFF" w:color="FFFFFF" w:val="clear"/>
          </w:tcPr>
          <w:p>
            <w:pPr>
              <w:spacing w:after="60"/>
            </w:pPr>
            <w:r>
              <w:rPr>
                <w:sz w:val="20"/>
                <w:szCs w:val="20"/>
              </w:rPr>
              <w:t xml:space="preserve">nkechi.obi@optiagent.com</w:t>
            </w:r>
          </w:p>
        </w:tc>
        <w:tc>
          <w:tcPr>
            <w:tcW w:type="dxa" w:w="2560"/>
            <w:shd w:fill="FFFFFF" w:color="FFFFFF" w:val="clear"/>
          </w:tcPr>
          <w:p>
            <w:pPr>
              <w:spacing w:after="60"/>
            </w:pPr>
            <w:r>
              <w:rPr>
                <w:sz w:val="20"/>
                <w:szCs w:val="20"/>
              </w:rPr>
              <w:t xml:space="preserve">End-user support, device management, SLA management</w:t>
            </w:r>
          </w:p>
        </w:tc>
      </w:tr>
      <w:tr>
        <w:tc>
          <w:tcPr>
            <w:tcW w:type="dxa" w:w="2200"/>
            <w:shd w:fill="E9F7EF" w:color="E9F7EF" w:val="clear"/>
          </w:tcPr>
          <w:p>
            <w:pPr>
              <w:spacing w:after="60"/>
            </w:pPr>
            <w:r>
              <w:rPr>
                <w:sz w:val="20"/>
                <w:szCs w:val="20"/>
              </w:rPr>
              <w:t xml:space="preserve">Director, DevSecOps</w:t>
            </w:r>
          </w:p>
        </w:tc>
        <w:tc>
          <w:tcPr>
            <w:tcW w:type="dxa" w:w="1800"/>
            <w:shd w:fill="E9F7EF" w:color="E9F7EF" w:val="clear"/>
          </w:tcPr>
          <w:p>
            <w:pPr>
              <w:spacing w:after="60"/>
            </w:pPr>
            <w:r>
              <w:rPr>
                <w:sz w:val="20"/>
                <w:szCs w:val="20"/>
              </w:rPr>
              <w:t xml:space="preserve">Arjun Sharma</w:t>
            </w:r>
          </w:p>
        </w:tc>
        <w:tc>
          <w:tcPr>
            <w:tcW w:type="dxa" w:w="2800"/>
            <w:shd w:fill="E9F7EF" w:color="E9F7EF" w:val="clear"/>
          </w:tcPr>
          <w:p>
            <w:pPr>
              <w:spacing w:after="60"/>
            </w:pPr>
            <w:r>
              <w:rPr>
                <w:sz w:val="20"/>
                <w:szCs w:val="20"/>
              </w:rPr>
              <w:t xml:space="preserve">arjun.sharma@optiagent.com</w:t>
            </w:r>
          </w:p>
        </w:tc>
        <w:tc>
          <w:tcPr>
            <w:tcW w:type="dxa" w:w="2560"/>
            <w:shd w:fill="E9F7EF" w:color="E9F7EF" w:val="clear"/>
          </w:tcPr>
          <w:p>
            <w:pPr>
              <w:spacing w:after="60"/>
            </w:pPr>
            <w:r>
              <w:rPr>
                <w:sz w:val="20"/>
                <w:szCs w:val="20"/>
              </w:rPr>
              <w:t xml:space="preserve">CI/CD, pipeline security, SAST/DAST, supply chain security</w:t>
            </w:r>
          </w:p>
        </w:tc>
      </w:tr>
      <w:tr>
        <w:tc>
          <w:tcPr>
            <w:tcW w:type="dxa" w:w="2200"/>
            <w:shd w:fill="FFFFFF" w:color="FFFFFF" w:val="clear"/>
          </w:tcPr>
          <w:p>
            <w:pPr>
              <w:spacing w:after="60"/>
            </w:pPr>
            <w:r>
              <w:rPr>
                <w:sz w:val="20"/>
                <w:szCs w:val="20"/>
              </w:rPr>
              <w:t xml:space="preserve">IT Asset Manager</w:t>
            </w:r>
          </w:p>
        </w:tc>
        <w:tc>
          <w:tcPr>
            <w:tcW w:type="dxa" w:w="1800"/>
            <w:shd w:fill="FFFFFF" w:color="FFFFFF" w:val="clear"/>
          </w:tcPr>
          <w:p>
            <w:pPr>
              <w:spacing w:after="60"/>
            </w:pPr>
            <w:r>
              <w:rPr>
                <w:sz w:val="20"/>
                <w:szCs w:val="20"/>
              </w:rPr>
              <w:t xml:space="preserve">Wei Zhang</w:t>
            </w:r>
          </w:p>
        </w:tc>
        <w:tc>
          <w:tcPr>
            <w:tcW w:type="dxa" w:w="2800"/>
            <w:shd w:fill="FFFFFF" w:color="FFFFFF" w:val="clear"/>
          </w:tcPr>
          <w:p>
            <w:pPr>
              <w:spacing w:after="60"/>
            </w:pPr>
            <w:r>
              <w:rPr>
                <w:sz w:val="20"/>
                <w:szCs w:val="20"/>
              </w:rPr>
              <w:t xml:space="preserve">wei.zhang@optiagent.com</w:t>
            </w:r>
          </w:p>
        </w:tc>
        <w:tc>
          <w:tcPr>
            <w:tcW w:type="dxa" w:w="2560"/>
            <w:shd w:fill="FFFFFF" w:color="FFFFFF" w:val="clear"/>
          </w:tcPr>
          <w:p>
            <w:pPr>
              <w:spacing w:after="60"/>
            </w:pPr>
            <w:r>
              <w:rPr>
                <w:sz w:val="20"/>
                <w:szCs w:val="20"/>
              </w:rPr>
              <w:t xml:space="preserve">Hardware and software asset register, license compliance</w:t>
            </w:r>
          </w:p>
        </w:tc>
      </w:tr>
      <w:tr>
        <w:tc>
          <w:tcPr>
            <w:tcW w:type="dxa" w:w="2200"/>
            <w:shd w:fill="E9F7EF" w:color="E9F7EF" w:val="clear"/>
          </w:tcPr>
          <w:p>
            <w:pPr>
              <w:spacing w:after="60"/>
            </w:pPr>
            <w:r>
              <w:rPr>
                <w:sz w:val="20"/>
                <w:szCs w:val="20"/>
              </w:rPr>
              <w:t xml:space="preserve">IT Procurement Lead</w:t>
            </w:r>
          </w:p>
        </w:tc>
        <w:tc>
          <w:tcPr>
            <w:tcW w:type="dxa" w:w="1800"/>
            <w:shd w:fill="E9F7EF" w:color="E9F7EF" w:val="clear"/>
          </w:tcPr>
          <w:p>
            <w:pPr>
              <w:spacing w:after="60"/>
            </w:pPr>
            <w:r>
              <w:rPr>
                <w:sz w:val="20"/>
                <w:szCs w:val="20"/>
              </w:rPr>
              <w:t xml:space="preserve">Fatima Al-Rashid</w:t>
            </w:r>
          </w:p>
        </w:tc>
        <w:tc>
          <w:tcPr>
            <w:tcW w:type="dxa" w:w="2800"/>
            <w:shd w:fill="E9F7EF" w:color="E9F7EF" w:val="clear"/>
          </w:tcPr>
          <w:p>
            <w:pPr>
              <w:spacing w:after="60"/>
            </w:pPr>
            <w:r>
              <w:rPr>
                <w:sz w:val="20"/>
                <w:szCs w:val="20"/>
              </w:rPr>
              <w:t xml:space="preserve">fatima.al-rashid@optiagent.com</w:t>
            </w:r>
          </w:p>
        </w:tc>
        <w:tc>
          <w:tcPr>
            <w:tcW w:type="dxa" w:w="2560"/>
            <w:shd w:fill="E9F7EF" w:color="E9F7EF" w:val="clear"/>
          </w:tcPr>
          <w:p>
            <w:pPr>
              <w:spacing w:after="60"/>
            </w:pPr>
            <w:r>
              <w:rPr>
                <w:sz w:val="20"/>
                <w:szCs w:val="20"/>
              </w:rPr>
              <w:t xml:space="preserve">IT vendor relationships, SaaS negotiations, renewal management</w:t>
            </w:r>
          </w:p>
        </w:tc>
      </w:tr>
      <w:tr>
        <w:tc>
          <w:tcPr>
            <w:tcW w:type="dxa" w:w="2200"/>
            <w:shd w:fill="FFFFFF" w:color="FFFFFF" w:val="clear"/>
          </w:tcPr>
          <w:p>
            <w:pPr>
              <w:spacing w:after="60"/>
            </w:pPr>
            <w:r>
              <w:rPr>
                <w:sz w:val="20"/>
                <w:szCs w:val="20"/>
              </w:rPr>
              <w:t xml:space="preserve">IT Helpdesk (General)</w:t>
            </w:r>
          </w:p>
        </w:tc>
        <w:tc>
          <w:tcPr>
            <w:tcW w:type="dxa" w:w="1800"/>
            <w:shd w:fill="FFFFFF" w:color="FFFFFF" w:val="clear"/>
          </w:tcPr>
          <w:p>
            <w:pPr>
              <w:spacing w:after="60"/>
            </w:pPr>
            <w:r>
              <w:rPr>
                <w:sz w:val="20"/>
                <w:szCs w:val="20"/>
              </w:rPr>
              <w:t xml:space="preserve">—</w:t>
            </w:r>
          </w:p>
        </w:tc>
        <w:tc>
          <w:tcPr>
            <w:tcW w:type="dxa" w:w="2800"/>
            <w:shd w:fill="FFFFFF" w:color="FFFFFF" w:val="clear"/>
          </w:tcPr>
          <w:p>
            <w:pPr>
              <w:spacing w:after="60"/>
            </w:pPr>
            <w:r>
              <w:rPr>
                <w:sz w:val="20"/>
                <w:szCs w:val="20"/>
              </w:rPr>
              <w:t xml:space="preserve">it.help@optiagent.com</w:t>
            </w:r>
          </w:p>
        </w:tc>
        <w:tc>
          <w:tcPr>
            <w:tcW w:type="dxa" w:w="2560"/>
            <w:shd w:fill="FFFFFF" w:color="FFFFFF" w:val="clear"/>
          </w:tcPr>
          <w:p>
            <w:pPr>
              <w:spacing w:after="60"/>
            </w:pPr>
            <w:r>
              <w:rPr>
                <w:sz w:val="20"/>
                <w:szCs w:val="20"/>
              </w:rPr>
              <w:t xml:space="preserve">First-line support; ServiceNow tickets</w:t>
            </w:r>
          </w:p>
        </w:tc>
      </w:tr>
    </w:tbl>
    <w:p>
      <w:pPr>
        <w:spacing w:after="80"/>
      </w:pPr>
      <w:r>
        <w:t xml:space="preserve"/>
      </w:r>
    </w:p>
    <w:p>
      <w:pPr>
        <w:pStyle w:val="Heading2"/>
        <w:spacing w:after="150" w:before="300"/>
      </w:pPr>
      <w:r>
        <w:t xml:space="preserve">1.4 IT Strategic Principles</w:t>
      </w:r>
    </w:p>
    <w:p>
      <w:pPr>
        <w:spacing w:after="120" w:line="276"/>
      </w:pPr>
      <w:r>
        <w:rPr>
          <w:sz w:val="22"/>
          <w:szCs w:val="22"/>
        </w:rPr>
        <w:t xml:space="preserve">All IT decisions at OptiAgent are guided by the following strategic principles:</w:t>
      </w:r>
    </w:p>
    <w:p>
      <w:pPr>
        <w:pStyle w:val="ListParagraph"/>
        <w:numPr>
          <w:ilvl w:val="0"/>
          <w:numId w:val="1"/>
        </w:numPr>
        <w:spacing w:after="80"/>
      </w:pPr>
      <w:r>
        <w:rPr>
          <w:sz w:val="22"/>
          <w:szCs w:val="22"/>
        </w:rPr>
        <w:t xml:space="preserve">Cloud-First: Prefer SaaS over on-premises; prefer PaaS over IaaS; prefer managed services over self-managed wherever operationally sound</w:t>
      </w:r>
    </w:p>
    <w:p>
      <w:pPr>
        <w:pStyle w:val="ListParagraph"/>
        <w:numPr>
          <w:ilvl w:val="0"/>
          <w:numId w:val="1"/>
        </w:numPr>
        <w:spacing w:after="80"/>
      </w:pPr>
      <w:r>
        <w:rPr>
          <w:sz w:val="22"/>
          <w:szCs w:val="22"/>
        </w:rPr>
        <w:t xml:space="preserve">Security by Design: Security controls are embedded at every layer — design, build, deploy, operate</w:t>
      </w:r>
    </w:p>
    <w:p>
      <w:pPr>
        <w:pStyle w:val="ListParagraph"/>
        <w:numPr>
          <w:ilvl w:val="0"/>
          <w:numId w:val="1"/>
        </w:numPr>
        <w:spacing w:after="80"/>
      </w:pPr>
      <w:r>
        <w:rPr>
          <w:sz w:val="22"/>
          <w:szCs w:val="22"/>
        </w:rPr>
        <w:t xml:space="preserve">Automation First: Manual, repetitive IT processes are candidates for automation; runbooks exist for all repetitive tasks</w:t>
      </w:r>
    </w:p>
    <w:p>
      <w:pPr>
        <w:pStyle w:val="ListParagraph"/>
        <w:numPr>
          <w:ilvl w:val="0"/>
          <w:numId w:val="1"/>
        </w:numPr>
        <w:spacing w:after="80"/>
      </w:pPr>
      <w:r>
        <w:rPr>
          <w:sz w:val="22"/>
          <w:szCs w:val="22"/>
        </w:rPr>
        <w:t xml:space="preserve">Least Privilege: Access is granted based on role requirements; no standing administrative access without just-in-time provisioning</w:t>
      </w:r>
    </w:p>
    <w:p>
      <w:pPr>
        <w:pStyle w:val="ListParagraph"/>
        <w:numPr>
          <w:ilvl w:val="0"/>
          <w:numId w:val="1"/>
        </w:numPr>
        <w:spacing w:after="80"/>
      </w:pPr>
      <w:r>
        <w:rPr>
          <w:sz w:val="22"/>
          <w:szCs w:val="22"/>
        </w:rPr>
        <w:t xml:space="preserve">Observability: All systems emit structured logs, metrics, and traces; no blind spots in production</w:t>
      </w:r>
    </w:p>
    <w:p>
      <w:pPr>
        <w:pStyle w:val="ListParagraph"/>
        <w:numPr>
          <w:ilvl w:val="0"/>
          <w:numId w:val="1"/>
        </w:numPr>
        <w:spacing w:after="80"/>
      </w:pPr>
      <w:r>
        <w:rPr>
          <w:sz w:val="22"/>
          <w:szCs w:val="22"/>
        </w:rPr>
        <w:t xml:space="preserve">Resilience: All critical systems have defined RTO/RPO targets and tested recovery procedures</w:t>
      </w:r>
    </w:p>
    <w:p>
      <w:pPr>
        <w:pStyle w:val="ListParagraph"/>
        <w:numPr>
          <w:ilvl w:val="0"/>
          <w:numId w:val="1"/>
        </w:numPr>
        <w:spacing w:after="80"/>
      </w:pPr>
      <w:r>
        <w:rPr>
          <w:sz w:val="22"/>
          <w:szCs w:val="22"/>
        </w:rPr>
        <w:t xml:space="preserve">Vendor Consolidation: Prefer existing platforms over new vendors; every new vendor requires a security and procurement review</w:t>
      </w:r>
    </w:p>
    <w:p>
      <w:r>
        <w:br w:type="page"/>
      </w:r>
    </w:p>
    <w:p>
      <w:pPr>
        <w:pStyle w:val="Heading1"/>
        <w:spacing w:after="200" w:before="400"/>
      </w:pPr>
      <w:r>
        <w:t xml:space="preserve">2. IT Service Management (ITSM) Framework</w:t>
      </w:r>
    </w:p>
    <w:p>
      <w:pPr>
        <w:pStyle w:val="Heading2"/>
        <w:spacing w:after="150" w:before="300"/>
      </w:pPr>
      <w:r>
        <w:t xml:space="preserve">2.1 ITSM Platform</w:t>
      </w:r>
    </w:p>
    <w:p>
      <w:pPr>
        <w:spacing w:after="120" w:line="276"/>
      </w:pPr>
      <w:r>
        <w:rPr>
          <w:sz w:val="22"/>
          <w:szCs w:val="22"/>
        </w:rPr>
        <w:t xml:space="preserve">OptiAgent Technologies uses ServiceNow as its ITSM platform. All IT processes — incident management, change management, problem management, asset management, service catalog, and knowledge management — are managed in ServiceNow. Access: it.optiagent.com/helpdesk (via Okta SSO).</w:t>
      </w:r>
    </w:p>
    <w:p>
      <w:pPr>
        <w:pStyle w:val="Heading2"/>
        <w:spacing w:after="150" w:before="300"/>
      </w:pPr>
      <w:r>
        <w:t xml:space="preserve">2.2 Service Catalog</w:t>
      </w:r>
    </w:p>
    <w:p>
      <w:pPr>
        <w:spacing w:after="120" w:line="276"/>
      </w:pPr>
      <w:r>
        <w:rPr>
          <w:sz w:val="22"/>
          <w:szCs w:val="22"/>
        </w:rPr>
        <w:t xml:space="preserve">The IT Service Catalog in ServiceNow defines all standard IT services available to employees. Categories include:</w:t>
      </w:r>
    </w:p>
    <w:p>
      <w:pPr>
        <w:pStyle w:val="ListParagraph"/>
        <w:numPr>
          <w:ilvl w:val="0"/>
          <w:numId w:val="1"/>
        </w:numPr>
        <w:spacing w:after="80"/>
      </w:pPr>
      <w:r>
        <w:rPr>
          <w:sz w:val="22"/>
          <w:szCs w:val="22"/>
        </w:rPr>
        <w:t xml:space="preserve">Access Management: New user setup, role changes, application access requests, VPN access, privileged access requests</w:t>
      </w:r>
    </w:p>
    <w:p>
      <w:pPr>
        <w:pStyle w:val="ListParagraph"/>
        <w:numPr>
          <w:ilvl w:val="0"/>
          <w:numId w:val="1"/>
        </w:numPr>
        <w:spacing w:after="80"/>
      </w:pPr>
      <w:r>
        <w:rPr>
          <w:sz w:val="22"/>
          <w:szCs w:val="22"/>
        </w:rPr>
        <w:t xml:space="preserve">Hardware: Laptop request, monitor request, peripheral request, equipment return, loaner device</w:t>
      </w:r>
    </w:p>
    <w:p>
      <w:pPr>
        <w:pStyle w:val="ListParagraph"/>
        <w:numPr>
          <w:ilvl w:val="0"/>
          <w:numId w:val="1"/>
        </w:numPr>
        <w:spacing w:after="80"/>
      </w:pPr>
      <w:r>
        <w:rPr>
          <w:sz w:val="22"/>
          <w:szCs w:val="22"/>
        </w:rPr>
        <w:t xml:space="preserve">Software: Software license request, license upgrade, software removal, approval for non-standard tools</w:t>
      </w:r>
    </w:p>
    <w:p>
      <w:pPr>
        <w:pStyle w:val="ListParagraph"/>
        <w:numPr>
          <w:ilvl w:val="0"/>
          <w:numId w:val="1"/>
        </w:numPr>
        <w:spacing w:after="80"/>
      </w:pPr>
      <w:r>
        <w:rPr>
          <w:sz w:val="22"/>
          <w:szCs w:val="22"/>
        </w:rPr>
        <w:t xml:space="preserve">Communication &amp; Collaboration: Email alias creation, distribution list management, Teams/Slack channel setup, Zoom room configuration</w:t>
      </w:r>
    </w:p>
    <w:p>
      <w:pPr>
        <w:pStyle w:val="ListParagraph"/>
        <w:numPr>
          <w:ilvl w:val="0"/>
          <w:numId w:val="1"/>
        </w:numPr>
        <w:spacing w:after="80"/>
      </w:pPr>
      <w:r>
        <w:rPr>
          <w:sz w:val="22"/>
          <w:szCs w:val="22"/>
        </w:rPr>
        <w:t xml:space="preserve">Security: MFA re-enrollment, YubiKey request, security exception request, certificate management</w:t>
      </w:r>
    </w:p>
    <w:p>
      <w:pPr>
        <w:pStyle w:val="ListParagraph"/>
        <w:numPr>
          <w:ilvl w:val="0"/>
          <w:numId w:val="1"/>
        </w:numPr>
        <w:spacing w:after="80"/>
      </w:pPr>
      <w:r>
        <w:rPr>
          <w:sz w:val="22"/>
          <w:szCs w:val="22"/>
        </w:rPr>
        <w:t xml:space="preserve">Infrastructure: VM provisioning, DNS record change, firewall rule request, network access request</w:t>
      </w:r>
    </w:p>
    <w:p>
      <w:pPr>
        <w:pStyle w:val="ListParagraph"/>
        <w:numPr>
          <w:ilvl w:val="0"/>
          <w:numId w:val="1"/>
        </w:numPr>
        <w:spacing w:after="80"/>
      </w:pPr>
      <w:r>
        <w:rPr>
          <w:sz w:val="22"/>
          <w:szCs w:val="22"/>
        </w:rPr>
        <w:t xml:space="preserve">Reporting &amp; Analytics: Power BI workspace creation, data access request, dashboard publishing</w:t>
      </w:r>
    </w:p>
    <w:p>
      <w:pPr>
        <w:pStyle w:val="Heading2"/>
        <w:spacing w:after="150" w:before="300"/>
      </w:pPr>
      <w:r>
        <w:t xml:space="preserve">2.3 Service Level Agreements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shd w:fill="145A32" w:color="145A32" w:val="clear"/>
          </w:tcPr>
          <w:p>
            <w:pPr>
              <w:spacing w:after="60"/>
            </w:pPr>
            <w:r>
              <w:rPr>
                <w:b/>
                <w:bCs/>
                <w:color w:val="FFFFFF"/>
                <w:sz w:val="20"/>
                <w:szCs w:val="20"/>
              </w:rPr>
              <w:t xml:space="preserve">Service</w:t>
            </w:r>
          </w:p>
        </w:tc>
        <w:tc>
          <w:tcPr>
            <w:tcW w:type="dxa" w:w="2000"/>
            <w:shd w:fill="145A32" w:color="145A32" w:val="clear"/>
          </w:tcPr>
          <w:p>
            <w:pPr>
              <w:spacing w:after="60"/>
            </w:pPr>
            <w:r>
              <w:rPr>
                <w:b/>
                <w:bCs/>
                <w:color w:val="FFFFFF"/>
                <w:sz w:val="20"/>
                <w:szCs w:val="20"/>
              </w:rPr>
              <w:t xml:space="preserve">Target</w:t>
            </w:r>
          </w:p>
        </w:tc>
        <w:tc>
          <w:tcPr>
            <w:tcW w:type="dxa" w:w="2200"/>
            <w:shd w:fill="145A32" w:color="145A32" w:val="clear"/>
          </w:tcPr>
          <w:p>
            <w:pPr>
              <w:spacing w:after="60"/>
            </w:pPr>
            <w:r>
              <w:rPr>
                <w:b/>
                <w:bCs/>
                <w:color w:val="FFFFFF"/>
                <w:sz w:val="20"/>
                <w:szCs w:val="20"/>
              </w:rPr>
              <w:t xml:space="preserve">Measurement</w:t>
            </w:r>
          </w:p>
        </w:tc>
        <w:tc>
          <w:tcPr>
            <w:tcW w:type="dxa" w:w="2360"/>
            <w:shd w:fill="145A32" w:color="145A32" w:val="clear"/>
          </w:tcPr>
          <w:p>
            <w:pPr>
              <w:spacing w:after="60"/>
            </w:pPr>
            <w:r>
              <w:rPr>
                <w:b/>
                <w:bCs/>
                <w:color w:val="FFFFFF"/>
                <w:sz w:val="20"/>
                <w:szCs w:val="20"/>
              </w:rPr>
              <w:t xml:space="preserve">Consequence of Breach</w:t>
            </w:r>
          </w:p>
        </w:tc>
      </w:tr>
      <w:tr>
        <w:tc>
          <w:tcPr>
            <w:tcW w:type="dxa" w:w="2800"/>
            <w:shd w:fill="E9F7EF" w:color="E9F7EF" w:val="clear"/>
          </w:tcPr>
          <w:p>
            <w:pPr>
              <w:spacing w:after="60"/>
            </w:pPr>
            <w:r>
              <w:rPr>
                <w:sz w:val="20"/>
                <w:szCs w:val="20"/>
              </w:rPr>
              <w:t xml:space="preserve">IT Helpdesk — P1 Incident response</w:t>
            </w:r>
          </w:p>
        </w:tc>
        <w:tc>
          <w:tcPr>
            <w:tcW w:type="dxa" w:w="2000"/>
            <w:shd w:fill="E9F7EF" w:color="E9F7EF" w:val="clear"/>
          </w:tcPr>
          <w:p>
            <w:pPr>
              <w:spacing w:after="60"/>
            </w:pPr>
            <w:r>
              <w:rPr>
                <w:sz w:val="20"/>
                <w:szCs w:val="20"/>
              </w:rPr>
              <w:t xml:space="preserve">15 minutes to acknowledge; 4 hours to resolve</w:t>
            </w:r>
          </w:p>
        </w:tc>
        <w:tc>
          <w:tcPr>
            <w:tcW w:type="dxa" w:w="2200"/>
            <w:shd w:fill="E9F7EF" w:color="E9F7EF" w:val="clear"/>
          </w:tcPr>
          <w:p>
            <w:pPr>
              <w:spacing w:after="60"/>
            </w:pPr>
            <w:r>
              <w:rPr>
                <w:sz w:val="20"/>
                <w:szCs w:val="20"/>
              </w:rPr>
              <w:t xml:space="preserve">ServiceNow SLA clock; measured monthly</w:t>
            </w:r>
          </w:p>
        </w:tc>
        <w:tc>
          <w:tcPr>
            <w:tcW w:type="dxa" w:w="2360"/>
            <w:shd w:fill="E9F7EF" w:color="E9F7EF" w:val="clear"/>
          </w:tcPr>
          <w:p>
            <w:pPr>
              <w:spacing w:after="60"/>
            </w:pPr>
            <w:r>
              <w:rPr>
                <w:sz w:val="20"/>
                <w:szCs w:val="20"/>
              </w:rPr>
              <w:t xml:space="preserve">Escalation to VP IT; root cause within 48 hours</w:t>
            </w:r>
          </w:p>
        </w:tc>
      </w:tr>
      <w:tr>
        <w:tc>
          <w:tcPr>
            <w:tcW w:type="dxa" w:w="2800"/>
            <w:shd w:fill="FFFFFF" w:color="FFFFFF" w:val="clear"/>
          </w:tcPr>
          <w:p>
            <w:pPr>
              <w:spacing w:after="60"/>
            </w:pPr>
            <w:r>
              <w:rPr>
                <w:sz w:val="20"/>
                <w:szCs w:val="20"/>
              </w:rPr>
              <w:t xml:space="preserve">IT Helpdesk — P2 Incident response</w:t>
            </w:r>
          </w:p>
        </w:tc>
        <w:tc>
          <w:tcPr>
            <w:tcW w:type="dxa" w:w="2000"/>
            <w:shd w:fill="FFFFFF" w:color="FFFFFF" w:val="clear"/>
          </w:tcPr>
          <w:p>
            <w:pPr>
              <w:spacing w:after="60"/>
            </w:pPr>
            <w:r>
              <w:rPr>
                <w:sz w:val="20"/>
                <w:szCs w:val="20"/>
              </w:rPr>
              <w:t xml:space="preserve">1 hour to acknowledge; 8 hours to resolve</w:t>
            </w:r>
          </w:p>
        </w:tc>
        <w:tc>
          <w:tcPr>
            <w:tcW w:type="dxa" w:w="2200"/>
            <w:shd w:fill="FFFFFF" w:color="FFFFFF" w:val="clear"/>
          </w:tcPr>
          <w:p>
            <w:pPr>
              <w:spacing w:after="60"/>
            </w:pPr>
            <w:r>
              <w:rPr>
                <w:sz w:val="20"/>
                <w:szCs w:val="20"/>
              </w:rPr>
              <w:t xml:space="preserve">ServiceNow SLA clock</w:t>
            </w:r>
          </w:p>
        </w:tc>
        <w:tc>
          <w:tcPr>
            <w:tcW w:type="dxa" w:w="2360"/>
            <w:shd w:fill="FFFFFF" w:color="FFFFFF" w:val="clear"/>
          </w:tcPr>
          <w:p>
            <w:pPr>
              <w:spacing w:after="60"/>
            </w:pPr>
            <w:r>
              <w:rPr>
                <w:sz w:val="20"/>
                <w:szCs w:val="20"/>
              </w:rPr>
              <w:t xml:space="preserve">Escalation to Director, IT Helpdesk</w:t>
            </w:r>
          </w:p>
        </w:tc>
      </w:tr>
      <w:tr>
        <w:tc>
          <w:tcPr>
            <w:tcW w:type="dxa" w:w="2800"/>
            <w:shd w:fill="E9F7EF" w:color="E9F7EF" w:val="clear"/>
          </w:tcPr>
          <w:p>
            <w:pPr>
              <w:spacing w:after="60"/>
            </w:pPr>
            <w:r>
              <w:rPr>
                <w:sz w:val="20"/>
                <w:szCs w:val="20"/>
              </w:rPr>
              <w:t xml:space="preserve">IT Helpdesk — P3 Standard requests</w:t>
            </w:r>
          </w:p>
        </w:tc>
        <w:tc>
          <w:tcPr>
            <w:tcW w:type="dxa" w:w="2000"/>
            <w:shd w:fill="E9F7EF" w:color="E9F7EF" w:val="clear"/>
          </w:tcPr>
          <w:p>
            <w:pPr>
              <w:spacing w:after="60"/>
            </w:pPr>
            <w:r>
              <w:rPr>
                <w:sz w:val="20"/>
                <w:szCs w:val="20"/>
              </w:rPr>
              <w:t xml:space="preserve">4 hours to acknowledge; 1 business day to resolve</w:t>
            </w:r>
          </w:p>
        </w:tc>
        <w:tc>
          <w:tcPr>
            <w:tcW w:type="dxa" w:w="2200"/>
            <w:shd w:fill="E9F7EF" w:color="E9F7EF" w:val="clear"/>
          </w:tcPr>
          <w:p>
            <w:pPr>
              <w:spacing w:after="60"/>
            </w:pPr>
            <w:r>
              <w:rPr>
                <w:sz w:val="20"/>
                <w:szCs w:val="20"/>
              </w:rPr>
              <w:t xml:space="preserve">ServiceNow</w:t>
            </w:r>
          </w:p>
        </w:tc>
        <w:tc>
          <w:tcPr>
            <w:tcW w:type="dxa" w:w="2360"/>
            <w:shd w:fill="E9F7EF" w:color="E9F7EF" w:val="clear"/>
          </w:tcPr>
          <w:p>
            <w:pPr>
              <w:spacing w:after="60"/>
            </w:pPr>
            <w:r>
              <w:rPr>
                <w:sz w:val="20"/>
                <w:szCs w:val="20"/>
              </w:rPr>
              <w:t xml:space="preserve">Weekly SLA review</w:t>
            </w:r>
          </w:p>
        </w:tc>
      </w:tr>
      <w:tr>
        <w:tc>
          <w:tcPr>
            <w:tcW w:type="dxa" w:w="2800"/>
            <w:shd w:fill="FFFFFF" w:color="FFFFFF" w:val="clear"/>
          </w:tcPr>
          <w:p>
            <w:pPr>
              <w:spacing w:after="60"/>
            </w:pPr>
            <w:r>
              <w:rPr>
                <w:sz w:val="20"/>
                <w:szCs w:val="20"/>
              </w:rPr>
              <w:t xml:space="preserve">IT Helpdesk — P4 General requests</w:t>
            </w:r>
          </w:p>
        </w:tc>
        <w:tc>
          <w:tcPr>
            <w:tcW w:type="dxa" w:w="2000"/>
            <w:shd w:fill="FFFFFF" w:color="FFFFFF" w:val="clear"/>
          </w:tcPr>
          <w:p>
            <w:pPr>
              <w:spacing w:after="60"/>
            </w:pPr>
            <w:r>
              <w:rPr>
                <w:sz w:val="20"/>
                <w:szCs w:val="20"/>
              </w:rPr>
              <w:t xml:space="preserve">1 business day to acknowledge; 3 business days to resolve</w:t>
            </w:r>
          </w:p>
        </w:tc>
        <w:tc>
          <w:tcPr>
            <w:tcW w:type="dxa" w:w="2200"/>
            <w:shd w:fill="FFFFFF" w:color="FFFFFF" w:val="clear"/>
          </w:tcPr>
          <w:p>
            <w:pPr>
              <w:spacing w:after="60"/>
            </w:pPr>
            <w:r>
              <w:rPr>
                <w:sz w:val="20"/>
                <w:szCs w:val="20"/>
              </w:rPr>
              <w:t xml:space="preserve">ServiceNow</w:t>
            </w:r>
          </w:p>
        </w:tc>
        <w:tc>
          <w:tcPr>
            <w:tcW w:type="dxa" w:w="2360"/>
            <w:shd w:fill="FFFFFF" w:color="FFFFFF" w:val="clear"/>
          </w:tcPr>
          <w:p>
            <w:pPr>
              <w:spacing w:after="60"/>
            </w:pPr>
            <w:r>
              <w:rPr>
                <w:sz w:val="20"/>
                <w:szCs w:val="20"/>
              </w:rPr>
              <w:t xml:space="preserve">Monthly SLA review</w:t>
            </w:r>
          </w:p>
        </w:tc>
      </w:tr>
      <w:tr>
        <w:tc>
          <w:tcPr>
            <w:tcW w:type="dxa" w:w="2800"/>
            <w:shd w:fill="E9F7EF" w:color="E9F7EF" w:val="clear"/>
          </w:tcPr>
          <w:p>
            <w:pPr>
              <w:spacing w:after="60"/>
            </w:pPr>
            <w:r>
              <w:rPr>
                <w:sz w:val="20"/>
                <w:szCs w:val="20"/>
              </w:rPr>
              <w:t xml:space="preserve">New employee account provisioning</w:t>
            </w:r>
          </w:p>
        </w:tc>
        <w:tc>
          <w:tcPr>
            <w:tcW w:type="dxa" w:w="2000"/>
            <w:shd w:fill="E9F7EF" w:color="E9F7EF" w:val="clear"/>
          </w:tcPr>
          <w:p>
            <w:pPr>
              <w:spacing w:after="60"/>
            </w:pPr>
            <w:r>
              <w:rPr>
                <w:sz w:val="20"/>
                <w:szCs w:val="20"/>
              </w:rPr>
              <w:t xml:space="preserve">All accounts ready by 8 AM on start date</w:t>
            </w:r>
          </w:p>
        </w:tc>
        <w:tc>
          <w:tcPr>
            <w:tcW w:type="dxa" w:w="2200"/>
            <w:shd w:fill="E9F7EF" w:color="E9F7EF" w:val="clear"/>
          </w:tcPr>
          <w:p>
            <w:pPr>
              <w:spacing w:after="60"/>
            </w:pPr>
            <w:r>
              <w:rPr>
                <w:sz w:val="20"/>
                <w:szCs w:val="20"/>
              </w:rPr>
              <w:t xml:space="preserve">Automated check + manual sign-off</w:t>
            </w:r>
          </w:p>
        </w:tc>
        <w:tc>
          <w:tcPr>
            <w:tcW w:type="dxa" w:w="2360"/>
            <w:shd w:fill="E9F7EF" w:color="E9F7EF" w:val="clear"/>
          </w:tcPr>
          <w:p>
            <w:pPr>
              <w:spacing w:after="60"/>
            </w:pPr>
            <w:r>
              <w:rPr>
                <w:sz w:val="20"/>
                <w:szCs w:val="20"/>
              </w:rPr>
              <w:t xml:space="preserve">Escalation to VP IT and HRBP</w:t>
            </w:r>
          </w:p>
        </w:tc>
      </w:tr>
      <w:tr>
        <w:tc>
          <w:tcPr>
            <w:tcW w:type="dxa" w:w="2800"/>
            <w:shd w:fill="FFFFFF" w:color="FFFFFF" w:val="clear"/>
          </w:tcPr>
          <w:p>
            <w:pPr>
              <w:spacing w:after="60"/>
            </w:pPr>
            <w:r>
              <w:rPr>
                <w:sz w:val="20"/>
                <w:szCs w:val="20"/>
              </w:rPr>
              <w:t xml:space="preserve">Software license provisioning (standard)</w:t>
            </w:r>
          </w:p>
        </w:tc>
        <w:tc>
          <w:tcPr>
            <w:tcW w:type="dxa" w:w="2000"/>
            <w:shd w:fill="FFFFFF" w:color="FFFFFF" w:val="clear"/>
          </w:tcPr>
          <w:p>
            <w:pPr>
              <w:spacing w:after="60"/>
            </w:pPr>
            <w:r>
              <w:rPr>
                <w:sz w:val="20"/>
                <w:szCs w:val="20"/>
              </w:rPr>
              <w:t xml:space="preserve">2 business days from approved ServiceNow ticket</w:t>
            </w:r>
          </w:p>
        </w:tc>
        <w:tc>
          <w:tcPr>
            <w:tcW w:type="dxa" w:w="2200"/>
            <w:shd w:fill="FFFFFF" w:color="FFFFFF" w:val="clear"/>
          </w:tcPr>
          <w:p>
            <w:pPr>
              <w:spacing w:after="60"/>
            </w:pPr>
            <w:r>
              <w:rPr>
                <w:sz w:val="20"/>
                <w:szCs w:val="20"/>
              </w:rPr>
              <w:t xml:space="preserve">ServiceNow</w:t>
            </w:r>
          </w:p>
        </w:tc>
        <w:tc>
          <w:tcPr>
            <w:tcW w:type="dxa" w:w="2360"/>
            <w:shd w:fill="FFFFFF" w:color="FFFFFF" w:val="clear"/>
          </w:tcPr>
          <w:p>
            <w:pPr>
              <w:spacing w:after="60"/>
            </w:pPr>
            <w:r>
              <w:rPr>
                <w:sz w:val="20"/>
                <w:szCs w:val="20"/>
              </w:rPr>
              <w:t xml:space="preserve">Review with IT Procurement</w:t>
            </w:r>
          </w:p>
        </w:tc>
      </w:tr>
      <w:tr>
        <w:tc>
          <w:tcPr>
            <w:tcW w:type="dxa" w:w="2800"/>
            <w:shd w:fill="E9F7EF" w:color="E9F7EF" w:val="clear"/>
          </w:tcPr>
          <w:p>
            <w:pPr>
              <w:spacing w:after="60"/>
            </w:pPr>
            <w:r>
              <w:rPr>
                <w:sz w:val="20"/>
                <w:szCs w:val="20"/>
              </w:rPr>
              <w:t xml:space="preserve">Access deprovisioning (leavers)</w:t>
            </w:r>
          </w:p>
        </w:tc>
        <w:tc>
          <w:tcPr>
            <w:tcW w:type="dxa" w:w="2000"/>
            <w:shd w:fill="E9F7EF" w:color="E9F7EF" w:val="clear"/>
          </w:tcPr>
          <w:p>
            <w:pPr>
              <w:spacing w:after="60"/>
            </w:pPr>
            <w:r>
              <w:rPr>
                <w:sz w:val="20"/>
                <w:szCs w:val="20"/>
              </w:rPr>
              <w:t xml:space="preserve">Completed by 6 PM on last working day</w:t>
            </w:r>
          </w:p>
        </w:tc>
        <w:tc>
          <w:tcPr>
            <w:tcW w:type="dxa" w:w="2200"/>
            <w:shd w:fill="E9F7EF" w:color="E9F7EF" w:val="clear"/>
          </w:tcPr>
          <w:p>
            <w:pPr>
              <w:spacing w:after="60"/>
            </w:pPr>
            <w:r>
              <w:rPr>
                <w:sz w:val="20"/>
                <w:szCs w:val="20"/>
              </w:rPr>
              <w:t xml:space="preserve">Automated Okta offboarding + manual check</w:t>
            </w:r>
          </w:p>
        </w:tc>
        <w:tc>
          <w:tcPr>
            <w:tcW w:type="dxa" w:w="2360"/>
            <w:shd w:fill="E9F7EF" w:color="E9F7EF" w:val="clear"/>
          </w:tcPr>
          <w:p>
            <w:pPr>
              <w:spacing w:after="60"/>
            </w:pPr>
            <w:r>
              <w:rPr>
                <w:sz w:val="20"/>
                <w:szCs w:val="20"/>
              </w:rPr>
              <w:t xml:space="preserve">Immediate escalation; security incident logged</w:t>
            </w:r>
          </w:p>
        </w:tc>
      </w:tr>
      <w:tr>
        <w:tc>
          <w:tcPr>
            <w:tcW w:type="dxa" w:w="2800"/>
            <w:shd w:fill="FFFFFF" w:color="FFFFFF" w:val="clear"/>
          </w:tcPr>
          <w:p>
            <w:pPr>
              <w:spacing w:after="60"/>
            </w:pPr>
            <w:r>
              <w:rPr>
                <w:sz w:val="20"/>
                <w:szCs w:val="20"/>
              </w:rPr>
              <w:t xml:space="preserve">System uptime — internal tools (M365, Okta, Workday)</w:t>
            </w:r>
          </w:p>
        </w:tc>
        <w:tc>
          <w:tcPr>
            <w:tcW w:type="dxa" w:w="2000"/>
            <w:shd w:fill="FFFFFF" w:color="FFFFFF" w:val="clear"/>
          </w:tcPr>
          <w:p>
            <w:pPr>
              <w:spacing w:after="60"/>
            </w:pPr>
            <w:r>
              <w:rPr>
                <w:sz w:val="20"/>
                <w:szCs w:val="20"/>
              </w:rPr>
              <w:t xml:space="preserve">99.9% monthly (3rd party SLAs apply)</w:t>
            </w:r>
          </w:p>
        </w:tc>
        <w:tc>
          <w:tcPr>
            <w:tcW w:type="dxa" w:w="2200"/>
            <w:shd w:fill="FFFFFF" w:color="FFFFFF" w:val="clear"/>
          </w:tcPr>
          <w:p>
            <w:pPr>
              <w:spacing w:after="60"/>
            </w:pPr>
            <w:r>
              <w:rPr>
                <w:sz w:val="20"/>
                <w:szCs w:val="20"/>
              </w:rPr>
              <w:t xml:space="preserve">Uptime monitoring via PagerDuty</w:t>
            </w:r>
          </w:p>
        </w:tc>
        <w:tc>
          <w:tcPr>
            <w:tcW w:type="dxa" w:w="2360"/>
            <w:shd w:fill="FFFFFF" w:color="FFFFFF" w:val="clear"/>
          </w:tcPr>
          <w:p>
            <w:pPr>
              <w:spacing w:after="60"/>
            </w:pPr>
            <w:r>
              <w:rPr>
                <w:sz w:val="20"/>
                <w:szCs w:val="20"/>
              </w:rPr>
              <w:t xml:space="preserve">Vendor SLA credits pursued; executive notification</w:t>
            </w:r>
          </w:p>
        </w:tc>
      </w:tr>
    </w:tbl>
    <w:p>
      <w:pPr>
        <w:spacing w:after="80"/>
      </w:pPr>
      <w:r>
        <w:t xml:space="preserve"/>
      </w:r>
    </w:p>
    <w:p>
      <w:r>
        <w:br w:type="page"/>
      </w:r>
    </w:p>
    <w:p>
      <w:pPr>
        <w:pStyle w:val="Heading1"/>
        <w:spacing w:after="200" w:before="400"/>
      </w:pPr>
      <w:r>
        <w:t xml:space="preserve">3. Incident Management Policy</w:t>
      </w:r>
    </w:p>
    <w:p>
      <w:pPr>
        <w:pStyle w:val="Heading2"/>
        <w:spacing w:after="150" w:before="300"/>
      </w:pPr>
      <w:r>
        <w:t xml:space="preserve">3.1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600"/>
        <w:gridCol w:w="1560"/>
      </w:tblGrid>
      <w:tr>
        <w:tc>
          <w:tcPr>
            <w:tcW w:type="dxa" w:w="1400"/>
            <w:shd w:fill="145A32" w:color="145A32" w:val="clear"/>
          </w:tcPr>
          <w:p>
            <w:pPr>
              <w:spacing w:after="60"/>
            </w:pPr>
            <w:r>
              <w:rPr>
                <w:b/>
                <w:bCs/>
                <w:color w:val="FFFFFF"/>
                <w:sz w:val="20"/>
                <w:szCs w:val="20"/>
              </w:rPr>
              <w:t xml:space="preserve">Priority</w:t>
            </w:r>
          </w:p>
        </w:tc>
        <w:tc>
          <w:tcPr>
            <w:tcW w:type="dxa" w:w="2200"/>
            <w:shd w:fill="145A32" w:color="145A32" w:val="clear"/>
          </w:tcPr>
          <w:p>
            <w:pPr>
              <w:spacing w:after="60"/>
            </w:pPr>
            <w:r>
              <w:rPr>
                <w:b/>
                <w:bCs/>
                <w:color w:val="FFFFFF"/>
                <w:sz w:val="20"/>
                <w:szCs w:val="20"/>
              </w:rPr>
              <w:t xml:space="preserve">Definition</w:t>
            </w:r>
          </w:p>
        </w:tc>
        <w:tc>
          <w:tcPr>
            <w:tcW w:type="dxa" w:w="2600"/>
            <w:shd w:fill="145A32" w:color="145A32" w:val="clear"/>
          </w:tcPr>
          <w:p>
            <w:pPr>
              <w:spacing w:after="60"/>
            </w:pPr>
            <w:r>
              <w:rPr>
                <w:b/>
                <w:bCs/>
                <w:color w:val="FFFFFF"/>
                <w:sz w:val="20"/>
                <w:szCs w:val="20"/>
              </w:rPr>
              <w:t xml:space="preserve">Examples</w:t>
            </w:r>
          </w:p>
        </w:tc>
        <w:tc>
          <w:tcPr>
            <w:tcW w:type="dxa" w:w="1600"/>
            <w:shd w:fill="145A32" w:color="145A32" w:val="clear"/>
          </w:tcPr>
          <w:p>
            <w:pPr>
              <w:spacing w:after="60"/>
            </w:pPr>
            <w:r>
              <w:rPr>
                <w:b/>
                <w:bCs/>
                <w:color w:val="FFFFFF"/>
                <w:sz w:val="20"/>
                <w:szCs w:val="20"/>
              </w:rPr>
              <w:t xml:space="preserve">Response Time</w:t>
            </w:r>
          </w:p>
        </w:tc>
        <w:tc>
          <w:tcPr>
            <w:tcW w:type="dxa" w:w="1560"/>
            <w:shd w:fill="145A32" w:color="145A32" w:val="clear"/>
          </w:tcPr>
          <w:p>
            <w:pPr>
              <w:spacing w:after="60"/>
            </w:pPr>
            <w:r>
              <w:rPr>
                <w:b/>
                <w:bCs/>
                <w:color w:val="FFFFFF"/>
                <w:sz w:val="20"/>
                <w:szCs w:val="20"/>
              </w:rPr>
              <w:t xml:space="preserve">Resolution Time</w:t>
            </w:r>
          </w:p>
        </w:tc>
      </w:tr>
      <w:tr>
        <w:tc>
          <w:tcPr>
            <w:tcW w:type="dxa" w:w="1400"/>
            <w:shd w:fill="E9F7EF" w:color="E9F7EF" w:val="clear"/>
          </w:tcPr>
          <w:p>
            <w:pPr>
              <w:spacing w:after="60"/>
            </w:pPr>
            <w:r>
              <w:rPr>
                <w:sz w:val="20"/>
                <w:szCs w:val="20"/>
              </w:rPr>
              <w:t xml:space="preserve">P1 — Critical</w:t>
            </w:r>
          </w:p>
        </w:tc>
        <w:tc>
          <w:tcPr>
            <w:tcW w:type="dxa" w:w="2200"/>
            <w:shd w:fill="E9F7EF" w:color="E9F7EF" w:val="clear"/>
          </w:tcPr>
          <w:p>
            <w:pPr>
              <w:spacing w:after="60"/>
            </w:pPr>
            <w:r>
              <w:rPr>
                <w:sz w:val="20"/>
                <w:szCs w:val="20"/>
              </w:rPr>
              <w:t xml:space="preserve">Complete outage of a critical service or active security breach affecting production or multiple users</w:t>
            </w:r>
          </w:p>
        </w:tc>
        <w:tc>
          <w:tcPr>
            <w:tcW w:type="dxa" w:w="2600"/>
            <w:shd w:fill="E9F7EF" w:color="E9F7EF" w:val="clear"/>
          </w:tcPr>
          <w:p>
            <w:pPr>
              <w:spacing w:after="60"/>
            </w:pPr>
            <w:r>
              <w:rPr>
                <w:sz w:val="20"/>
                <w:szCs w:val="20"/>
              </w:rPr>
              <w:t xml:space="preserve">Production platform down; ransomware detected; customer data breach; Okta SSO unavailable</w:t>
            </w:r>
          </w:p>
        </w:tc>
        <w:tc>
          <w:tcPr>
            <w:tcW w:type="dxa" w:w="1600"/>
            <w:shd w:fill="E9F7EF" w:color="E9F7EF" w:val="clear"/>
          </w:tcPr>
          <w:p>
            <w:pPr>
              <w:spacing w:after="60"/>
            </w:pPr>
            <w:r>
              <w:rPr>
                <w:sz w:val="20"/>
                <w:szCs w:val="20"/>
              </w:rPr>
              <w:t xml:space="preserve">15 minutes</w:t>
            </w:r>
          </w:p>
        </w:tc>
        <w:tc>
          <w:tcPr>
            <w:tcW w:type="dxa" w:w="1560"/>
            <w:shd w:fill="E9F7EF" w:color="E9F7EF" w:val="clear"/>
          </w:tcPr>
          <w:p>
            <w:pPr>
              <w:spacing w:after="60"/>
            </w:pPr>
            <w:r>
              <w:rPr>
                <w:sz w:val="20"/>
                <w:szCs w:val="20"/>
              </w:rPr>
              <w:t xml:space="preserve">4 hours</w:t>
            </w:r>
          </w:p>
        </w:tc>
      </w:tr>
      <w:tr>
        <w:tc>
          <w:tcPr>
            <w:tcW w:type="dxa" w:w="1400"/>
            <w:shd w:fill="FFFFFF" w:color="FFFFFF" w:val="clear"/>
          </w:tcPr>
          <w:p>
            <w:pPr>
              <w:spacing w:after="60"/>
            </w:pPr>
            <w:r>
              <w:rPr>
                <w:sz w:val="20"/>
                <w:szCs w:val="20"/>
              </w:rPr>
              <w:t xml:space="preserve">P2 — High</w:t>
            </w:r>
          </w:p>
        </w:tc>
        <w:tc>
          <w:tcPr>
            <w:tcW w:type="dxa" w:w="2200"/>
            <w:shd w:fill="FFFFFF" w:color="FFFFFF" w:val="clear"/>
          </w:tcPr>
          <w:p>
            <w:pPr>
              <w:spacing w:after="60"/>
            </w:pPr>
            <w:r>
              <w:rPr>
                <w:sz w:val="20"/>
                <w:szCs w:val="20"/>
              </w:rPr>
              <w:t xml:space="preserve">Significant degradation of a critical service or security threat contained but active</w:t>
            </w:r>
          </w:p>
        </w:tc>
        <w:tc>
          <w:tcPr>
            <w:tcW w:type="dxa" w:w="2600"/>
            <w:shd w:fill="FFFFFF" w:color="FFFFFF" w:val="clear"/>
          </w:tcPr>
          <w:p>
            <w:pPr>
              <w:spacing w:after="60"/>
            </w:pPr>
            <w:r>
              <w:rPr>
                <w:sz w:val="20"/>
                <w:szCs w:val="20"/>
              </w:rPr>
              <w:t xml:space="preserve">Major feature unavailable; significant performance degradation; phishing attack in progress; single privileged account compromised</w:t>
            </w:r>
          </w:p>
        </w:tc>
        <w:tc>
          <w:tcPr>
            <w:tcW w:type="dxa" w:w="1600"/>
            <w:shd w:fill="FFFFFF" w:color="FFFFFF" w:val="clear"/>
          </w:tcPr>
          <w:p>
            <w:pPr>
              <w:spacing w:after="60"/>
            </w:pPr>
            <w:r>
              <w:rPr>
                <w:sz w:val="20"/>
                <w:szCs w:val="20"/>
              </w:rPr>
              <w:t xml:space="preserve">1 hour</w:t>
            </w:r>
          </w:p>
        </w:tc>
        <w:tc>
          <w:tcPr>
            <w:tcW w:type="dxa" w:w="1560"/>
            <w:shd w:fill="FFFFFF" w:color="FFFFFF" w:val="clear"/>
          </w:tcPr>
          <w:p>
            <w:pPr>
              <w:spacing w:after="60"/>
            </w:pPr>
            <w:r>
              <w:rPr>
                <w:sz w:val="20"/>
                <w:szCs w:val="20"/>
              </w:rPr>
              <w:t xml:space="preserve">8 hours</w:t>
            </w:r>
          </w:p>
        </w:tc>
      </w:tr>
      <w:tr>
        <w:tc>
          <w:tcPr>
            <w:tcW w:type="dxa" w:w="1400"/>
            <w:shd w:fill="E9F7EF" w:color="E9F7EF" w:val="clear"/>
          </w:tcPr>
          <w:p>
            <w:pPr>
              <w:spacing w:after="60"/>
            </w:pPr>
            <w:r>
              <w:rPr>
                <w:sz w:val="20"/>
                <w:szCs w:val="20"/>
              </w:rPr>
              <w:t xml:space="preserve">P3 — Medium</w:t>
            </w:r>
          </w:p>
        </w:tc>
        <w:tc>
          <w:tcPr>
            <w:tcW w:type="dxa" w:w="2200"/>
            <w:shd w:fill="E9F7EF" w:color="E9F7EF" w:val="clear"/>
          </w:tcPr>
          <w:p>
            <w:pPr>
              <w:spacing w:after="60"/>
            </w:pPr>
            <w:r>
              <w:rPr>
                <w:sz w:val="20"/>
                <w:szCs w:val="20"/>
              </w:rPr>
              <w:t xml:space="preserve">Limited impact; workaround available; non-critical service affected</w:t>
            </w:r>
          </w:p>
        </w:tc>
        <w:tc>
          <w:tcPr>
            <w:tcW w:type="dxa" w:w="2600"/>
            <w:shd w:fill="E9F7EF" w:color="E9F7EF" w:val="clear"/>
          </w:tcPr>
          <w:p>
            <w:pPr>
              <w:spacing w:after="60"/>
            </w:pPr>
            <w:r>
              <w:rPr>
                <w:sz w:val="20"/>
                <w:szCs w:val="20"/>
              </w:rPr>
              <w:t xml:space="preserve">Single user unable to access a system; email delivery delay; non-critical app slow</w:t>
            </w:r>
          </w:p>
        </w:tc>
        <w:tc>
          <w:tcPr>
            <w:tcW w:type="dxa" w:w="1600"/>
            <w:shd w:fill="E9F7EF" w:color="E9F7EF" w:val="clear"/>
          </w:tcPr>
          <w:p>
            <w:pPr>
              <w:spacing w:after="60"/>
            </w:pPr>
            <w:r>
              <w:rPr>
                <w:sz w:val="20"/>
                <w:szCs w:val="20"/>
              </w:rPr>
              <w:t xml:space="preserve">4 hours</w:t>
            </w:r>
          </w:p>
        </w:tc>
        <w:tc>
          <w:tcPr>
            <w:tcW w:type="dxa" w:w="1560"/>
            <w:shd w:fill="E9F7EF" w:color="E9F7EF" w:val="clear"/>
          </w:tcPr>
          <w:p>
            <w:pPr>
              <w:spacing w:after="60"/>
            </w:pPr>
            <w:r>
              <w:rPr>
                <w:sz w:val="20"/>
                <w:szCs w:val="20"/>
              </w:rPr>
              <w:t xml:space="preserve">1 business day</w:t>
            </w:r>
          </w:p>
        </w:tc>
      </w:tr>
      <w:tr>
        <w:tc>
          <w:tcPr>
            <w:tcW w:type="dxa" w:w="1400"/>
            <w:shd w:fill="FFFFFF" w:color="FFFFFF" w:val="clear"/>
          </w:tcPr>
          <w:p>
            <w:pPr>
              <w:spacing w:after="60"/>
            </w:pPr>
            <w:r>
              <w:rPr>
                <w:sz w:val="20"/>
                <w:szCs w:val="20"/>
              </w:rPr>
              <w:t xml:space="preserve">P4 — Low</w:t>
            </w:r>
          </w:p>
        </w:tc>
        <w:tc>
          <w:tcPr>
            <w:tcW w:type="dxa" w:w="2200"/>
            <w:shd w:fill="FFFFFF" w:color="FFFFFF" w:val="clear"/>
          </w:tcPr>
          <w:p>
            <w:pPr>
              <w:spacing w:after="60"/>
            </w:pPr>
            <w:r>
              <w:rPr>
                <w:sz w:val="20"/>
                <w:szCs w:val="20"/>
              </w:rPr>
              <w:t xml:space="preserve">Minimal business impact; cosmetic or informational</w:t>
            </w:r>
          </w:p>
        </w:tc>
        <w:tc>
          <w:tcPr>
            <w:tcW w:type="dxa" w:w="2600"/>
            <w:shd w:fill="FFFFFF" w:color="FFFFFF" w:val="clear"/>
          </w:tcPr>
          <w:p>
            <w:pPr>
              <w:spacing w:after="60"/>
            </w:pPr>
            <w:r>
              <w:rPr>
                <w:sz w:val="20"/>
                <w:szCs w:val="20"/>
              </w:rPr>
              <w:t xml:space="preserve">Wrong application version; UI display error; informational security alert</w:t>
            </w:r>
          </w:p>
        </w:tc>
        <w:tc>
          <w:tcPr>
            <w:tcW w:type="dxa" w:w="1600"/>
            <w:shd w:fill="FFFFFF" w:color="FFFFFF" w:val="clear"/>
          </w:tcPr>
          <w:p>
            <w:pPr>
              <w:spacing w:after="60"/>
            </w:pPr>
            <w:r>
              <w:rPr>
                <w:sz w:val="20"/>
                <w:szCs w:val="20"/>
              </w:rPr>
              <w:t xml:space="preserve">1 business day</w:t>
            </w:r>
          </w:p>
        </w:tc>
        <w:tc>
          <w:tcPr>
            <w:tcW w:type="dxa" w:w="1560"/>
            <w:shd w:fill="FFFFFF" w:color="FFFFFF" w:val="clear"/>
          </w:tcPr>
          <w:p>
            <w:pPr>
              <w:spacing w:after="60"/>
            </w:pPr>
            <w:r>
              <w:rPr>
                <w:sz w:val="20"/>
                <w:szCs w:val="20"/>
              </w:rPr>
              <w:t xml:space="preserve">3 business days</w:t>
            </w:r>
          </w:p>
        </w:tc>
      </w:tr>
    </w:tbl>
    <w:p>
      <w:pPr>
        <w:spacing w:after="80"/>
      </w:pPr>
      <w:r>
        <w:t xml:space="preserve"/>
      </w:r>
    </w:p>
    <w:p>
      <w:pPr>
        <w:pStyle w:val="Heading2"/>
        <w:spacing w:after="150" w:before="300"/>
      </w:pPr>
      <w:r>
        <w:t xml:space="preserve">3.2 Incident Lifecycle</w:t>
      </w:r>
    </w:p>
    <w:p>
      <w:pPr>
        <w:spacing w:after="120" w:line="276"/>
      </w:pPr>
      <w:r>
        <w:rPr>
          <w:sz w:val="22"/>
          <w:szCs w:val="22"/>
        </w:rPr>
        <w:t xml:space="preserve">All incidents follow the standard ITIL incident lifecycle in ServiceNow:</w:t>
      </w:r>
    </w:p>
    <w:p>
      <w:pPr>
        <w:pStyle w:val="ListParagraph"/>
        <w:numPr>
          <w:ilvl w:val="0"/>
          <w:numId w:val="1"/>
        </w:numPr>
        <w:spacing w:after="80"/>
      </w:pPr>
      <w:r>
        <w:rPr>
          <w:sz w:val="22"/>
          <w:szCs w:val="22"/>
        </w:rPr>
        <w:t xml:space="preserve">Detection: Identified via monitoring alert (PagerDuty), user report (ServiceNow), or SOC (Splunk/Crowdstrike)</w:t>
      </w:r>
    </w:p>
    <w:p>
      <w:pPr>
        <w:pStyle w:val="ListParagraph"/>
        <w:numPr>
          <w:ilvl w:val="0"/>
          <w:numId w:val="1"/>
        </w:numPr>
        <w:spacing w:after="80"/>
      </w:pPr>
      <w:r>
        <w:rPr>
          <w:sz w:val="22"/>
          <w:szCs w:val="22"/>
        </w:rPr>
        <w:t xml:space="preserve">Logging: Incident record created in ServiceNow within 5 minutes of detection with initial impact assessment</w:t>
      </w:r>
    </w:p>
    <w:p>
      <w:pPr>
        <w:pStyle w:val="ListParagraph"/>
        <w:numPr>
          <w:ilvl w:val="0"/>
          <w:numId w:val="1"/>
        </w:numPr>
        <w:spacing w:after="80"/>
      </w:pPr>
      <w:r>
        <w:rPr>
          <w:sz w:val="22"/>
          <w:szCs w:val="22"/>
        </w:rPr>
        <w:t xml:space="preserve">Categorization: Priority assigned by IT Helpdesk or SOC; P1/P2 trigger automatic pager alert to on-call engineer</w:t>
      </w:r>
    </w:p>
    <w:p>
      <w:pPr>
        <w:pStyle w:val="ListParagraph"/>
        <w:numPr>
          <w:ilvl w:val="0"/>
          <w:numId w:val="1"/>
        </w:numPr>
        <w:spacing w:after="80"/>
      </w:pPr>
      <w:r>
        <w:rPr>
          <w:sz w:val="22"/>
          <w:szCs w:val="22"/>
        </w:rPr>
        <w:t xml:space="preserve">Investigation: Assigned to appropriate resolver group; progress updates every 30 minutes for P1, every 2 hours for P2</w:t>
      </w:r>
    </w:p>
    <w:p>
      <w:pPr>
        <w:pStyle w:val="ListParagraph"/>
        <w:numPr>
          <w:ilvl w:val="0"/>
          <w:numId w:val="1"/>
        </w:numPr>
        <w:spacing w:after="80"/>
      </w:pPr>
      <w:r>
        <w:rPr>
          <w:sz w:val="22"/>
          <w:szCs w:val="22"/>
        </w:rPr>
        <w:t xml:space="preserve">Resolution: Fix or workaround implemented; verification with affected users</w:t>
      </w:r>
    </w:p>
    <w:p>
      <w:pPr>
        <w:pStyle w:val="ListParagraph"/>
        <w:numPr>
          <w:ilvl w:val="0"/>
          <w:numId w:val="1"/>
        </w:numPr>
        <w:spacing w:after="80"/>
      </w:pPr>
      <w:r>
        <w:rPr>
          <w:sz w:val="22"/>
          <w:szCs w:val="22"/>
        </w:rPr>
        <w:t xml:space="preserve">Closure: Incident closed in ServiceNow; user notified; RCA triggered for P1/P2</w:t>
      </w:r>
    </w:p>
    <w:p>
      <w:pPr>
        <w:pStyle w:val="ListParagraph"/>
        <w:numPr>
          <w:ilvl w:val="0"/>
          <w:numId w:val="1"/>
        </w:numPr>
        <w:spacing w:after="80"/>
      </w:pPr>
      <w:r>
        <w:rPr>
          <w:sz w:val="22"/>
          <w:szCs w:val="22"/>
        </w:rPr>
        <w:t xml:space="preserve">Post-Incident Review: P1 incidents require a written Post-Incident Review (PIR) within 5 business days</w:t>
      </w:r>
    </w:p>
    <w:p>
      <w:pPr>
        <w:pStyle w:val="Heading2"/>
        <w:spacing w:after="150" w:before="300"/>
      </w:pPr>
      <w:r>
        <w:t xml:space="preserve">3.3 On-Call Rotation</w:t>
      </w:r>
    </w:p>
    <w:p>
      <w:pPr>
        <w:spacing w:after="120" w:line="276"/>
      </w:pPr>
      <w:r>
        <w:rPr>
          <w:sz w:val="22"/>
          <w:szCs w:val="22"/>
        </w:rPr>
        <w:t xml:space="preserve">Engineering and IT operations maintain 24/7 on-call coverage via PagerDuty. On-call schedules are published 4 weeks in advance. On-call compensation is provided per the Engineering Compensation Addendum (available from HRBP). Engineers on call must be reachable within 15 minutes and have VPN access available at all times during their on-call period.</w:t>
      </w:r>
    </w:p>
    <w:p>
      <w:pPr>
        <w:pStyle w:val="Heading2"/>
        <w:spacing w:after="150" w:before="300"/>
      </w:pPr>
      <w:r>
        <w:t xml:space="preserve">3.4 Major Incident Management</w:t>
      </w:r>
    </w:p>
    <w:p>
      <w:pPr>
        <w:spacing w:after="120" w:line="276"/>
      </w:pPr>
      <w:r>
        <w:rPr>
          <w:sz w:val="22"/>
          <w:szCs w:val="22"/>
        </w:rPr>
        <w:t xml:space="preserve">P1 incidents are handled as Major Incidents. The Major Incident Manager (MIM) role is rotated among Directors and above in IT and Engineering. During a P1:</w:t>
      </w:r>
    </w:p>
    <w:p>
      <w:pPr>
        <w:pStyle w:val="ListParagraph"/>
        <w:numPr>
          <w:ilvl w:val="0"/>
          <w:numId w:val="1"/>
        </w:numPr>
        <w:spacing w:after="80"/>
      </w:pPr>
      <w:r>
        <w:rPr>
          <w:sz w:val="22"/>
          <w:szCs w:val="22"/>
        </w:rPr>
        <w:t xml:space="preserve">MIM bridges all resolver groups in a dedicated Teams bridge within 15 minutes</w:t>
      </w:r>
    </w:p>
    <w:p>
      <w:pPr>
        <w:pStyle w:val="ListParagraph"/>
        <w:numPr>
          <w:ilvl w:val="0"/>
          <w:numId w:val="1"/>
        </w:numPr>
        <w:spacing w:after="80"/>
      </w:pPr>
      <w:r>
        <w:rPr>
          <w:sz w:val="22"/>
          <w:szCs w:val="22"/>
        </w:rPr>
        <w:t xml:space="preserve">Stakeholder updates are sent every 30 minutes to the IT Status Page (status.optiagent.com) and the #incidents Slack channel</w:t>
      </w:r>
    </w:p>
    <w:p>
      <w:pPr>
        <w:pStyle w:val="ListParagraph"/>
        <w:numPr>
          <w:ilvl w:val="0"/>
          <w:numId w:val="1"/>
        </w:numPr>
        <w:spacing w:after="80"/>
      </w:pPr>
      <w:r>
        <w:rPr>
          <w:sz w:val="22"/>
          <w:szCs w:val="22"/>
        </w:rPr>
        <w:t xml:space="preserve">The CISO is notified immediately if the incident has a security dimension</w:t>
      </w:r>
    </w:p>
    <w:p>
      <w:pPr>
        <w:pStyle w:val="ListParagraph"/>
        <w:numPr>
          <w:ilvl w:val="0"/>
          <w:numId w:val="1"/>
        </w:numPr>
        <w:spacing w:after="80"/>
      </w:pPr>
      <w:r>
        <w:rPr>
          <w:sz w:val="22"/>
          <w:szCs w:val="22"/>
        </w:rPr>
        <w:t xml:space="preserve">The CFO and CEO are notified if a customer-facing outage exceeds 30 minutes</w:t>
      </w:r>
    </w:p>
    <w:p>
      <w:pPr>
        <w:pStyle w:val="ListParagraph"/>
        <w:numPr>
          <w:ilvl w:val="0"/>
          <w:numId w:val="1"/>
        </w:numPr>
        <w:spacing w:after="80"/>
      </w:pPr>
      <w:r>
        <w:rPr>
          <w:sz w:val="22"/>
          <w:szCs w:val="22"/>
        </w:rPr>
        <w:t xml:space="preserve">Customer communication is coordinated by Customer Success within 1 hour of P1 declaration</w:t>
      </w:r>
    </w:p>
    <w:p>
      <w:r>
        <w:br w:type="page"/>
      </w:r>
    </w:p>
    <w:p>
      <w:pPr>
        <w:pStyle w:val="Heading1"/>
        <w:spacing w:after="200" w:before="400"/>
      </w:pPr>
      <w:r>
        <w:t xml:space="preserve">4. Change Management Policy</w:t>
      </w:r>
    </w:p>
    <w:p>
      <w:pPr>
        <w:pStyle w:val="Heading2"/>
        <w:spacing w:after="150" w:before="300"/>
      </w:pPr>
      <w:r>
        <w:t xml:space="preserve">4.1 Change Philosophy</w:t>
      </w:r>
    </w:p>
    <w:p>
      <w:pPr>
        <w:spacing w:after="120" w:line="276"/>
      </w:pPr>
      <w:r>
        <w:rPr>
          <w:sz w:val="22"/>
          <w:szCs w:val="22"/>
        </w:rPr>
        <w:t xml:space="preserve">All changes to production infrastructure, applications, and platforms must follow the Change Management process. Uncontrolled change is the single largest contributor to production outages at technology companies. OptiAgent follows the principle: every change must be planned, communicated, reviewed, and reversible.</w:t>
      </w:r>
    </w:p>
    <w:p>
      <w:pPr>
        <w:pStyle w:val="Heading2"/>
        <w:spacing w:after="150" w:before="300"/>
      </w:pPr>
      <w:r>
        <w:t xml:space="preserve">4.2 Change Types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100"/>
        <w:gridCol w:w="1060"/>
      </w:tblGrid>
      <w:tr>
        <w:tc>
          <w:tcPr>
            <w:tcW w:type="dxa" w:w="1800"/>
            <w:shd w:fill="145A32" w:color="145A32" w:val="clear"/>
          </w:tcPr>
          <w:p>
            <w:pPr>
              <w:spacing w:after="60"/>
            </w:pPr>
            <w:r>
              <w:rPr>
                <w:b/>
                <w:bCs/>
                <w:color w:val="FFFFFF"/>
                <w:sz w:val="20"/>
                <w:szCs w:val="20"/>
              </w:rPr>
              <w:t xml:space="preserve">Change Type</w:t>
            </w:r>
          </w:p>
        </w:tc>
        <w:tc>
          <w:tcPr>
            <w:tcW w:type="dxa" w:w="2400"/>
            <w:shd w:fill="145A32" w:color="145A32" w:val="clear"/>
          </w:tcPr>
          <w:p>
            <w:pPr>
              <w:spacing w:after="60"/>
            </w:pPr>
            <w:r>
              <w:rPr>
                <w:b/>
                <w:bCs/>
                <w:color w:val="FFFFFF"/>
                <w:sz w:val="20"/>
                <w:szCs w:val="20"/>
              </w:rPr>
              <w:t xml:space="preserve">Definition</w:t>
            </w:r>
          </w:p>
        </w:tc>
        <w:tc>
          <w:tcPr>
            <w:tcW w:type="dxa" w:w="2000"/>
            <w:shd w:fill="145A32" w:color="145A32" w:val="clear"/>
          </w:tcPr>
          <w:p>
            <w:pPr>
              <w:spacing w:after="60"/>
            </w:pPr>
            <w:r>
              <w:rPr>
                <w:b/>
                <w:bCs/>
                <w:color w:val="FFFFFF"/>
                <w:sz w:val="20"/>
                <w:szCs w:val="20"/>
              </w:rPr>
              <w:t xml:space="preserve">Examples</w:t>
            </w:r>
          </w:p>
        </w:tc>
        <w:tc>
          <w:tcPr>
            <w:tcW w:type="dxa" w:w="2100"/>
            <w:shd w:fill="145A32" w:color="145A32" w:val="clear"/>
          </w:tcPr>
          <w:p>
            <w:pPr>
              <w:spacing w:after="60"/>
            </w:pPr>
            <w:r>
              <w:rPr>
                <w:b/>
                <w:bCs/>
                <w:color w:val="FFFFFF"/>
                <w:sz w:val="20"/>
                <w:szCs w:val="20"/>
              </w:rPr>
              <w:t xml:space="preserve">Approval Required</w:t>
            </w:r>
          </w:p>
        </w:tc>
        <w:tc>
          <w:tcPr>
            <w:tcW w:type="dxa" w:w="1060"/>
            <w:shd w:fill="145A32" w:color="145A32" w:val="clear"/>
          </w:tcPr>
          <w:p>
            <w:pPr>
              <w:spacing w:after="60"/>
            </w:pPr>
            <w:r>
              <w:rPr>
                <w:b/>
                <w:bCs/>
                <w:color w:val="FFFFFF"/>
                <w:sz w:val="20"/>
                <w:szCs w:val="20"/>
              </w:rPr>
              <w:t xml:space="preserve">Notice Period</w:t>
            </w:r>
          </w:p>
        </w:tc>
      </w:tr>
      <w:tr>
        <w:tc>
          <w:tcPr>
            <w:tcW w:type="dxa" w:w="1800"/>
            <w:shd w:fill="E9F7EF" w:color="E9F7EF" w:val="clear"/>
          </w:tcPr>
          <w:p>
            <w:pPr>
              <w:spacing w:after="60"/>
            </w:pPr>
            <w:r>
              <w:rPr>
                <w:sz w:val="20"/>
                <w:szCs w:val="20"/>
              </w:rPr>
              <w:t xml:space="preserve">Standard Change</w:t>
            </w:r>
          </w:p>
        </w:tc>
        <w:tc>
          <w:tcPr>
            <w:tcW w:type="dxa" w:w="2400"/>
            <w:shd w:fill="E9F7EF" w:color="E9F7EF" w:val="clear"/>
          </w:tcPr>
          <w:p>
            <w:pPr>
              <w:spacing w:after="60"/>
            </w:pPr>
            <w:r>
              <w:rPr>
                <w:sz w:val="20"/>
                <w:szCs w:val="20"/>
              </w:rPr>
              <w:t xml:space="preserve">Pre-approved, low-risk, routine change following a well-tested procedure</w:t>
            </w:r>
          </w:p>
        </w:tc>
        <w:tc>
          <w:tcPr>
            <w:tcW w:type="dxa" w:w="2000"/>
            <w:shd w:fill="E9F7EF" w:color="E9F7EF" w:val="clear"/>
          </w:tcPr>
          <w:p>
            <w:pPr>
              <w:spacing w:after="60"/>
            </w:pPr>
            <w:r>
              <w:rPr>
                <w:sz w:val="20"/>
                <w:szCs w:val="20"/>
              </w:rPr>
              <w:t xml:space="preserve">Scheduled server patching; routine certificate renewal; adding a user to an approved group</w:t>
            </w:r>
          </w:p>
        </w:tc>
        <w:tc>
          <w:tcPr>
            <w:tcW w:type="dxa" w:w="2100"/>
            <w:shd w:fill="E9F7EF" w:color="E9F7EF" w:val="clear"/>
          </w:tcPr>
          <w:p>
            <w:pPr>
              <w:spacing w:after="60"/>
            </w:pPr>
            <w:r>
              <w:rPr>
                <w:sz w:val="20"/>
                <w:szCs w:val="20"/>
              </w:rPr>
              <w:t xml:space="preserve">Change Advisory Board (CAB) pre-approval of the template; individual instances auto-approved</w:t>
            </w:r>
          </w:p>
        </w:tc>
        <w:tc>
          <w:tcPr>
            <w:tcW w:type="dxa" w:w="1060"/>
            <w:shd w:fill="E9F7EF" w:color="E9F7EF" w:val="clear"/>
          </w:tcPr>
          <w:p>
            <w:pPr>
              <w:spacing w:after="60"/>
            </w:pPr>
            <w:r>
              <w:rPr>
                <w:sz w:val="20"/>
                <w:szCs w:val="20"/>
              </w:rPr>
              <w:t xml:space="preserve">As per schedule; communicated in advance</w:t>
            </w:r>
          </w:p>
        </w:tc>
      </w:tr>
      <w:tr>
        <w:tc>
          <w:tcPr>
            <w:tcW w:type="dxa" w:w="1800"/>
            <w:shd w:fill="FFFFFF" w:color="FFFFFF" w:val="clear"/>
          </w:tcPr>
          <w:p>
            <w:pPr>
              <w:spacing w:after="60"/>
            </w:pPr>
            <w:r>
              <w:rPr>
                <w:sz w:val="20"/>
                <w:szCs w:val="20"/>
              </w:rPr>
              <w:t xml:space="preserve">Normal Change — Minor</w:t>
            </w:r>
          </w:p>
        </w:tc>
        <w:tc>
          <w:tcPr>
            <w:tcW w:type="dxa" w:w="2400"/>
            <w:shd w:fill="FFFFFF" w:color="FFFFFF" w:val="clear"/>
          </w:tcPr>
          <w:p>
            <w:pPr>
              <w:spacing w:after="60"/>
            </w:pPr>
            <w:r>
              <w:rPr>
                <w:sz w:val="20"/>
                <w:szCs w:val="20"/>
              </w:rPr>
              <w:t xml:space="preserve">Moderate risk; follows a tested process but requires individual review</w:t>
            </w:r>
          </w:p>
        </w:tc>
        <w:tc>
          <w:tcPr>
            <w:tcW w:type="dxa" w:w="2000"/>
            <w:shd w:fill="FFFFFF" w:color="FFFFFF" w:val="clear"/>
          </w:tcPr>
          <w:p>
            <w:pPr>
              <w:spacing w:after="60"/>
            </w:pPr>
            <w:r>
              <w:rPr>
                <w:sz w:val="20"/>
                <w:szCs w:val="20"/>
              </w:rPr>
              <w:t xml:space="preserve">Application config change; minor infrastructure scaling; non-production database update</w:t>
            </w:r>
          </w:p>
        </w:tc>
        <w:tc>
          <w:tcPr>
            <w:tcW w:type="dxa" w:w="2100"/>
            <w:shd w:fill="FFFFFF" w:color="FFFFFF" w:val="clear"/>
          </w:tcPr>
          <w:p>
            <w:pPr>
              <w:spacing w:after="60"/>
            </w:pPr>
            <w:r>
              <w:rPr>
                <w:sz w:val="20"/>
                <w:szCs w:val="20"/>
              </w:rPr>
              <w:t xml:space="preserve">IT Change Manager + Technical Lead</w:t>
            </w:r>
          </w:p>
        </w:tc>
        <w:tc>
          <w:tcPr>
            <w:tcW w:type="dxa" w:w="1060"/>
            <w:shd w:fill="FFFFFF" w:color="FFFFFF" w:val="clear"/>
          </w:tcPr>
          <w:p>
            <w:pPr>
              <w:spacing w:after="60"/>
            </w:pPr>
            <w:r>
              <w:rPr>
                <w:sz w:val="20"/>
                <w:szCs w:val="20"/>
              </w:rPr>
              <w:t xml:space="preserve">5 business days before planned implementation</w:t>
            </w:r>
          </w:p>
        </w:tc>
      </w:tr>
      <w:tr>
        <w:tc>
          <w:tcPr>
            <w:tcW w:type="dxa" w:w="1800"/>
            <w:shd w:fill="E9F7EF" w:color="E9F7EF" w:val="clear"/>
          </w:tcPr>
          <w:p>
            <w:pPr>
              <w:spacing w:after="60"/>
            </w:pPr>
            <w:r>
              <w:rPr>
                <w:sz w:val="20"/>
                <w:szCs w:val="20"/>
              </w:rPr>
              <w:t xml:space="preserve">Normal Change — Major</w:t>
            </w:r>
          </w:p>
        </w:tc>
        <w:tc>
          <w:tcPr>
            <w:tcW w:type="dxa" w:w="2400"/>
            <w:shd w:fill="E9F7EF" w:color="E9F7EF" w:val="clear"/>
          </w:tcPr>
          <w:p>
            <w:pPr>
              <w:spacing w:after="60"/>
            </w:pPr>
            <w:r>
              <w:rPr>
                <w:sz w:val="20"/>
                <w:szCs w:val="20"/>
              </w:rPr>
              <w:t xml:space="preserve">Higher risk; significant scope; may affect multiple systems or users</w:t>
            </w:r>
          </w:p>
        </w:tc>
        <w:tc>
          <w:tcPr>
            <w:tcW w:type="dxa" w:w="2000"/>
            <w:shd w:fill="E9F7EF" w:color="E9F7EF" w:val="clear"/>
          </w:tcPr>
          <w:p>
            <w:pPr>
              <w:spacing w:after="60"/>
            </w:pPr>
            <w:r>
              <w:rPr>
                <w:sz w:val="20"/>
                <w:szCs w:val="20"/>
              </w:rPr>
              <w:t xml:space="preserve">Major release deployment; network topology change; new data center integration</w:t>
            </w:r>
          </w:p>
        </w:tc>
        <w:tc>
          <w:tcPr>
            <w:tcW w:type="dxa" w:w="2100"/>
            <w:shd w:fill="E9F7EF" w:color="E9F7EF" w:val="clear"/>
          </w:tcPr>
          <w:p>
            <w:pPr>
              <w:spacing w:after="60"/>
            </w:pPr>
            <w:r>
              <w:rPr>
                <w:sz w:val="20"/>
                <w:szCs w:val="20"/>
              </w:rPr>
              <w:t xml:space="preserve">CAB approval (quorum of CISO, VP IT, Engineering Director, and relevant business stakeholder)</w:t>
            </w:r>
          </w:p>
        </w:tc>
        <w:tc>
          <w:tcPr>
            <w:tcW w:type="dxa" w:w="1060"/>
            <w:shd w:fill="E9F7EF" w:color="E9F7EF" w:val="clear"/>
          </w:tcPr>
          <w:p>
            <w:pPr>
              <w:spacing w:after="60"/>
            </w:pPr>
            <w:r>
              <w:rPr>
                <w:sz w:val="20"/>
                <w:szCs w:val="20"/>
              </w:rPr>
              <w:t xml:space="preserve">10 business days; customer notification for customer-facing changes</w:t>
            </w:r>
          </w:p>
        </w:tc>
      </w:tr>
      <w:tr>
        <w:tc>
          <w:tcPr>
            <w:tcW w:type="dxa" w:w="1800"/>
            <w:shd w:fill="FFFFFF" w:color="FFFFFF" w:val="clear"/>
          </w:tcPr>
          <w:p>
            <w:pPr>
              <w:spacing w:after="60"/>
            </w:pPr>
            <w:r>
              <w:rPr>
                <w:sz w:val="20"/>
                <w:szCs w:val="20"/>
              </w:rPr>
              <w:t xml:space="preserve">Emergency Change</w:t>
            </w:r>
          </w:p>
        </w:tc>
        <w:tc>
          <w:tcPr>
            <w:tcW w:type="dxa" w:w="2400"/>
            <w:shd w:fill="FFFFFF" w:color="FFFFFF" w:val="clear"/>
          </w:tcPr>
          <w:p>
            <w:pPr>
              <w:spacing w:after="60"/>
            </w:pPr>
            <w:r>
              <w:rPr>
                <w:sz w:val="20"/>
                <w:szCs w:val="20"/>
              </w:rPr>
              <w:t xml:space="preserve">Urgent fix required to restore service or prevent imminent harm; breaks normal process</w:t>
            </w:r>
          </w:p>
        </w:tc>
        <w:tc>
          <w:tcPr>
            <w:tcW w:type="dxa" w:w="2000"/>
            <w:shd w:fill="FFFFFF" w:color="FFFFFF" w:val="clear"/>
          </w:tcPr>
          <w:p>
            <w:pPr>
              <w:spacing w:after="60"/>
            </w:pPr>
            <w:r>
              <w:rPr>
                <w:sz w:val="20"/>
                <w:szCs w:val="20"/>
              </w:rPr>
              <w:t xml:space="preserve">Critical security patch; P1 incident hotfix; urgent data correction</w:t>
            </w:r>
          </w:p>
        </w:tc>
        <w:tc>
          <w:tcPr>
            <w:tcW w:type="dxa" w:w="2100"/>
            <w:shd w:fill="FFFFFF" w:color="FFFFFF" w:val="clear"/>
          </w:tcPr>
          <w:p>
            <w:pPr>
              <w:spacing w:after="60"/>
            </w:pPr>
            <w:r>
              <w:rPr>
                <w:sz w:val="20"/>
                <w:szCs w:val="20"/>
              </w:rPr>
              <w:t xml:space="preserve">Post-implementation: CAB retrospective review within 48 hours; pre-approval from VP IT + CISO</w:t>
            </w:r>
          </w:p>
        </w:tc>
        <w:tc>
          <w:tcPr>
            <w:tcW w:type="dxa" w:w="1060"/>
            <w:shd w:fill="FFFFFF" w:color="FFFFFF" w:val="clear"/>
          </w:tcPr>
          <w:p>
            <w:pPr>
              <w:spacing w:after="60"/>
            </w:pPr>
            <w:r>
              <w:rPr>
                <w:sz w:val="20"/>
                <w:szCs w:val="20"/>
              </w:rPr>
              <w:t xml:space="preserve">Implement immediately; document during/after</w:t>
            </w:r>
          </w:p>
        </w:tc>
      </w:tr>
    </w:tbl>
    <w:p>
      <w:pPr>
        <w:spacing w:after="80"/>
      </w:pPr>
      <w:r>
        <w:t xml:space="preserve"/>
      </w:r>
    </w:p>
    <w:p>
      <w:pPr>
        <w:pStyle w:val="Heading2"/>
        <w:spacing w:after="150" w:before="300"/>
      </w:pPr>
      <w:r>
        <w:t xml:space="preserve">4.3 Change Advisory Board (CAB)</w:t>
      </w:r>
    </w:p>
    <w:p>
      <w:pPr>
        <w:spacing w:after="120" w:line="276"/>
      </w:pPr>
      <w:r>
        <w:rPr>
          <w:sz w:val="22"/>
          <w:szCs w:val="22"/>
        </w:rPr>
        <w:t xml:space="preserve">The CAB meets weekly (Wednesdays at 2:00 PM in all time zones via Teams) to review and approve Normal Major changes scheduled for the following 2 weeks. Attendees: VP IT, CISO, Director DevSecOps, Engineering Director representative, QA Lead, and relevant application owners. A quorum of 4 is required for approval.</w:t>
      </w:r>
    </w:p>
    <w:p>
      <w:pPr>
        <w:pStyle w:val="Heading2"/>
        <w:spacing w:after="150" w:before="300"/>
      </w:pPr>
      <w:r>
        <w:t xml:space="preserve">4.4 Change Freeze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shd w:fill="145A32" w:color="145A32" w:val="clear"/>
          </w:tcPr>
          <w:p>
            <w:pPr>
              <w:spacing w:after="60"/>
            </w:pPr>
            <w:r>
              <w:rPr>
                <w:b/>
                <w:bCs/>
                <w:color w:val="FFFFFF"/>
                <w:sz w:val="20"/>
                <w:szCs w:val="20"/>
              </w:rPr>
              <w:t xml:space="preserve">Period</w:t>
            </w:r>
          </w:p>
        </w:tc>
        <w:tc>
          <w:tcPr>
            <w:tcW w:type="dxa" w:w="2400"/>
            <w:shd w:fill="145A32" w:color="145A32" w:val="clear"/>
          </w:tcPr>
          <w:p>
            <w:pPr>
              <w:spacing w:after="60"/>
            </w:pPr>
            <w:r>
              <w:rPr>
                <w:b/>
                <w:bCs/>
                <w:color w:val="FFFFFF"/>
                <w:sz w:val="20"/>
                <w:szCs w:val="20"/>
              </w:rPr>
              <w:t xml:space="preserve">Dates (2025)</w:t>
            </w:r>
          </w:p>
        </w:tc>
        <w:tc>
          <w:tcPr>
            <w:tcW w:type="dxa" w:w="2800"/>
            <w:shd w:fill="145A32" w:color="145A32" w:val="clear"/>
          </w:tcPr>
          <w:p>
            <w:pPr>
              <w:spacing w:after="60"/>
            </w:pPr>
            <w:r>
              <w:rPr>
                <w:b/>
                <w:bCs/>
                <w:color w:val="FFFFFF"/>
                <w:sz w:val="20"/>
                <w:szCs w:val="20"/>
              </w:rPr>
              <w:t xml:space="preserve">What Is Frozen</w:t>
            </w:r>
          </w:p>
        </w:tc>
        <w:tc>
          <w:tcPr>
            <w:tcW w:type="dxa" w:w="2160"/>
            <w:shd w:fill="145A32" w:color="145A32" w:val="clear"/>
          </w:tcPr>
          <w:p>
            <w:pPr>
              <w:spacing w:after="60"/>
            </w:pPr>
            <w:r>
              <w:rPr>
                <w:b/>
                <w:bCs/>
                <w:color w:val="FFFFFF"/>
                <w:sz w:val="20"/>
                <w:szCs w:val="20"/>
              </w:rPr>
              <w:t xml:space="preserve">Emergency Changes Still Permitted?</w:t>
            </w:r>
          </w:p>
        </w:tc>
      </w:tr>
      <w:tr>
        <w:tc>
          <w:tcPr>
            <w:tcW w:type="dxa" w:w="2000"/>
            <w:shd w:fill="E9F7EF" w:color="E9F7EF" w:val="clear"/>
          </w:tcPr>
          <w:p>
            <w:pPr>
              <w:spacing w:after="60"/>
            </w:pPr>
            <w:r>
              <w:rPr>
                <w:sz w:val="20"/>
                <w:szCs w:val="20"/>
              </w:rPr>
              <w:t xml:space="preserve">Year-End Freeze</w:t>
            </w:r>
          </w:p>
        </w:tc>
        <w:tc>
          <w:tcPr>
            <w:tcW w:type="dxa" w:w="2400"/>
            <w:shd w:fill="E9F7EF" w:color="E9F7EF" w:val="clear"/>
          </w:tcPr>
          <w:p>
            <w:pPr>
              <w:spacing w:after="60"/>
            </w:pPr>
            <w:r>
              <w:rPr>
                <w:sz w:val="20"/>
                <w:szCs w:val="20"/>
              </w:rPr>
              <w:t xml:space="preserve">December 15 – January 5</w:t>
            </w:r>
          </w:p>
        </w:tc>
        <w:tc>
          <w:tcPr>
            <w:tcW w:type="dxa" w:w="2800"/>
            <w:shd w:fill="E9F7EF" w:color="E9F7EF" w:val="clear"/>
          </w:tcPr>
          <w:p>
            <w:pPr>
              <w:spacing w:after="60"/>
            </w:pPr>
            <w:r>
              <w:rPr>
                <w:sz w:val="20"/>
                <w:szCs w:val="20"/>
              </w:rPr>
              <w:t xml:space="preserve">All Normal Changes to production; Standard Changes continue</w:t>
            </w:r>
          </w:p>
        </w:tc>
        <w:tc>
          <w:tcPr>
            <w:tcW w:type="dxa" w:w="2160"/>
            <w:shd w:fill="E9F7EF" w:color="E9F7EF" w:val="clear"/>
          </w:tcPr>
          <w:p>
            <w:pPr>
              <w:spacing w:after="60"/>
            </w:pPr>
            <w:r>
              <w:rPr>
                <w:sz w:val="20"/>
                <w:szCs w:val="20"/>
              </w:rPr>
              <w:t xml:space="preserve">Yes — with CISO + CEO approval</w:t>
            </w:r>
          </w:p>
        </w:tc>
      </w:tr>
      <w:tr>
        <w:tc>
          <w:tcPr>
            <w:tcW w:type="dxa" w:w="2000"/>
            <w:shd w:fill="FFFFFF" w:color="FFFFFF" w:val="clear"/>
          </w:tcPr>
          <w:p>
            <w:pPr>
              <w:spacing w:after="60"/>
            </w:pPr>
            <w:r>
              <w:rPr>
                <w:sz w:val="20"/>
                <w:szCs w:val="20"/>
              </w:rPr>
              <w:t xml:space="preserve">Quarter-End Freeze</w:t>
            </w:r>
          </w:p>
        </w:tc>
        <w:tc>
          <w:tcPr>
            <w:tcW w:type="dxa" w:w="2400"/>
            <w:shd w:fill="FFFFFF" w:color="FFFFFF" w:val="clear"/>
          </w:tcPr>
          <w:p>
            <w:pPr>
              <w:spacing w:after="60"/>
            </w:pPr>
            <w:r>
              <w:rPr>
                <w:sz w:val="20"/>
                <w:szCs w:val="20"/>
              </w:rPr>
              <w:t xml:space="preserve">Last 5 business days of each quarter</w:t>
            </w:r>
          </w:p>
        </w:tc>
        <w:tc>
          <w:tcPr>
            <w:tcW w:type="dxa" w:w="2800"/>
            <w:shd w:fill="FFFFFF" w:color="FFFFFF" w:val="clear"/>
          </w:tcPr>
          <w:p>
            <w:pPr>
              <w:spacing w:after="60"/>
            </w:pPr>
            <w:r>
              <w:rPr>
                <w:sz w:val="20"/>
                <w:szCs w:val="20"/>
              </w:rPr>
              <w:t xml:space="preserve">Major Changes; Minor Changes require VP IT approval</w:t>
            </w:r>
          </w:p>
        </w:tc>
        <w:tc>
          <w:tcPr>
            <w:tcW w:type="dxa" w:w="2160"/>
            <w:shd w:fill="FFFFFF" w:color="FFFFFF" w:val="clear"/>
          </w:tcPr>
          <w:p>
            <w:pPr>
              <w:spacing w:after="60"/>
            </w:pPr>
            <w:r>
              <w:rPr>
                <w:sz w:val="20"/>
                <w:szCs w:val="20"/>
              </w:rPr>
              <w:t xml:space="preserve">Yes — with CISO + VP IT approval</w:t>
            </w:r>
          </w:p>
        </w:tc>
      </w:tr>
      <w:tr>
        <w:tc>
          <w:tcPr>
            <w:tcW w:type="dxa" w:w="2000"/>
            <w:shd w:fill="E9F7EF" w:color="E9F7EF" w:val="clear"/>
          </w:tcPr>
          <w:p>
            <w:pPr>
              <w:spacing w:after="60"/>
            </w:pPr>
            <w:r>
              <w:rPr>
                <w:sz w:val="20"/>
                <w:szCs w:val="20"/>
              </w:rPr>
              <w:t xml:space="preserve">Major Product Launch</w:t>
            </w:r>
          </w:p>
        </w:tc>
        <w:tc>
          <w:tcPr>
            <w:tcW w:type="dxa" w:w="2400"/>
            <w:shd w:fill="E9F7EF" w:color="E9F7EF" w:val="clear"/>
          </w:tcPr>
          <w:p>
            <w:pPr>
              <w:spacing w:after="60"/>
            </w:pPr>
            <w:r>
              <w:rPr>
                <w:sz w:val="20"/>
                <w:szCs w:val="20"/>
              </w:rPr>
              <w:t xml:space="preserve">72 hours before and after a major release</w:t>
            </w:r>
          </w:p>
        </w:tc>
        <w:tc>
          <w:tcPr>
            <w:tcW w:type="dxa" w:w="2800"/>
            <w:shd w:fill="E9F7EF" w:color="E9F7EF" w:val="clear"/>
          </w:tcPr>
          <w:p>
            <w:pPr>
              <w:spacing w:after="60"/>
            </w:pPr>
            <w:r>
              <w:rPr>
                <w:sz w:val="20"/>
                <w:szCs w:val="20"/>
              </w:rPr>
              <w:t xml:space="preserve">Infrastructure changes; DB schema changes</w:t>
            </w:r>
          </w:p>
        </w:tc>
        <w:tc>
          <w:tcPr>
            <w:tcW w:type="dxa" w:w="2160"/>
            <w:shd w:fill="E9F7EF" w:color="E9F7EF" w:val="clear"/>
          </w:tcPr>
          <w:p>
            <w:pPr>
              <w:spacing w:after="60"/>
            </w:pPr>
            <w:r>
              <w:rPr>
                <w:sz w:val="20"/>
                <w:szCs w:val="20"/>
              </w:rPr>
              <w:t xml:space="preserve">Yes — with Engineering Director + CISO</w:t>
            </w:r>
          </w:p>
        </w:tc>
      </w:tr>
      <w:tr>
        <w:tc>
          <w:tcPr>
            <w:tcW w:type="dxa" w:w="2000"/>
            <w:shd w:fill="FFFFFF" w:color="FFFFFF" w:val="clear"/>
          </w:tcPr>
          <w:p>
            <w:pPr>
              <w:spacing w:after="60"/>
            </w:pPr>
            <w:r>
              <w:rPr>
                <w:sz w:val="20"/>
                <w:szCs w:val="20"/>
              </w:rPr>
              <w:t xml:space="preserve">Audit Period</w:t>
            </w:r>
          </w:p>
        </w:tc>
        <w:tc>
          <w:tcPr>
            <w:tcW w:type="dxa" w:w="2400"/>
            <w:shd w:fill="FFFFFF" w:color="FFFFFF" w:val="clear"/>
          </w:tcPr>
          <w:p>
            <w:pPr>
              <w:spacing w:after="60"/>
            </w:pPr>
            <w:r>
              <w:rPr>
                <w:sz w:val="20"/>
                <w:szCs w:val="20"/>
              </w:rPr>
              <w:t xml:space="preserve">January 15 – February 28 (external audit window)</w:t>
            </w:r>
          </w:p>
        </w:tc>
        <w:tc>
          <w:tcPr>
            <w:tcW w:type="dxa" w:w="2800"/>
            <w:shd w:fill="FFFFFF" w:color="FFFFFF" w:val="clear"/>
          </w:tcPr>
          <w:p>
            <w:pPr>
              <w:spacing w:after="60"/>
            </w:pPr>
            <w:r>
              <w:rPr>
                <w:sz w:val="20"/>
                <w:szCs w:val="20"/>
              </w:rPr>
              <w:t xml:space="preserve">No changes to financial systems, audit logging, or SOC 2 in-scope systems</w:t>
            </w:r>
          </w:p>
        </w:tc>
        <w:tc>
          <w:tcPr>
            <w:tcW w:type="dxa" w:w="2160"/>
            <w:shd w:fill="FFFFFF" w:color="FFFFFF" w:val="clear"/>
          </w:tcPr>
          <w:p>
            <w:pPr>
              <w:spacing w:after="60"/>
            </w:pPr>
            <w:r>
              <w:rPr>
                <w:sz w:val="20"/>
                <w:szCs w:val="20"/>
              </w:rPr>
              <w:t xml:space="preserve">Yes — with CFO + CISO approval</w:t>
            </w:r>
          </w:p>
        </w:tc>
      </w:tr>
    </w:tbl>
    <w:p>
      <w:pPr>
        <w:spacing w:after="80"/>
      </w:pPr>
      <w:r>
        <w:t xml:space="preserve"/>
      </w:r>
    </w:p>
    <w:p>
      <w:pPr>
        <w:pStyle w:val="Heading2"/>
        <w:spacing w:after="150" w:before="300"/>
      </w:pPr>
      <w:r>
        <w:t xml:space="preserve">4.5 Rollback Requirements</w:t>
      </w:r>
    </w:p>
    <w:p>
      <w:pPr>
        <w:spacing w:after="120" w:line="276"/>
      </w:pPr>
      <w:r>
        <w:rPr>
          <w:sz w:val="22"/>
          <w:szCs w:val="22"/>
        </w:rPr>
        <w:t xml:space="preserve">Every change request must include a documented rollback plan before it is approved by the CAB or IT Change Manager. The rollback plan must specify: trigger conditions for rollback, rollback steps, estimated rollback time, and who is responsible for executing the rollback. Changes without a rollback plan are rejected.</w:t>
      </w:r>
    </w:p>
    <w:p>
      <w:r>
        <w:br w:type="page"/>
      </w:r>
    </w:p>
    <w:p>
      <w:pPr>
        <w:pStyle w:val="Heading1"/>
        <w:spacing w:after="200" w:before="400"/>
      </w:pPr>
      <w:r>
        <w:t xml:space="preserve">5. Problem Management Policy</w:t>
      </w:r>
    </w:p>
    <w:p>
      <w:pPr>
        <w:pStyle w:val="Heading2"/>
        <w:spacing w:after="150" w:before="300"/>
      </w:pPr>
      <w:r>
        <w:t xml:space="preserve">5.1 Problem vs. Incident</w:t>
      </w:r>
    </w:p>
    <w:p>
      <w:pPr>
        <w:spacing w:after="120" w:line="276"/>
      </w:pPr>
      <w:r>
        <w:rPr>
          <w:sz w:val="22"/>
          <w:szCs w:val="22"/>
        </w:rPr>
        <w:t xml:space="preserve">An incident is a single service disruption. A problem is the underlying cause of one or more incidents. Problem management identifies and eliminates root causes to prevent recurrence. All P1 incidents and recurring P2 incidents (3 or more in 30 days) automatically generate a Problem record in ServiceNow.</w:t>
      </w:r>
    </w:p>
    <w:p>
      <w:pPr>
        <w:pStyle w:val="Heading2"/>
        <w:spacing w:after="150" w:before="300"/>
      </w:pPr>
      <w:r>
        <w:t xml:space="preserve">5.2 Root Cause Analysis (RCA)</w:t>
      </w:r>
    </w:p>
    <w:p>
      <w:pPr>
        <w:spacing w:after="120" w:line="276"/>
      </w:pPr>
      <w:r>
        <w:rPr>
          <w:sz w:val="22"/>
          <w:szCs w:val="22"/>
        </w:rPr>
        <w:t xml:space="preserve">The RCA process for P1 incidents:</w:t>
      </w:r>
    </w:p>
    <w:p>
      <w:pPr>
        <w:pStyle w:val="ListParagraph"/>
        <w:numPr>
          <w:ilvl w:val="0"/>
          <w:numId w:val="1"/>
        </w:numPr>
        <w:spacing w:after="80"/>
      </w:pPr>
      <w:r>
        <w:rPr>
          <w:sz w:val="22"/>
          <w:szCs w:val="22"/>
        </w:rPr>
        <w:t xml:space="preserve">RCA document due: within 5 business days of incident closure</w:t>
      </w:r>
    </w:p>
    <w:p>
      <w:pPr>
        <w:pStyle w:val="ListParagraph"/>
        <w:numPr>
          <w:ilvl w:val="0"/>
          <w:numId w:val="1"/>
        </w:numPr>
        <w:spacing w:after="80"/>
      </w:pPr>
      <w:r>
        <w:rPr>
          <w:sz w:val="22"/>
          <w:szCs w:val="22"/>
        </w:rPr>
        <w:t xml:space="preserve">RCA author: Incident owner (typically the Engineering or IT Lead who resolved the incident)</w:t>
      </w:r>
    </w:p>
    <w:p>
      <w:pPr>
        <w:pStyle w:val="ListParagraph"/>
        <w:numPr>
          <w:ilvl w:val="0"/>
          <w:numId w:val="1"/>
        </w:numPr>
        <w:spacing w:after="80"/>
      </w:pPr>
      <w:r>
        <w:rPr>
          <w:sz w:val="22"/>
          <w:szCs w:val="22"/>
        </w:rPr>
        <w:t xml:space="preserve">RCA template: Available in the IT Knowledge Base in ServiceNow (KB0001234)</w:t>
      </w:r>
    </w:p>
    <w:p>
      <w:pPr>
        <w:pStyle w:val="ListParagraph"/>
        <w:numPr>
          <w:ilvl w:val="0"/>
          <w:numId w:val="1"/>
        </w:numPr>
        <w:spacing w:after="80"/>
      </w:pPr>
      <w:r>
        <w:rPr>
          <w:sz w:val="22"/>
          <w:szCs w:val="22"/>
        </w:rPr>
        <w:t xml:space="preserve">RCA content: Timeline, contributing factors (use the 5 Whys method), impact assessment, immediate fixes applied, permanent corrective actions, and preventive measures</w:t>
      </w:r>
    </w:p>
    <w:p>
      <w:pPr>
        <w:pStyle w:val="ListParagraph"/>
        <w:numPr>
          <w:ilvl w:val="0"/>
          <w:numId w:val="1"/>
        </w:numPr>
        <w:spacing w:after="80"/>
      </w:pPr>
      <w:r>
        <w:rPr>
          <w:sz w:val="22"/>
          <w:szCs w:val="22"/>
        </w:rPr>
        <w:t xml:space="preserve">RCA review: Reviewed by Engineering Director or VP IT and shared with the CISO and CTO for P1 incidents</w:t>
      </w:r>
    </w:p>
    <w:p>
      <w:pPr>
        <w:pStyle w:val="ListParagraph"/>
        <w:numPr>
          <w:ilvl w:val="0"/>
          <w:numId w:val="1"/>
        </w:numPr>
        <w:spacing w:after="80"/>
      </w:pPr>
      <w:r>
        <w:rPr>
          <w:sz w:val="22"/>
          <w:szCs w:val="22"/>
        </w:rPr>
        <w:t xml:space="preserve">Action tracking: All corrective actions are tracked as Problem Tasks in ServiceNow with assigned owners and due dates</w:t>
      </w:r>
    </w:p>
    <w:p>
      <w:pPr>
        <w:pStyle w:val="Heading2"/>
        <w:spacing w:after="150" w:before="300"/>
      </w:pPr>
      <w:r>
        <w:t xml:space="preserve">5.3 Known Error Database (KEDB)</w:t>
      </w:r>
    </w:p>
    <w:p>
      <w:pPr>
        <w:spacing w:after="120" w:line="276"/>
      </w:pPr>
      <w:r>
        <w:rPr>
          <w:sz w:val="22"/>
          <w:szCs w:val="22"/>
        </w:rPr>
        <w:t xml:space="preserve">Confirmed problems with known workarounds but no permanent fix are recorded in the Known Error Database (KEDB) in ServiceNow. The KEDB is reviewed monthly by the IT Helpdesk Director to prioritize resolution. Level 1 support agents can reference the KEDB to apply known workarounds during incidents, reducing mean time to resolve (MTTR).</w:t>
      </w:r>
    </w:p>
    <w:p>
      <w:r>
        <w:br w:type="page"/>
      </w:r>
    </w:p>
    <w:p>
      <w:pPr>
        <w:pStyle w:val="Heading1"/>
        <w:spacing w:after="200" w:before="400"/>
      </w:pPr>
      <w:r>
        <w:t xml:space="preserve">6. IT Asset Management Policy</w:t>
      </w:r>
    </w:p>
    <w:p>
      <w:pPr>
        <w:pStyle w:val="Heading2"/>
        <w:spacing w:after="150" w:before="300"/>
      </w:pPr>
      <w:r>
        <w:t xml:space="preserve">6.1 Asset Register</w:t>
      </w:r>
    </w:p>
    <w:p>
      <w:pPr>
        <w:spacing w:after="120" w:line="276"/>
      </w:pPr>
      <w:r>
        <w:rPr>
          <w:sz w:val="22"/>
          <w:szCs w:val="22"/>
        </w:rPr>
        <w:t xml:space="preserve">All IT assets — hardware and software — must be registered in ServiceNow (the IT Asset Management module). Hardware assets are tagged with a unique asset tag label affixed to the physical device. Software assets (licenses) are tracked in the Software Asset Management (SAM) module within ServiceNow. The IT Asset Register is the system of record for all IT assets globally.</w:t>
      </w:r>
    </w:p>
    <w:p>
      <w:pPr>
        <w:spacing w:after="120" w:line="276"/>
      </w:pPr>
      <w:r>
        <w:rPr>
          <w:sz w:val="22"/>
          <w:szCs w:val="22"/>
        </w:rPr>
        <w:t xml:space="preserve">The Finance Fixed Asset Register (in NetSuite) tracks the financial value of capitalized IT assets. The two systems are reconciled quarterly by IT Asset Management and the Finance Controller. See Finance_Policy.docx Section 11 for depreciation rules.</w:t>
      </w:r>
    </w:p>
    <w:p>
      <w:pPr>
        <w:pStyle w:val="Heading2"/>
        <w:spacing w:after="150" w:before="300"/>
      </w:pPr>
      <w:r>
        <w:t xml:space="preserve">6.2 Hardware Asset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shd w:fill="145A32" w:color="145A32" w:val="clear"/>
          </w:tcPr>
          <w:p>
            <w:pPr>
              <w:spacing w:after="60"/>
            </w:pPr>
            <w:r>
              <w:rPr>
                <w:b/>
                <w:bCs/>
                <w:color w:val="FFFFFF"/>
                <w:sz w:val="20"/>
                <w:szCs w:val="20"/>
              </w:rPr>
              <w:t xml:space="preserve">Stage</w:t>
            </w:r>
          </w:p>
        </w:tc>
        <w:tc>
          <w:tcPr>
            <w:tcW w:type="dxa" w:w="3200"/>
            <w:shd w:fill="145A32" w:color="145A32" w:val="clear"/>
          </w:tcPr>
          <w:p>
            <w:pPr>
              <w:spacing w:after="60"/>
            </w:pPr>
            <w:r>
              <w:rPr>
                <w:b/>
                <w:bCs/>
                <w:color w:val="FFFFFF"/>
                <w:sz w:val="20"/>
                <w:szCs w:val="20"/>
              </w:rPr>
              <w:t xml:space="preserve">Process</w:t>
            </w:r>
          </w:p>
        </w:tc>
        <w:tc>
          <w:tcPr>
            <w:tcW w:type="dxa" w:w="2200"/>
            <w:shd w:fill="145A32" w:color="145A32" w:val="clear"/>
          </w:tcPr>
          <w:p>
            <w:pPr>
              <w:spacing w:after="60"/>
            </w:pPr>
            <w:r>
              <w:rPr>
                <w:b/>
                <w:bCs/>
                <w:color w:val="FFFFFF"/>
                <w:sz w:val="20"/>
                <w:szCs w:val="20"/>
              </w:rPr>
              <w:t xml:space="preserve">Owner</w:t>
            </w:r>
          </w:p>
        </w:tc>
        <w:tc>
          <w:tcPr>
            <w:tcW w:type="dxa" w:w="2360"/>
            <w:shd w:fill="145A32" w:color="145A32" w:val="clear"/>
          </w:tcPr>
          <w:p>
            <w:pPr>
              <w:spacing w:after="60"/>
            </w:pPr>
            <w:r>
              <w:rPr>
                <w:b/>
                <w:bCs/>
                <w:color w:val="FFFFFF"/>
                <w:sz w:val="20"/>
                <w:szCs w:val="20"/>
              </w:rPr>
              <w:t xml:space="preserve">Timeline</w:t>
            </w:r>
          </w:p>
        </w:tc>
      </w:tr>
      <w:tr>
        <w:tc>
          <w:tcPr>
            <w:tcW w:type="dxa" w:w="1600"/>
            <w:shd w:fill="E9F7EF" w:color="E9F7EF" w:val="clear"/>
          </w:tcPr>
          <w:p>
            <w:pPr>
              <w:spacing w:after="60"/>
            </w:pPr>
            <w:r>
              <w:rPr>
                <w:sz w:val="20"/>
                <w:szCs w:val="20"/>
              </w:rPr>
              <w:t xml:space="preserve">Procurement</w:t>
            </w:r>
          </w:p>
        </w:tc>
        <w:tc>
          <w:tcPr>
            <w:tcW w:type="dxa" w:w="3200"/>
            <w:shd w:fill="E9F7EF" w:color="E9F7EF" w:val="clear"/>
          </w:tcPr>
          <w:p>
            <w:pPr>
              <w:spacing w:after="60"/>
            </w:pPr>
            <w:r>
              <w:rPr>
                <w:sz w:val="20"/>
                <w:szCs w:val="20"/>
              </w:rPr>
              <w:t xml:space="preserve">PO raised in NetSuite; approved per Finance Policy OAT-FP-001; asset tag pre-applied by IT</w:t>
            </w:r>
          </w:p>
        </w:tc>
        <w:tc>
          <w:tcPr>
            <w:tcW w:type="dxa" w:w="2200"/>
            <w:shd w:fill="E9F7EF" w:color="E9F7EF" w:val="clear"/>
          </w:tcPr>
          <w:p>
            <w:pPr>
              <w:spacing w:after="60"/>
            </w:pPr>
            <w:r>
              <w:rPr>
                <w:sz w:val="20"/>
                <w:szCs w:val="20"/>
              </w:rPr>
              <w:t xml:space="preserve">IT Procurement Lead</w:t>
            </w:r>
          </w:p>
        </w:tc>
        <w:tc>
          <w:tcPr>
            <w:tcW w:type="dxa" w:w="2360"/>
            <w:shd w:fill="E9F7EF" w:color="E9F7EF" w:val="clear"/>
          </w:tcPr>
          <w:p>
            <w:pPr>
              <w:spacing w:after="60"/>
            </w:pPr>
            <w:r>
              <w:rPr>
                <w:sz w:val="20"/>
                <w:szCs w:val="20"/>
              </w:rPr>
              <w:t xml:space="preserve">Before delivery</w:t>
            </w:r>
          </w:p>
        </w:tc>
      </w:tr>
      <w:tr>
        <w:tc>
          <w:tcPr>
            <w:tcW w:type="dxa" w:w="1600"/>
            <w:shd w:fill="FFFFFF" w:color="FFFFFF" w:val="clear"/>
          </w:tcPr>
          <w:p>
            <w:pPr>
              <w:spacing w:after="60"/>
            </w:pPr>
            <w:r>
              <w:rPr>
                <w:sz w:val="20"/>
                <w:szCs w:val="20"/>
              </w:rPr>
              <w:t xml:space="preserve">Receiving &amp; Configuration</w:t>
            </w:r>
          </w:p>
        </w:tc>
        <w:tc>
          <w:tcPr>
            <w:tcW w:type="dxa" w:w="3200"/>
            <w:shd w:fill="FFFFFF" w:color="FFFFFF" w:val="clear"/>
          </w:tcPr>
          <w:p>
            <w:pPr>
              <w:spacing w:after="60"/>
            </w:pPr>
            <w:r>
              <w:rPr>
                <w:sz w:val="20"/>
                <w:szCs w:val="20"/>
              </w:rPr>
              <w:t xml:space="preserve">Device received; asset tag scanned into ServiceNow; OS image applied; MDM enrolled (Intune); Okta provisioned</w:t>
            </w:r>
          </w:p>
        </w:tc>
        <w:tc>
          <w:tcPr>
            <w:tcW w:type="dxa" w:w="2200"/>
            <w:shd w:fill="FFFFFF" w:color="FFFFFF" w:val="clear"/>
          </w:tcPr>
          <w:p>
            <w:pPr>
              <w:spacing w:after="60"/>
            </w:pPr>
            <w:r>
              <w:rPr>
                <w:sz w:val="20"/>
                <w:szCs w:val="20"/>
              </w:rPr>
              <w:t xml:space="preserve">IT Helpdesk</w:t>
            </w:r>
          </w:p>
        </w:tc>
        <w:tc>
          <w:tcPr>
            <w:tcW w:type="dxa" w:w="2360"/>
            <w:shd w:fill="FFFFFF" w:color="FFFFFF" w:val="clear"/>
          </w:tcPr>
          <w:p>
            <w:pPr>
              <w:spacing w:after="60"/>
            </w:pPr>
            <w:r>
              <w:rPr>
                <w:sz w:val="20"/>
                <w:szCs w:val="20"/>
              </w:rPr>
              <w:t xml:space="preserve">Day of receipt</w:t>
            </w:r>
          </w:p>
        </w:tc>
      </w:tr>
      <w:tr>
        <w:tc>
          <w:tcPr>
            <w:tcW w:type="dxa" w:w="1600"/>
            <w:shd w:fill="E9F7EF" w:color="E9F7EF" w:val="clear"/>
          </w:tcPr>
          <w:p>
            <w:pPr>
              <w:spacing w:after="60"/>
            </w:pPr>
            <w:r>
              <w:rPr>
                <w:sz w:val="20"/>
                <w:szCs w:val="20"/>
              </w:rPr>
              <w:t xml:space="preserve">Deployment</w:t>
            </w:r>
          </w:p>
        </w:tc>
        <w:tc>
          <w:tcPr>
            <w:tcW w:type="dxa" w:w="3200"/>
            <w:shd w:fill="E9F7EF" w:color="E9F7EF" w:val="clear"/>
          </w:tcPr>
          <w:p>
            <w:pPr>
              <w:spacing w:after="60"/>
            </w:pPr>
            <w:r>
              <w:rPr>
                <w:sz w:val="20"/>
                <w:szCs w:val="20"/>
              </w:rPr>
              <w:t xml:space="preserve">Device issued to employee; Employee signs Equipment Receipt in Workday; asset record updated with assignee</w:t>
            </w:r>
          </w:p>
        </w:tc>
        <w:tc>
          <w:tcPr>
            <w:tcW w:type="dxa" w:w="2200"/>
            <w:shd w:fill="E9F7EF" w:color="E9F7EF" w:val="clear"/>
          </w:tcPr>
          <w:p>
            <w:pPr>
              <w:spacing w:after="60"/>
            </w:pPr>
            <w:r>
              <w:rPr>
                <w:sz w:val="20"/>
                <w:szCs w:val="20"/>
              </w:rPr>
              <w:t xml:space="preserve">IT Helpdesk</w:t>
            </w:r>
          </w:p>
        </w:tc>
        <w:tc>
          <w:tcPr>
            <w:tcW w:type="dxa" w:w="2360"/>
            <w:shd w:fill="E9F7EF" w:color="E9F7EF" w:val="clear"/>
          </w:tcPr>
          <w:p>
            <w:pPr>
              <w:spacing w:after="60"/>
            </w:pPr>
            <w:r>
              <w:rPr>
                <w:sz w:val="20"/>
                <w:szCs w:val="20"/>
              </w:rPr>
              <w:t xml:space="preserve">Day 1 (new hire) or within 2 days (replacement)</w:t>
            </w:r>
          </w:p>
        </w:tc>
      </w:tr>
      <w:tr>
        <w:tc>
          <w:tcPr>
            <w:tcW w:type="dxa" w:w="1600"/>
            <w:shd w:fill="FFFFFF" w:color="FFFFFF" w:val="clear"/>
          </w:tcPr>
          <w:p>
            <w:pPr>
              <w:spacing w:after="60"/>
            </w:pPr>
            <w:r>
              <w:rPr>
                <w:sz w:val="20"/>
                <w:szCs w:val="20"/>
              </w:rPr>
              <w:t xml:space="preserve">In-Use</w:t>
            </w:r>
          </w:p>
        </w:tc>
        <w:tc>
          <w:tcPr>
            <w:tcW w:type="dxa" w:w="3200"/>
            <w:shd w:fill="FFFFFF" w:color="FFFFFF" w:val="clear"/>
          </w:tcPr>
          <w:p>
            <w:pPr>
              <w:spacing w:after="60"/>
            </w:pPr>
            <w:r>
              <w:rPr>
                <w:sz w:val="20"/>
                <w:szCs w:val="20"/>
              </w:rPr>
              <w:t xml:space="preserve">Employee responsible for physical care; annual hardware audit conducted by IT; device tracked via Intune MDM</w:t>
            </w:r>
          </w:p>
        </w:tc>
        <w:tc>
          <w:tcPr>
            <w:tcW w:type="dxa" w:w="2200"/>
            <w:shd w:fill="FFFFFF" w:color="FFFFFF" w:val="clear"/>
          </w:tcPr>
          <w:p>
            <w:pPr>
              <w:spacing w:after="60"/>
            </w:pPr>
            <w:r>
              <w:rPr>
                <w:sz w:val="20"/>
                <w:szCs w:val="20"/>
              </w:rPr>
              <w:t xml:space="preserve">IT Asset Manager</w:t>
            </w:r>
          </w:p>
        </w:tc>
        <w:tc>
          <w:tcPr>
            <w:tcW w:type="dxa" w:w="2360"/>
            <w:shd w:fill="FFFFFF" w:color="FFFFFF" w:val="clear"/>
          </w:tcPr>
          <w:p>
            <w:pPr>
              <w:spacing w:after="60"/>
            </w:pPr>
            <w:r>
              <w:rPr>
                <w:sz w:val="20"/>
                <w:szCs w:val="20"/>
              </w:rPr>
              <w:t xml:space="preserve">Ongoing</w:t>
            </w:r>
          </w:p>
        </w:tc>
      </w:tr>
      <w:tr>
        <w:tc>
          <w:tcPr>
            <w:tcW w:type="dxa" w:w="1600"/>
            <w:shd w:fill="E9F7EF" w:color="E9F7EF" w:val="clear"/>
          </w:tcPr>
          <w:p>
            <w:pPr>
              <w:spacing w:after="60"/>
            </w:pPr>
            <w:r>
              <w:rPr>
                <w:sz w:val="20"/>
                <w:szCs w:val="20"/>
              </w:rPr>
              <w:t xml:space="preserve">Repair / Replacement</w:t>
            </w:r>
          </w:p>
        </w:tc>
        <w:tc>
          <w:tcPr>
            <w:tcW w:type="dxa" w:w="3200"/>
            <w:shd w:fill="E9F7EF" w:color="E9F7EF" w:val="clear"/>
          </w:tcPr>
          <w:p>
            <w:pPr>
              <w:spacing w:after="60"/>
            </w:pPr>
            <w:r>
              <w:rPr>
                <w:sz w:val="20"/>
                <w:szCs w:val="20"/>
              </w:rPr>
              <w:t xml:space="preserve">Damage reported via ServiceNow; IT assesses; replacement issued if beyond economic repair; damaged asset retired</w:t>
            </w:r>
          </w:p>
        </w:tc>
        <w:tc>
          <w:tcPr>
            <w:tcW w:type="dxa" w:w="2200"/>
            <w:shd w:fill="E9F7EF" w:color="E9F7EF" w:val="clear"/>
          </w:tcPr>
          <w:p>
            <w:pPr>
              <w:spacing w:after="60"/>
            </w:pPr>
            <w:r>
              <w:rPr>
                <w:sz w:val="20"/>
                <w:szCs w:val="20"/>
              </w:rPr>
              <w:t xml:space="preserve">IT Helpdesk</w:t>
            </w:r>
          </w:p>
        </w:tc>
        <w:tc>
          <w:tcPr>
            <w:tcW w:type="dxa" w:w="2360"/>
            <w:shd w:fill="E9F7EF" w:color="E9F7EF" w:val="clear"/>
          </w:tcPr>
          <w:p>
            <w:pPr>
              <w:spacing w:after="60"/>
            </w:pPr>
            <w:r>
              <w:rPr>
                <w:sz w:val="20"/>
                <w:szCs w:val="20"/>
              </w:rPr>
              <w:t xml:space="preserve">Within 2 business days of report</w:t>
            </w:r>
          </w:p>
        </w:tc>
      </w:tr>
      <w:tr>
        <w:tc>
          <w:tcPr>
            <w:tcW w:type="dxa" w:w="1600"/>
            <w:shd w:fill="FFFFFF" w:color="FFFFFF" w:val="clear"/>
          </w:tcPr>
          <w:p>
            <w:pPr>
              <w:spacing w:after="60"/>
            </w:pPr>
            <w:r>
              <w:rPr>
                <w:sz w:val="20"/>
                <w:szCs w:val="20"/>
              </w:rPr>
              <w:t xml:space="preserve">End-of-Life / Disposal</w:t>
            </w:r>
          </w:p>
        </w:tc>
        <w:tc>
          <w:tcPr>
            <w:tcW w:type="dxa" w:w="3200"/>
            <w:shd w:fill="FFFFFF" w:color="FFFFFF" w:val="clear"/>
          </w:tcPr>
          <w:p>
            <w:pPr>
              <w:spacing w:after="60"/>
            </w:pPr>
            <w:r>
              <w:rPr>
                <w:sz w:val="20"/>
                <w:szCs w:val="20"/>
              </w:rPr>
              <w:t xml:space="preserve">Device collected by IT; data wiped per NIST 800-88 (DoD 3-pass or physical destruction for SSDs); Certificate of Destruction issued; asset retired in ServiceNow and NetSuite</w:t>
            </w:r>
          </w:p>
        </w:tc>
        <w:tc>
          <w:tcPr>
            <w:tcW w:type="dxa" w:w="2200"/>
            <w:shd w:fill="FFFFFF" w:color="FFFFFF" w:val="clear"/>
          </w:tcPr>
          <w:p>
            <w:pPr>
              <w:spacing w:after="60"/>
            </w:pPr>
            <w:r>
              <w:rPr>
                <w:sz w:val="20"/>
                <w:szCs w:val="20"/>
              </w:rPr>
              <w:t xml:space="preserve">IT Asset Manager + Security</w:t>
            </w:r>
          </w:p>
        </w:tc>
        <w:tc>
          <w:tcPr>
            <w:tcW w:type="dxa" w:w="2360"/>
            <w:shd w:fill="FFFFFF" w:color="FFFFFF" w:val="clear"/>
          </w:tcPr>
          <w:p>
            <w:pPr>
              <w:spacing w:after="60"/>
            </w:pPr>
            <w:r>
              <w:rPr>
                <w:sz w:val="20"/>
                <w:szCs w:val="20"/>
              </w:rPr>
              <w:t xml:space="preserve">Per refresh cycle (3 years for laptops)</w:t>
            </w:r>
          </w:p>
        </w:tc>
      </w:tr>
    </w:tbl>
    <w:p>
      <w:pPr>
        <w:spacing w:after="80"/>
      </w:pPr>
      <w:r>
        <w:t xml:space="preserve"/>
      </w:r>
    </w:p>
    <w:p>
      <w:pPr>
        <w:pStyle w:val="Heading2"/>
        <w:spacing w:after="150" w:before="300"/>
      </w:pPr>
      <w:r>
        <w:t xml:space="preserve">6.3 Software Asset Management &amp; License Compliance</w:t>
      </w:r>
    </w:p>
    <w:p>
      <w:pPr>
        <w:spacing w:after="120" w:line="276"/>
      </w:pPr>
      <w:r>
        <w:rPr>
          <w:sz w:val="22"/>
          <w:szCs w:val="22"/>
        </w:rPr>
        <w:t xml:space="preserve">The IT Asset Manager maintains the software license register and conducts monthly reconciliation of licenses used vs. licenses purchased for all major software titles. Over-deployment of licenses is a legal risk; under-utilization wastes budget. Key processes:</w:t>
      </w:r>
    </w:p>
    <w:p>
      <w:pPr>
        <w:pStyle w:val="ListParagraph"/>
        <w:numPr>
          <w:ilvl w:val="0"/>
          <w:numId w:val="1"/>
        </w:numPr>
        <w:spacing w:after="80"/>
      </w:pPr>
      <w:r>
        <w:rPr>
          <w:sz w:val="22"/>
          <w:szCs w:val="22"/>
        </w:rPr>
        <w:t xml:space="preserve">All software purchases are routed through IT Procurement (ServiceNow &gt; Software Request)</w:t>
      </w:r>
    </w:p>
    <w:p>
      <w:pPr>
        <w:pStyle w:val="ListParagraph"/>
        <w:numPr>
          <w:ilvl w:val="0"/>
          <w:numId w:val="1"/>
        </w:numPr>
        <w:spacing w:after="80"/>
      </w:pPr>
      <w:r>
        <w:rPr>
          <w:sz w:val="22"/>
          <w:szCs w:val="22"/>
        </w:rPr>
        <w:t xml:space="preserve">Licenses are provisioned via Okta (SSO integration) or SCCM/Intune (endpoint deployment)</w:t>
      </w:r>
    </w:p>
    <w:p>
      <w:pPr>
        <w:pStyle w:val="ListParagraph"/>
        <w:numPr>
          <w:ilvl w:val="0"/>
          <w:numId w:val="1"/>
        </w:numPr>
        <w:spacing w:after="80"/>
      </w:pPr>
      <w:r>
        <w:rPr>
          <w:sz w:val="22"/>
          <w:szCs w:val="22"/>
        </w:rPr>
        <w:t xml:space="preserve">Monthly license reconciliation: Okta user count vs. purchased seats for all major SaaS tools</w:t>
      </w:r>
    </w:p>
    <w:p>
      <w:pPr>
        <w:pStyle w:val="ListParagraph"/>
        <w:numPr>
          <w:ilvl w:val="0"/>
          <w:numId w:val="1"/>
        </w:numPr>
        <w:spacing w:after="80"/>
      </w:pPr>
      <w:r>
        <w:rPr>
          <w:sz w:val="22"/>
          <w:szCs w:val="22"/>
        </w:rPr>
        <w:t xml:space="preserve">Annual true-up: Major enterprise licenses (Microsoft 365, Salesforce, ServiceNow, GitHub) are true-uped annually</w:t>
      </w:r>
    </w:p>
    <w:p>
      <w:pPr>
        <w:pStyle w:val="ListParagraph"/>
        <w:numPr>
          <w:ilvl w:val="0"/>
          <w:numId w:val="1"/>
        </w:numPr>
        <w:spacing w:after="80"/>
      </w:pPr>
      <w:r>
        <w:rPr>
          <w:sz w:val="22"/>
          <w:szCs w:val="22"/>
        </w:rPr>
        <w:t xml:space="preserve">Unused licenses are reclaimed after 90 days of inactivity (except where licenses are seat-reserved by contract)</w:t>
      </w:r>
    </w:p>
    <w:p>
      <w:pPr>
        <w:pStyle w:val="ListParagraph"/>
        <w:numPr>
          <w:ilvl w:val="0"/>
          <w:numId w:val="1"/>
        </w:numPr>
        <w:spacing w:after="80"/>
      </w:pPr>
      <w:r>
        <w:rPr>
          <w:sz w:val="22"/>
          <w:szCs w:val="22"/>
        </w:rPr>
        <w:t xml:space="preserve">Software End-of-Life (EOL) tracking: IT maintains a list of software reaching EOL; EOL software must be upgraded or replaced before the EOL date to avoid unsupported software security risk</w:t>
      </w:r>
    </w:p>
    <w:p>
      <w:pPr>
        <w:pStyle w:val="Heading2"/>
        <w:spacing w:after="150" w:before="300"/>
      </w:pPr>
      <w:r>
        <w:t xml:space="preserve">6.4 Asset Audit</w:t>
      </w:r>
    </w:p>
    <w:p>
      <w:pPr>
        <w:spacing w:after="120" w:line="276"/>
      </w:pPr>
      <w:r>
        <w:rPr>
          <w:sz w:val="22"/>
          <w:szCs w:val="22"/>
        </w:rPr>
        <w:t xml:space="preserve">The IT Asset Manager conducts a full physical hardware audit annually (Q4) by reconciling the ServiceNow asset register against Intune MDM device inventory and the Finance fixed asset register. Any discrepancies are investigated. Missing assets are reported to Security and Finance within 5 business days of discovery. Employees who cannot account for company equipment may be held financially responsible per the Equipment Policy in the Employee Handbook (HR-EH-001).</w:t>
      </w:r>
    </w:p>
    <w:p>
      <w:r>
        <w:br w:type="page"/>
      </w:r>
    </w:p>
    <w:p>
      <w:pPr>
        <w:pStyle w:val="Heading1"/>
        <w:spacing w:after="200" w:before="400"/>
      </w:pPr>
      <w:r>
        <w:t xml:space="preserve">7. Software Development Lifecycle (SDLC) Policy</w:t>
      </w:r>
    </w:p>
    <w:p>
      <w:pPr>
        <w:pStyle w:val="Heading2"/>
        <w:spacing w:after="150" w:before="300"/>
      </w:pPr>
      <w:r>
        <w:t xml:space="preserve">7.1 SDLC Phases &amp;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shd w:fill="145A32" w:color="145A32" w:val="clear"/>
          </w:tcPr>
          <w:p>
            <w:pPr>
              <w:spacing w:after="60"/>
            </w:pPr>
            <w:r>
              <w:rPr>
                <w:b/>
                <w:bCs/>
                <w:color w:val="FFFFFF"/>
                <w:sz w:val="20"/>
                <w:szCs w:val="20"/>
              </w:rPr>
              <w:t xml:space="preserve">Phase</w:t>
            </w:r>
          </w:p>
        </w:tc>
        <w:tc>
          <w:tcPr>
            <w:tcW w:type="dxa" w:w="2800"/>
            <w:shd w:fill="145A32" w:color="145A32" w:val="clear"/>
          </w:tcPr>
          <w:p>
            <w:pPr>
              <w:spacing w:after="60"/>
            </w:pPr>
            <w:r>
              <w:rPr>
                <w:b/>
                <w:bCs/>
                <w:color w:val="FFFFFF"/>
                <w:sz w:val="20"/>
                <w:szCs w:val="20"/>
              </w:rPr>
              <w:t xml:space="preserve">Activities</w:t>
            </w:r>
          </w:p>
        </w:tc>
        <w:tc>
          <w:tcPr>
            <w:tcW w:type="dxa" w:w="2600"/>
            <w:shd w:fill="145A32" w:color="145A32" w:val="clear"/>
          </w:tcPr>
          <w:p>
            <w:pPr>
              <w:spacing w:after="60"/>
            </w:pPr>
            <w:r>
              <w:rPr>
                <w:b/>
                <w:bCs/>
                <w:color w:val="FFFFFF"/>
                <w:sz w:val="20"/>
                <w:szCs w:val="20"/>
              </w:rPr>
              <w:t xml:space="preserve">Quality Gates / Exit Criteria</w:t>
            </w:r>
          </w:p>
        </w:tc>
        <w:tc>
          <w:tcPr>
            <w:tcW w:type="dxa" w:w="2360"/>
            <w:shd w:fill="145A32" w:color="145A32" w:val="clear"/>
          </w:tcPr>
          <w:p>
            <w:pPr>
              <w:spacing w:after="60"/>
            </w:pPr>
            <w:r>
              <w:rPr>
                <w:b/>
                <w:bCs/>
                <w:color w:val="FFFFFF"/>
                <w:sz w:val="20"/>
                <w:szCs w:val="20"/>
              </w:rPr>
              <w:t xml:space="preserve">Tools</w:t>
            </w:r>
          </w:p>
        </w:tc>
      </w:tr>
      <w:tr>
        <w:tc>
          <w:tcPr>
            <w:tcW w:type="dxa" w:w="1600"/>
            <w:shd w:fill="E9F7EF" w:color="E9F7EF" w:val="clear"/>
          </w:tcPr>
          <w:p>
            <w:pPr>
              <w:spacing w:after="60"/>
            </w:pPr>
            <w:r>
              <w:rPr>
                <w:sz w:val="20"/>
                <w:szCs w:val="20"/>
              </w:rPr>
              <w:t xml:space="preserve">Requirements</w:t>
            </w:r>
          </w:p>
        </w:tc>
        <w:tc>
          <w:tcPr>
            <w:tcW w:type="dxa" w:w="2800"/>
            <w:shd w:fill="E9F7EF" w:color="E9F7EF" w:val="clear"/>
          </w:tcPr>
          <w:p>
            <w:pPr>
              <w:spacing w:after="60"/>
            </w:pPr>
            <w:r>
              <w:rPr>
                <w:sz w:val="20"/>
                <w:szCs w:val="20"/>
              </w:rPr>
              <w:t xml:space="preserve">Product requirements documented in Confluence/Jira; security requirements identified; privacy impact assessed</w:t>
            </w:r>
          </w:p>
        </w:tc>
        <w:tc>
          <w:tcPr>
            <w:tcW w:type="dxa" w:w="2600"/>
            <w:shd w:fill="E9F7EF" w:color="E9F7EF" w:val="clear"/>
          </w:tcPr>
          <w:p>
            <w:pPr>
              <w:spacing w:after="60"/>
            </w:pPr>
            <w:r>
              <w:rPr>
                <w:sz w:val="20"/>
                <w:szCs w:val="20"/>
              </w:rPr>
              <w:t xml:space="preserve">PRD approved by Product + Engineering Director; security review for features handling PII or Restricted data</w:t>
            </w:r>
          </w:p>
        </w:tc>
        <w:tc>
          <w:tcPr>
            <w:tcW w:type="dxa" w:w="2360"/>
            <w:shd w:fill="E9F7EF" w:color="E9F7EF" w:val="clear"/>
          </w:tcPr>
          <w:p>
            <w:pPr>
              <w:spacing w:after="60"/>
            </w:pPr>
            <w:r>
              <w:rPr>
                <w:sz w:val="20"/>
                <w:szCs w:val="20"/>
              </w:rPr>
              <w:t xml:space="preserve">Confluence, Jira, Figma</w:t>
            </w:r>
          </w:p>
        </w:tc>
      </w:tr>
      <w:tr>
        <w:tc>
          <w:tcPr>
            <w:tcW w:type="dxa" w:w="1600"/>
            <w:shd w:fill="FFFFFF" w:color="FFFFFF" w:val="clear"/>
          </w:tcPr>
          <w:p>
            <w:pPr>
              <w:spacing w:after="60"/>
            </w:pPr>
            <w:r>
              <w:rPr>
                <w:sz w:val="20"/>
                <w:szCs w:val="20"/>
              </w:rPr>
              <w:t xml:space="preserve">Design</w:t>
            </w:r>
          </w:p>
        </w:tc>
        <w:tc>
          <w:tcPr>
            <w:tcW w:type="dxa" w:w="2800"/>
            <w:shd w:fill="FFFFFF" w:color="FFFFFF" w:val="clear"/>
          </w:tcPr>
          <w:p>
            <w:pPr>
              <w:spacing w:after="60"/>
            </w:pPr>
            <w:r>
              <w:rPr>
                <w:sz w:val="20"/>
                <w:szCs w:val="20"/>
              </w:rPr>
              <w:t xml:space="preserve">Technical design documented; architecture reviewed; threat model produced for significant features</w:t>
            </w:r>
          </w:p>
        </w:tc>
        <w:tc>
          <w:tcPr>
            <w:tcW w:type="dxa" w:w="2600"/>
            <w:shd w:fill="FFFFFF" w:color="FFFFFF" w:val="clear"/>
          </w:tcPr>
          <w:p>
            <w:pPr>
              <w:spacing w:after="60"/>
            </w:pPr>
            <w:r>
              <w:rPr>
                <w:sz w:val="20"/>
                <w:szCs w:val="20"/>
              </w:rPr>
              <w:t xml:space="preserve">Technical Design Review (TDR) approved by Staff Engineer or above; threat model reviewed by Security</w:t>
            </w:r>
          </w:p>
        </w:tc>
        <w:tc>
          <w:tcPr>
            <w:tcW w:type="dxa" w:w="2360"/>
            <w:shd w:fill="FFFFFF" w:color="FFFFFF" w:val="clear"/>
          </w:tcPr>
          <w:p>
            <w:pPr>
              <w:spacing w:after="60"/>
            </w:pPr>
            <w:r>
              <w:rPr>
                <w:sz w:val="20"/>
                <w:szCs w:val="20"/>
              </w:rPr>
              <w:t xml:space="preserve">Confluence, Miro, draw.io</w:t>
            </w:r>
          </w:p>
        </w:tc>
      </w:tr>
      <w:tr>
        <w:tc>
          <w:tcPr>
            <w:tcW w:type="dxa" w:w="1600"/>
            <w:shd w:fill="E9F7EF" w:color="E9F7EF" w:val="clear"/>
          </w:tcPr>
          <w:p>
            <w:pPr>
              <w:spacing w:after="60"/>
            </w:pPr>
            <w:r>
              <w:rPr>
                <w:sz w:val="20"/>
                <w:szCs w:val="20"/>
              </w:rPr>
              <w:t xml:space="preserve">Development</w:t>
            </w:r>
          </w:p>
        </w:tc>
        <w:tc>
          <w:tcPr>
            <w:tcW w:type="dxa" w:w="2800"/>
            <w:shd w:fill="E9F7EF" w:color="E9F7EF" w:val="clear"/>
          </w:tcPr>
          <w:p>
            <w:pPr>
              <w:spacing w:after="60"/>
            </w:pPr>
            <w:r>
              <w:rPr>
                <w:sz w:val="20"/>
                <w:szCs w:val="20"/>
              </w:rPr>
              <w:t xml:space="preserve">Code written per coding standards; unit tests written; feature branches used; pull requests opened</w:t>
            </w:r>
          </w:p>
        </w:tc>
        <w:tc>
          <w:tcPr>
            <w:tcW w:type="dxa" w:w="2600"/>
            <w:shd w:fill="E9F7EF" w:color="E9F7EF" w:val="clear"/>
          </w:tcPr>
          <w:p>
            <w:pPr>
              <w:spacing w:after="60"/>
            </w:pPr>
            <w:r>
              <w:rPr>
                <w:sz w:val="20"/>
                <w:szCs w:val="20"/>
              </w:rPr>
              <w:t xml:space="preserve">Code compiles; unit test coverage ≥ 80% for new code; no Critical/High SCA or SAST findings unresolved</w:t>
            </w:r>
          </w:p>
        </w:tc>
        <w:tc>
          <w:tcPr>
            <w:tcW w:type="dxa" w:w="2360"/>
            <w:shd w:fill="E9F7EF" w:color="E9F7EF" w:val="clear"/>
          </w:tcPr>
          <w:p>
            <w:pPr>
              <w:spacing w:after="60"/>
            </w:pPr>
            <w:r>
              <w:rPr>
                <w:sz w:val="20"/>
                <w:szCs w:val="20"/>
              </w:rPr>
              <w:t xml:space="preserve">GitHub, VS Code, IntelliJ, SonarQube</w:t>
            </w:r>
          </w:p>
        </w:tc>
      </w:tr>
      <w:tr>
        <w:tc>
          <w:tcPr>
            <w:tcW w:type="dxa" w:w="1600"/>
            <w:shd w:fill="FFFFFF" w:color="FFFFFF" w:val="clear"/>
          </w:tcPr>
          <w:p>
            <w:pPr>
              <w:spacing w:after="60"/>
            </w:pPr>
            <w:r>
              <w:rPr>
                <w:sz w:val="20"/>
                <w:szCs w:val="20"/>
              </w:rPr>
              <w:t xml:space="preserve">Code Review</w:t>
            </w:r>
          </w:p>
        </w:tc>
        <w:tc>
          <w:tcPr>
            <w:tcW w:type="dxa" w:w="2800"/>
            <w:shd w:fill="FFFFFF" w:color="FFFFFF" w:val="clear"/>
          </w:tcPr>
          <w:p>
            <w:pPr>
              <w:spacing w:after="60"/>
            </w:pPr>
            <w:r>
              <w:rPr>
                <w:sz w:val="20"/>
                <w:szCs w:val="20"/>
              </w:rPr>
              <w:t xml:space="preserve">Peer code review by at least 1 engineer; security review for sensitive changes</w:t>
            </w:r>
          </w:p>
        </w:tc>
        <w:tc>
          <w:tcPr>
            <w:tcW w:type="dxa" w:w="2600"/>
            <w:shd w:fill="FFFFFF" w:color="FFFFFF" w:val="clear"/>
          </w:tcPr>
          <w:p>
            <w:pPr>
              <w:spacing w:after="60"/>
            </w:pPr>
            <w:r>
              <w:rPr>
                <w:sz w:val="20"/>
                <w:szCs w:val="20"/>
              </w:rPr>
              <w:t xml:space="preserve">PR approved by at least 1 reviewer (2 for security-sensitive changes); all review comments addressed or explicitly waived</w:t>
            </w:r>
          </w:p>
        </w:tc>
        <w:tc>
          <w:tcPr>
            <w:tcW w:type="dxa" w:w="2360"/>
            <w:shd w:fill="FFFFFF" w:color="FFFFFF" w:val="clear"/>
          </w:tcPr>
          <w:p>
            <w:pPr>
              <w:spacing w:after="60"/>
            </w:pPr>
            <w:r>
              <w:rPr>
                <w:sz w:val="20"/>
                <w:szCs w:val="20"/>
              </w:rPr>
              <w:t xml:space="preserve">GitHub Pull Requests</w:t>
            </w:r>
          </w:p>
        </w:tc>
      </w:tr>
      <w:tr>
        <w:tc>
          <w:tcPr>
            <w:tcW w:type="dxa" w:w="1600"/>
            <w:shd w:fill="E9F7EF" w:color="E9F7EF" w:val="clear"/>
          </w:tcPr>
          <w:p>
            <w:pPr>
              <w:spacing w:after="60"/>
            </w:pPr>
            <w:r>
              <w:rPr>
                <w:sz w:val="20"/>
                <w:szCs w:val="20"/>
              </w:rPr>
              <w:t xml:space="preserve">Testing</w:t>
            </w:r>
          </w:p>
        </w:tc>
        <w:tc>
          <w:tcPr>
            <w:tcW w:type="dxa" w:w="2800"/>
            <w:shd w:fill="E9F7EF" w:color="E9F7EF" w:val="clear"/>
          </w:tcPr>
          <w:p>
            <w:pPr>
              <w:spacing w:after="60"/>
            </w:pPr>
            <w:r>
              <w:rPr>
                <w:sz w:val="20"/>
                <w:szCs w:val="20"/>
              </w:rPr>
              <w:t xml:space="preserve">Integration tests; regression tests; performance tests; security tests (DAST for API changes)</w:t>
            </w:r>
          </w:p>
        </w:tc>
        <w:tc>
          <w:tcPr>
            <w:tcW w:type="dxa" w:w="2600"/>
            <w:shd w:fill="E9F7EF" w:color="E9F7EF" w:val="clear"/>
          </w:tcPr>
          <w:p>
            <w:pPr>
              <w:spacing w:after="60"/>
            </w:pPr>
            <w:r>
              <w:rPr>
                <w:sz w:val="20"/>
                <w:szCs w:val="20"/>
              </w:rPr>
              <w:t xml:space="preserve">All integration tests pass; no P1/P2 bugs open; DAST scan completed; load test meets SLA thresholds</w:t>
            </w:r>
          </w:p>
        </w:tc>
        <w:tc>
          <w:tcPr>
            <w:tcW w:type="dxa" w:w="2360"/>
            <w:shd w:fill="E9F7EF" w:color="E9F7EF" w:val="clear"/>
          </w:tcPr>
          <w:p>
            <w:pPr>
              <w:spacing w:after="60"/>
            </w:pPr>
            <w:r>
              <w:rPr>
                <w:sz w:val="20"/>
                <w:szCs w:val="20"/>
              </w:rPr>
              <w:t xml:space="preserve">GitHub Actions, Selenium, k6, OWASP ZAP</w:t>
            </w:r>
          </w:p>
        </w:tc>
      </w:tr>
      <w:tr>
        <w:tc>
          <w:tcPr>
            <w:tcW w:type="dxa" w:w="1600"/>
            <w:shd w:fill="FFFFFF" w:color="FFFFFF" w:val="clear"/>
          </w:tcPr>
          <w:p>
            <w:pPr>
              <w:spacing w:after="60"/>
            </w:pPr>
            <w:r>
              <w:rPr>
                <w:sz w:val="20"/>
                <w:szCs w:val="20"/>
              </w:rPr>
              <w:t xml:space="preserve">Staging Deployment</w:t>
            </w:r>
          </w:p>
        </w:tc>
        <w:tc>
          <w:tcPr>
            <w:tcW w:type="dxa" w:w="2800"/>
            <w:shd w:fill="FFFFFF" w:color="FFFFFF" w:val="clear"/>
          </w:tcPr>
          <w:p>
            <w:pPr>
              <w:spacing w:after="60"/>
            </w:pPr>
            <w:r>
              <w:rPr>
                <w:sz w:val="20"/>
                <w:szCs w:val="20"/>
              </w:rPr>
              <w:t xml:space="preserve">Deploy to staging environment; UAT with product team; smoke tests</w:t>
            </w:r>
          </w:p>
        </w:tc>
        <w:tc>
          <w:tcPr>
            <w:tcW w:type="dxa" w:w="2600"/>
            <w:shd w:fill="FFFFFF" w:color="FFFFFF" w:val="clear"/>
          </w:tcPr>
          <w:p>
            <w:pPr>
              <w:spacing w:after="60"/>
            </w:pPr>
            <w:r>
              <w:rPr>
                <w:sz w:val="20"/>
                <w:szCs w:val="20"/>
              </w:rPr>
              <w:t xml:space="preserve">UAT sign-off from Product; smoke tests pass; no regression in core user flows</w:t>
            </w:r>
          </w:p>
        </w:tc>
        <w:tc>
          <w:tcPr>
            <w:tcW w:type="dxa" w:w="2360"/>
            <w:shd w:fill="FFFFFF" w:color="FFFFFF" w:val="clear"/>
          </w:tcPr>
          <w:p>
            <w:pPr>
              <w:spacing w:after="60"/>
            </w:pPr>
            <w:r>
              <w:rPr>
                <w:sz w:val="20"/>
                <w:szCs w:val="20"/>
              </w:rPr>
              <w:t xml:space="preserve">AWS/GCP staging, Playwright, Datadog</w:t>
            </w:r>
          </w:p>
        </w:tc>
      </w:tr>
      <w:tr>
        <w:tc>
          <w:tcPr>
            <w:tcW w:type="dxa" w:w="1600"/>
            <w:shd w:fill="E9F7EF" w:color="E9F7EF" w:val="clear"/>
          </w:tcPr>
          <w:p>
            <w:pPr>
              <w:spacing w:after="60"/>
            </w:pPr>
            <w:r>
              <w:rPr>
                <w:sz w:val="20"/>
                <w:szCs w:val="20"/>
              </w:rPr>
              <w:t xml:space="preserve">Production Deployment</w:t>
            </w:r>
          </w:p>
        </w:tc>
        <w:tc>
          <w:tcPr>
            <w:tcW w:type="dxa" w:w="2800"/>
            <w:shd w:fill="E9F7EF" w:color="E9F7EF" w:val="clear"/>
          </w:tcPr>
          <w:p>
            <w:pPr>
              <w:spacing w:after="60"/>
            </w:pPr>
            <w:r>
              <w:rPr>
                <w:sz w:val="20"/>
                <w:szCs w:val="20"/>
              </w:rPr>
              <w:t xml:space="preserve">Deploy via CI/CD pipeline; progressive rollout (canary or feature flags); monitoring dashboards confirmed active</w:t>
            </w:r>
          </w:p>
        </w:tc>
        <w:tc>
          <w:tcPr>
            <w:tcW w:type="dxa" w:w="2600"/>
            <w:shd w:fill="E9F7EF" w:color="E9F7EF" w:val="clear"/>
          </w:tcPr>
          <w:p>
            <w:pPr>
              <w:spacing w:after="60"/>
            </w:pPr>
            <w:r>
              <w:rPr>
                <w:sz w:val="20"/>
                <w:szCs w:val="20"/>
              </w:rPr>
              <w:t xml:space="preserve">Deployment checklist signed off; rollback plan confirmed; on-call engineer paged</w:t>
            </w:r>
          </w:p>
        </w:tc>
        <w:tc>
          <w:tcPr>
            <w:tcW w:type="dxa" w:w="2360"/>
            <w:shd w:fill="E9F7EF" w:color="E9F7EF" w:val="clear"/>
          </w:tcPr>
          <w:p>
            <w:pPr>
              <w:spacing w:after="60"/>
            </w:pPr>
            <w:r>
              <w:rPr>
                <w:sz w:val="20"/>
                <w:szCs w:val="20"/>
              </w:rPr>
              <w:t xml:space="preserve">GitHub Actions, ArgoCD, LaunchDarkly, Datadog</w:t>
            </w:r>
          </w:p>
        </w:tc>
      </w:tr>
      <w:tr>
        <w:tc>
          <w:tcPr>
            <w:tcW w:type="dxa" w:w="1600"/>
            <w:shd w:fill="FFFFFF" w:color="FFFFFF" w:val="clear"/>
          </w:tcPr>
          <w:p>
            <w:pPr>
              <w:spacing w:after="60"/>
            </w:pPr>
            <w:r>
              <w:rPr>
                <w:sz w:val="20"/>
                <w:szCs w:val="20"/>
              </w:rPr>
              <w:t xml:space="preserve">Post-Release</w:t>
            </w:r>
          </w:p>
        </w:tc>
        <w:tc>
          <w:tcPr>
            <w:tcW w:type="dxa" w:w="2800"/>
            <w:shd w:fill="FFFFFF" w:color="FFFFFF" w:val="clear"/>
          </w:tcPr>
          <w:p>
            <w:pPr>
              <w:spacing w:after="60"/>
            </w:pPr>
            <w:r>
              <w:rPr>
                <w:sz w:val="20"/>
                <w:szCs w:val="20"/>
              </w:rPr>
              <w:t xml:space="preserve">Monitor error rates, latency, and business metrics for 48 hours; retrospective for major releases</w:t>
            </w:r>
          </w:p>
        </w:tc>
        <w:tc>
          <w:tcPr>
            <w:tcW w:type="dxa" w:w="2600"/>
            <w:shd w:fill="FFFFFF" w:color="FFFFFF" w:val="clear"/>
          </w:tcPr>
          <w:p>
            <w:pPr>
              <w:spacing w:after="60"/>
            </w:pPr>
            <w:r>
              <w:rPr>
                <w:sz w:val="20"/>
                <w:szCs w:val="20"/>
              </w:rPr>
              <w:t xml:space="preserve">Error rate &lt; 0.1%; P99 latency within SLA; rollback if triggered criteria met</w:t>
            </w:r>
          </w:p>
        </w:tc>
        <w:tc>
          <w:tcPr>
            <w:tcW w:type="dxa" w:w="2360"/>
            <w:shd w:fill="FFFFFF" w:color="FFFFFF" w:val="clear"/>
          </w:tcPr>
          <w:p>
            <w:pPr>
              <w:spacing w:after="60"/>
            </w:pPr>
            <w:r>
              <w:rPr>
                <w:sz w:val="20"/>
                <w:szCs w:val="20"/>
              </w:rPr>
              <w:t xml:space="preserve">Datadog, Sentry, PagerDuty</w:t>
            </w:r>
          </w:p>
        </w:tc>
      </w:tr>
    </w:tbl>
    <w:p>
      <w:pPr>
        <w:spacing w:after="80"/>
      </w:pPr>
      <w:r>
        <w:t xml:space="preserve"/>
      </w:r>
    </w:p>
    <w:p>
      <w:pPr>
        <w:pStyle w:val="Heading2"/>
        <w:spacing w:after="150" w:before="300"/>
      </w:pPr>
      <w:r>
        <w:t xml:space="preserve">7.2 Branch Strategy</w:t>
      </w:r>
    </w:p>
    <w:p>
      <w:pPr>
        <w:spacing w:after="120" w:line="276"/>
      </w:pPr>
      <w:r>
        <w:rPr>
          <w:sz w:val="22"/>
          <w:szCs w:val="22"/>
        </w:rPr>
        <w:t xml:space="preserve">OptiAgent Engineering uses GitHub Flow with the following branch conventions:</w:t>
      </w:r>
    </w:p>
    <w:p>
      <w:pPr>
        <w:pStyle w:val="ListParagraph"/>
        <w:numPr>
          <w:ilvl w:val="0"/>
          <w:numId w:val="1"/>
        </w:numPr>
        <w:spacing w:after="80"/>
      </w:pPr>
      <w:r>
        <w:rPr>
          <w:sz w:val="22"/>
          <w:szCs w:val="22"/>
        </w:rPr>
        <w:t xml:space="preserve">main: Production-ready code; protected branch; direct pushes prohibited; merge via PR only</w:t>
      </w:r>
    </w:p>
    <w:p>
      <w:pPr>
        <w:pStyle w:val="ListParagraph"/>
        <w:numPr>
          <w:ilvl w:val="0"/>
          <w:numId w:val="1"/>
        </w:numPr>
        <w:spacing w:after="80"/>
      </w:pPr>
      <w:r>
        <w:rPr>
          <w:sz w:val="22"/>
          <w:szCs w:val="22"/>
        </w:rPr>
        <w:t xml:space="preserve">feature/[ticket-id]-short-description: Feature development branches; branched from main; deleted after merge</w:t>
      </w:r>
    </w:p>
    <w:p>
      <w:pPr>
        <w:pStyle w:val="ListParagraph"/>
        <w:numPr>
          <w:ilvl w:val="0"/>
          <w:numId w:val="1"/>
        </w:numPr>
        <w:spacing w:after="80"/>
      </w:pPr>
      <w:r>
        <w:rPr>
          <w:sz w:val="22"/>
          <w:szCs w:val="22"/>
        </w:rPr>
        <w:t xml:space="preserve">fix/[ticket-id]-short-description: Bug fix branches</w:t>
      </w:r>
    </w:p>
    <w:p>
      <w:pPr>
        <w:pStyle w:val="ListParagraph"/>
        <w:numPr>
          <w:ilvl w:val="0"/>
          <w:numId w:val="1"/>
        </w:numPr>
        <w:spacing w:after="80"/>
      </w:pPr>
      <w:r>
        <w:rPr>
          <w:sz w:val="22"/>
          <w:szCs w:val="22"/>
        </w:rPr>
        <w:t xml:space="preserve">release/[version]: Release candidate branches for major releases; branched from main</w:t>
      </w:r>
    </w:p>
    <w:p>
      <w:pPr>
        <w:pStyle w:val="ListParagraph"/>
        <w:numPr>
          <w:ilvl w:val="0"/>
          <w:numId w:val="1"/>
        </w:numPr>
        <w:spacing w:after="80"/>
      </w:pPr>
      <w:r>
        <w:rPr>
          <w:sz w:val="22"/>
          <w:szCs w:val="22"/>
        </w:rPr>
        <w:t xml:space="preserve">hotfix/[ticket-id]-short-description: Emergency production fixes; merged to main and immediately deployed</w:t>
      </w:r>
    </w:p>
    <w:p>
      <w:pPr>
        <w:pStyle w:val="Heading2"/>
        <w:spacing w:after="150" w:before="300"/>
      </w:pPr>
      <w:r>
        <w:t xml:space="preserve">7.3 Coding Standards</w:t>
      </w:r>
    </w:p>
    <w:p>
      <w:pPr>
        <w:spacing w:after="120" w:line="276"/>
      </w:pPr>
      <w:r>
        <w:rPr>
          <w:sz w:val="22"/>
          <w:szCs w:val="22"/>
        </w:rPr>
        <w:t xml:space="preserve">Language-specific coding standards are maintained in the Engineering Confluence space (Engineering &gt; Standards &gt; Coding Standards). All repositories must include a CONTRIBUTING.md that references the applicable coding standards. Key universal standards:</w:t>
      </w:r>
    </w:p>
    <w:p>
      <w:pPr>
        <w:pStyle w:val="ListParagraph"/>
        <w:numPr>
          <w:ilvl w:val="0"/>
          <w:numId w:val="1"/>
        </w:numPr>
        <w:spacing w:after="80"/>
      </w:pPr>
      <w:r>
        <w:rPr>
          <w:sz w:val="22"/>
          <w:szCs w:val="22"/>
        </w:rPr>
        <w:t xml:space="preserve">No secrets (API keys, passwords, tokens) may be committed to source code. Use environment variables, Vault (HashiCorp), or AWS Secrets Manager. Pre-commit hooks scan for secrets via Trufflehog.</w:t>
      </w:r>
    </w:p>
    <w:p>
      <w:pPr>
        <w:pStyle w:val="ListParagraph"/>
        <w:numPr>
          <w:ilvl w:val="0"/>
          <w:numId w:val="1"/>
        </w:numPr>
        <w:spacing w:after="80"/>
      </w:pPr>
      <w:r>
        <w:rPr>
          <w:sz w:val="22"/>
          <w:szCs w:val="22"/>
        </w:rPr>
        <w:t xml:space="preserve">All dependencies must be pinned to specific versions in lock files (package-lock.json, Pipfile.lock, go.sum, etc.)</w:t>
      </w:r>
    </w:p>
    <w:p>
      <w:pPr>
        <w:pStyle w:val="ListParagraph"/>
        <w:numPr>
          <w:ilvl w:val="0"/>
          <w:numId w:val="1"/>
        </w:numPr>
        <w:spacing w:after="80"/>
      </w:pPr>
      <w:r>
        <w:rPr>
          <w:sz w:val="22"/>
          <w:szCs w:val="22"/>
        </w:rPr>
        <w:t xml:space="preserve">No use of deprecated or EOL libraries. Dependabot and Snyk flag outdated dependencies automatically.</w:t>
      </w:r>
    </w:p>
    <w:p>
      <w:pPr>
        <w:pStyle w:val="ListParagraph"/>
        <w:numPr>
          <w:ilvl w:val="0"/>
          <w:numId w:val="1"/>
        </w:numPr>
        <w:spacing w:after="80"/>
      </w:pPr>
      <w:r>
        <w:rPr>
          <w:sz w:val="22"/>
          <w:szCs w:val="22"/>
        </w:rPr>
        <w:t xml:space="preserve">SQL queries must use parameterized queries or ORM methods — no raw string interpolation in SQL</w:t>
      </w:r>
    </w:p>
    <w:p>
      <w:pPr>
        <w:pStyle w:val="ListParagraph"/>
        <w:numPr>
          <w:ilvl w:val="0"/>
          <w:numId w:val="1"/>
        </w:numPr>
        <w:spacing w:after="80"/>
      </w:pPr>
      <w:r>
        <w:rPr>
          <w:sz w:val="22"/>
          <w:szCs w:val="22"/>
        </w:rPr>
        <w:t xml:space="preserve">All user-facing input must be validated and sanitized at the point of entry</w:t>
      </w:r>
    </w:p>
    <w:p>
      <w:r>
        <w:br w:type="page"/>
      </w:r>
    </w:p>
    <w:p>
      <w:pPr>
        <w:pStyle w:val="Heading1"/>
        <w:spacing w:after="200" w:before="400"/>
      </w:pPr>
      <w:r>
        <w:t xml:space="preserve">8. DevSecOps Standards</w:t>
      </w:r>
    </w:p>
    <w:p>
      <w:pPr>
        <w:pStyle w:val="Heading2"/>
        <w:spacing w:after="150" w:before="300"/>
      </w:pPr>
      <w:r>
        <w:t xml:space="preserve">8.1 Security in the CI/CD Pipeline</w:t>
      </w:r>
    </w:p>
    <w:p>
      <w:pPr>
        <w:spacing w:after="120" w:line="276"/>
      </w:pPr>
      <w:r>
        <w:rPr>
          <w:sz w:val="22"/>
          <w:szCs w:val="22"/>
        </w:rPr>
        <w:t xml:space="preserve">Security testing is integrated into every CI/CD pipeline in GitHub Actions. No deployment to production proceeds if the pipeline has unresolved Critical or High severity findings. The pipeline stages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shd w:fill="145A32" w:color="145A32" w:val="clear"/>
          </w:tcPr>
          <w:p>
            <w:pPr>
              <w:spacing w:after="60"/>
            </w:pPr>
            <w:r>
              <w:rPr>
                <w:b/>
                <w:bCs/>
                <w:color w:val="FFFFFF"/>
                <w:sz w:val="20"/>
                <w:szCs w:val="20"/>
              </w:rPr>
              <w:t xml:space="preserve">Stage</w:t>
            </w:r>
          </w:p>
        </w:tc>
        <w:tc>
          <w:tcPr>
            <w:tcW w:type="dxa" w:w="2200"/>
            <w:shd w:fill="145A32" w:color="145A32" w:val="clear"/>
          </w:tcPr>
          <w:p>
            <w:pPr>
              <w:spacing w:after="60"/>
            </w:pPr>
            <w:r>
              <w:rPr>
                <w:b/>
                <w:bCs/>
                <w:color w:val="FFFFFF"/>
                <w:sz w:val="20"/>
                <w:szCs w:val="20"/>
              </w:rPr>
              <w:t xml:space="preserve">Tool</w:t>
            </w:r>
          </w:p>
        </w:tc>
        <w:tc>
          <w:tcPr>
            <w:tcW w:type="dxa" w:w="2400"/>
            <w:shd w:fill="145A32" w:color="145A32" w:val="clear"/>
          </w:tcPr>
          <w:p>
            <w:pPr>
              <w:spacing w:after="60"/>
            </w:pPr>
            <w:r>
              <w:rPr>
                <w:b/>
                <w:bCs/>
                <w:color w:val="FFFFFF"/>
                <w:sz w:val="20"/>
                <w:szCs w:val="20"/>
              </w:rPr>
              <w:t xml:space="preserve">Finding Severity That Blocks Deploy</w:t>
            </w:r>
          </w:p>
        </w:tc>
        <w:tc>
          <w:tcPr>
            <w:tcW w:type="dxa" w:w="2560"/>
            <w:shd w:fill="145A32" w:color="145A32" w:val="clear"/>
          </w:tcPr>
          <w:p>
            <w:pPr>
              <w:spacing w:after="60"/>
            </w:pPr>
            <w:r>
              <w:rPr>
                <w:b/>
                <w:bCs/>
                <w:color w:val="FFFFFF"/>
                <w:sz w:val="20"/>
                <w:szCs w:val="20"/>
              </w:rPr>
              <w:t xml:space="preserve">Action on Finding</w:t>
            </w:r>
          </w:p>
        </w:tc>
      </w:tr>
      <w:tr>
        <w:tc>
          <w:tcPr>
            <w:tcW w:type="dxa" w:w="2200"/>
            <w:shd w:fill="E9F7EF" w:color="E9F7EF" w:val="clear"/>
          </w:tcPr>
          <w:p>
            <w:pPr>
              <w:spacing w:after="60"/>
            </w:pPr>
            <w:r>
              <w:rPr>
                <w:sz w:val="20"/>
                <w:szCs w:val="20"/>
              </w:rPr>
              <w:t xml:space="preserve">Secret Scanning</w:t>
            </w:r>
          </w:p>
        </w:tc>
        <w:tc>
          <w:tcPr>
            <w:tcW w:type="dxa" w:w="2200"/>
            <w:shd w:fill="E9F7EF" w:color="E9F7EF" w:val="clear"/>
          </w:tcPr>
          <w:p>
            <w:pPr>
              <w:spacing w:after="60"/>
            </w:pPr>
            <w:r>
              <w:rPr>
                <w:sz w:val="20"/>
                <w:szCs w:val="20"/>
              </w:rPr>
              <w:t xml:space="preserve">Trufflehog (pre-commit + CI)</w:t>
            </w:r>
          </w:p>
        </w:tc>
        <w:tc>
          <w:tcPr>
            <w:tcW w:type="dxa" w:w="2400"/>
            <w:shd w:fill="E9F7EF" w:color="E9F7EF" w:val="clear"/>
          </w:tcPr>
          <w:p>
            <w:pPr>
              <w:spacing w:after="60"/>
            </w:pPr>
            <w:r>
              <w:rPr>
                <w:sz w:val="20"/>
                <w:szCs w:val="20"/>
              </w:rPr>
              <w:t xml:space="preserve">Any</w:t>
            </w:r>
          </w:p>
        </w:tc>
        <w:tc>
          <w:tcPr>
            <w:tcW w:type="dxa" w:w="2560"/>
            <w:shd w:fill="E9F7EF" w:color="E9F7EF" w:val="clear"/>
          </w:tcPr>
          <w:p>
            <w:pPr>
              <w:spacing w:after="60"/>
            </w:pPr>
            <w:r>
              <w:rPr>
                <w:sz w:val="20"/>
                <w:szCs w:val="20"/>
              </w:rPr>
              <w:t xml:space="preserve">Block commit/PR; alert to Security; rotate exposed credential immediately</w:t>
            </w:r>
          </w:p>
        </w:tc>
      </w:tr>
      <w:tr>
        <w:tc>
          <w:tcPr>
            <w:tcW w:type="dxa" w:w="2200"/>
            <w:shd w:fill="FFFFFF" w:color="FFFFFF" w:val="clear"/>
          </w:tcPr>
          <w:p>
            <w:pPr>
              <w:spacing w:after="60"/>
            </w:pPr>
            <w:r>
              <w:rPr>
                <w:sz w:val="20"/>
                <w:szCs w:val="20"/>
              </w:rPr>
              <w:t xml:space="preserve">Static Application Security Testing (SAST)</w:t>
            </w:r>
          </w:p>
        </w:tc>
        <w:tc>
          <w:tcPr>
            <w:tcW w:type="dxa" w:w="2200"/>
            <w:shd w:fill="FFFFFF" w:color="FFFFFF" w:val="clear"/>
          </w:tcPr>
          <w:p>
            <w:pPr>
              <w:spacing w:after="60"/>
            </w:pPr>
            <w:r>
              <w:rPr>
                <w:sz w:val="20"/>
                <w:szCs w:val="20"/>
              </w:rPr>
              <w:t xml:space="preserve">SonarQube + Semgrep</w:t>
            </w:r>
          </w:p>
        </w:tc>
        <w:tc>
          <w:tcPr>
            <w:tcW w:type="dxa" w:w="2400"/>
            <w:shd w:fill="FFFFFF" w:color="FFFFFF" w:val="clear"/>
          </w:tcPr>
          <w:p>
            <w:pPr>
              <w:spacing w:after="60"/>
            </w:pPr>
            <w:r>
              <w:rPr>
                <w:sz w:val="20"/>
                <w:szCs w:val="20"/>
              </w:rPr>
              <w:t xml:space="preserve">Critical, High</w:t>
            </w:r>
          </w:p>
        </w:tc>
        <w:tc>
          <w:tcPr>
            <w:tcW w:type="dxa" w:w="2560"/>
            <w:shd w:fill="FFFFFF" w:color="FFFFFF" w:val="clear"/>
          </w:tcPr>
          <w:p>
            <w:pPr>
              <w:spacing w:after="60"/>
            </w:pPr>
            <w:r>
              <w:rPr>
                <w:sz w:val="20"/>
                <w:szCs w:val="20"/>
              </w:rPr>
              <w:t xml:space="preserve">PR blocked until finding resolved or risk-accepted by Security</w:t>
            </w:r>
          </w:p>
        </w:tc>
      </w:tr>
      <w:tr>
        <w:tc>
          <w:tcPr>
            <w:tcW w:type="dxa" w:w="2200"/>
            <w:shd w:fill="E9F7EF" w:color="E9F7EF" w:val="clear"/>
          </w:tcPr>
          <w:p>
            <w:pPr>
              <w:spacing w:after="60"/>
            </w:pPr>
            <w:r>
              <w:rPr>
                <w:sz w:val="20"/>
                <w:szCs w:val="20"/>
              </w:rPr>
              <w:t xml:space="preserve">Software Composition Analysis (SCA) — dependency scan</w:t>
            </w:r>
          </w:p>
        </w:tc>
        <w:tc>
          <w:tcPr>
            <w:tcW w:type="dxa" w:w="2200"/>
            <w:shd w:fill="E9F7EF" w:color="E9F7EF" w:val="clear"/>
          </w:tcPr>
          <w:p>
            <w:pPr>
              <w:spacing w:after="60"/>
            </w:pPr>
            <w:r>
              <w:rPr>
                <w:sz w:val="20"/>
                <w:szCs w:val="20"/>
              </w:rPr>
              <w:t xml:space="preserve">Snyk + Dependabot</w:t>
            </w:r>
          </w:p>
        </w:tc>
        <w:tc>
          <w:tcPr>
            <w:tcW w:type="dxa" w:w="2400"/>
            <w:shd w:fill="E9F7EF" w:color="E9F7EF" w:val="clear"/>
          </w:tcPr>
          <w:p>
            <w:pPr>
              <w:spacing w:after="60"/>
            </w:pPr>
            <w:r>
              <w:rPr>
                <w:sz w:val="20"/>
                <w:szCs w:val="20"/>
              </w:rPr>
              <w:t xml:space="preserve">Critical, High (CVSS ≥ 7.0)</w:t>
            </w:r>
          </w:p>
        </w:tc>
        <w:tc>
          <w:tcPr>
            <w:tcW w:type="dxa" w:w="2560"/>
            <w:shd w:fill="E9F7EF" w:color="E9F7EF" w:val="clear"/>
          </w:tcPr>
          <w:p>
            <w:pPr>
              <w:spacing w:after="60"/>
            </w:pPr>
            <w:r>
              <w:rPr>
                <w:sz w:val="20"/>
                <w:szCs w:val="20"/>
              </w:rPr>
              <w:t xml:space="preserve">PR blocked; update dependency or apply patch within SLA</w:t>
            </w:r>
          </w:p>
        </w:tc>
      </w:tr>
      <w:tr>
        <w:tc>
          <w:tcPr>
            <w:tcW w:type="dxa" w:w="2200"/>
            <w:shd w:fill="FFFFFF" w:color="FFFFFF" w:val="clear"/>
          </w:tcPr>
          <w:p>
            <w:pPr>
              <w:spacing w:after="60"/>
            </w:pPr>
            <w:r>
              <w:rPr>
                <w:sz w:val="20"/>
                <w:szCs w:val="20"/>
              </w:rPr>
              <w:t xml:space="preserve">Infrastructure as Code (IaC) Scanning</w:t>
            </w:r>
          </w:p>
        </w:tc>
        <w:tc>
          <w:tcPr>
            <w:tcW w:type="dxa" w:w="2200"/>
            <w:shd w:fill="FFFFFF" w:color="FFFFFF" w:val="clear"/>
          </w:tcPr>
          <w:p>
            <w:pPr>
              <w:spacing w:after="60"/>
            </w:pPr>
            <w:r>
              <w:rPr>
                <w:sz w:val="20"/>
                <w:szCs w:val="20"/>
              </w:rPr>
              <w:t xml:space="preserve">Checkov + tfsec</w:t>
            </w:r>
          </w:p>
        </w:tc>
        <w:tc>
          <w:tcPr>
            <w:tcW w:type="dxa" w:w="2400"/>
            <w:shd w:fill="FFFFFF" w:color="FFFFFF" w:val="clear"/>
          </w:tcPr>
          <w:p>
            <w:pPr>
              <w:spacing w:after="60"/>
            </w:pPr>
            <w:r>
              <w:rPr>
                <w:sz w:val="20"/>
                <w:szCs w:val="20"/>
              </w:rPr>
              <w:t xml:space="preserve">Critical, High</w:t>
            </w:r>
          </w:p>
        </w:tc>
        <w:tc>
          <w:tcPr>
            <w:tcW w:type="dxa" w:w="2560"/>
            <w:shd w:fill="FFFFFF" w:color="FFFFFF" w:val="clear"/>
          </w:tcPr>
          <w:p>
            <w:pPr>
              <w:spacing w:after="60"/>
            </w:pPr>
            <w:r>
              <w:rPr>
                <w:sz w:val="20"/>
                <w:szCs w:val="20"/>
              </w:rPr>
              <w:t xml:space="preserve">Terraform plan blocked; remediate or document accepted risk</w:t>
            </w:r>
          </w:p>
        </w:tc>
      </w:tr>
      <w:tr>
        <w:tc>
          <w:tcPr>
            <w:tcW w:type="dxa" w:w="2200"/>
            <w:shd w:fill="E9F7EF" w:color="E9F7EF" w:val="clear"/>
          </w:tcPr>
          <w:p>
            <w:pPr>
              <w:spacing w:after="60"/>
            </w:pPr>
            <w:r>
              <w:rPr>
                <w:sz w:val="20"/>
                <w:szCs w:val="20"/>
              </w:rPr>
              <w:t xml:space="preserve">Container Image Scanning</w:t>
            </w:r>
          </w:p>
        </w:tc>
        <w:tc>
          <w:tcPr>
            <w:tcW w:type="dxa" w:w="2200"/>
            <w:shd w:fill="E9F7EF" w:color="E9F7EF" w:val="clear"/>
          </w:tcPr>
          <w:p>
            <w:pPr>
              <w:spacing w:after="60"/>
            </w:pPr>
            <w:r>
              <w:rPr>
                <w:sz w:val="20"/>
                <w:szCs w:val="20"/>
              </w:rPr>
              <w:t xml:space="preserve">Trivy + ECR scanning</w:t>
            </w:r>
          </w:p>
        </w:tc>
        <w:tc>
          <w:tcPr>
            <w:tcW w:type="dxa" w:w="2400"/>
            <w:shd w:fill="E9F7EF" w:color="E9F7EF" w:val="clear"/>
          </w:tcPr>
          <w:p>
            <w:pPr>
              <w:spacing w:after="60"/>
            </w:pPr>
            <w:r>
              <w:rPr>
                <w:sz w:val="20"/>
                <w:szCs w:val="20"/>
              </w:rPr>
              <w:t xml:space="preserve">Critical, High</w:t>
            </w:r>
          </w:p>
        </w:tc>
        <w:tc>
          <w:tcPr>
            <w:tcW w:type="dxa" w:w="2560"/>
            <w:shd w:fill="E9F7EF" w:color="E9F7EF" w:val="clear"/>
          </w:tcPr>
          <w:p>
            <w:pPr>
              <w:spacing w:after="60"/>
            </w:pPr>
            <w:r>
              <w:rPr>
                <w:sz w:val="20"/>
                <w:szCs w:val="20"/>
              </w:rPr>
              <w:t xml:space="preserve">Image not promoted to staging; fix or rebuild base image</w:t>
            </w:r>
          </w:p>
        </w:tc>
      </w:tr>
      <w:tr>
        <w:tc>
          <w:tcPr>
            <w:tcW w:type="dxa" w:w="2200"/>
            <w:shd w:fill="FFFFFF" w:color="FFFFFF" w:val="clear"/>
          </w:tcPr>
          <w:p>
            <w:pPr>
              <w:spacing w:after="60"/>
            </w:pPr>
            <w:r>
              <w:rPr>
                <w:sz w:val="20"/>
                <w:szCs w:val="20"/>
              </w:rPr>
              <w:t xml:space="preserve">Dynamic Application Security Testing (DAST)</w:t>
            </w:r>
          </w:p>
        </w:tc>
        <w:tc>
          <w:tcPr>
            <w:tcW w:type="dxa" w:w="2200"/>
            <w:shd w:fill="FFFFFF" w:color="FFFFFF" w:val="clear"/>
          </w:tcPr>
          <w:p>
            <w:pPr>
              <w:spacing w:after="60"/>
            </w:pPr>
            <w:r>
              <w:rPr>
                <w:sz w:val="20"/>
                <w:szCs w:val="20"/>
              </w:rPr>
              <w:t xml:space="preserve">OWASP ZAP (automated)</w:t>
            </w:r>
          </w:p>
        </w:tc>
        <w:tc>
          <w:tcPr>
            <w:tcW w:type="dxa" w:w="2400"/>
            <w:shd w:fill="FFFFFF" w:color="FFFFFF" w:val="clear"/>
          </w:tcPr>
          <w:p>
            <w:pPr>
              <w:spacing w:after="60"/>
            </w:pPr>
            <w:r>
              <w:rPr>
                <w:sz w:val="20"/>
                <w:szCs w:val="20"/>
              </w:rPr>
              <w:t xml:space="preserve">Critical, High</w:t>
            </w:r>
          </w:p>
        </w:tc>
        <w:tc>
          <w:tcPr>
            <w:tcW w:type="dxa" w:w="2560"/>
            <w:shd w:fill="FFFFFF" w:color="FFFFFF" w:val="clear"/>
          </w:tcPr>
          <w:p>
            <w:pPr>
              <w:spacing w:after="60"/>
            </w:pPr>
            <w:r>
              <w:rPr>
                <w:sz w:val="20"/>
                <w:szCs w:val="20"/>
              </w:rPr>
              <w:t xml:space="preserve">Deployment blocked; Security team engaged for manual triage</w:t>
            </w:r>
          </w:p>
        </w:tc>
      </w:tr>
      <w:tr>
        <w:tc>
          <w:tcPr>
            <w:tcW w:type="dxa" w:w="2200"/>
            <w:shd w:fill="E9F7EF" w:color="E9F7EF" w:val="clear"/>
          </w:tcPr>
          <w:p>
            <w:pPr>
              <w:spacing w:after="60"/>
            </w:pPr>
            <w:r>
              <w:rPr>
                <w:sz w:val="20"/>
                <w:szCs w:val="20"/>
              </w:rPr>
              <w:t xml:space="preserve">License Compliance</w:t>
            </w:r>
          </w:p>
        </w:tc>
        <w:tc>
          <w:tcPr>
            <w:tcW w:type="dxa" w:w="2200"/>
            <w:shd w:fill="E9F7EF" w:color="E9F7EF" w:val="clear"/>
          </w:tcPr>
          <w:p>
            <w:pPr>
              <w:spacing w:after="60"/>
            </w:pPr>
            <w:r>
              <w:rPr>
                <w:sz w:val="20"/>
                <w:szCs w:val="20"/>
              </w:rPr>
              <w:t xml:space="preserve">FOSSA</w:t>
            </w:r>
          </w:p>
        </w:tc>
        <w:tc>
          <w:tcPr>
            <w:tcW w:type="dxa" w:w="2400"/>
            <w:shd w:fill="E9F7EF" w:color="E9F7EF" w:val="clear"/>
          </w:tcPr>
          <w:p>
            <w:pPr>
              <w:spacing w:after="60"/>
            </w:pPr>
            <w:r>
              <w:rPr>
                <w:sz w:val="20"/>
                <w:szCs w:val="20"/>
              </w:rPr>
              <w:t xml:space="preserve">GPL/AGPL in product (copyleft risk)</w:t>
            </w:r>
          </w:p>
        </w:tc>
        <w:tc>
          <w:tcPr>
            <w:tcW w:type="dxa" w:w="2560"/>
            <w:shd w:fill="E9F7EF" w:color="E9F7EF" w:val="clear"/>
          </w:tcPr>
          <w:p>
            <w:pPr>
              <w:spacing w:after="60"/>
            </w:pPr>
            <w:r>
              <w:rPr>
                <w:sz w:val="20"/>
                <w:szCs w:val="20"/>
              </w:rPr>
              <w:t xml:space="preserve">Legal review required before merge; approval documented</w:t>
            </w:r>
          </w:p>
        </w:tc>
      </w:tr>
    </w:tbl>
    <w:p>
      <w:pPr>
        <w:spacing w:after="80"/>
      </w:pPr>
      <w:r>
        <w:t xml:space="preserve"/>
      </w:r>
    </w:p>
    <w:p>
      <w:pPr>
        <w:pStyle w:val="Heading2"/>
        <w:spacing w:after="150" w:before="300"/>
      </w:pPr>
      <w:r>
        <w:t xml:space="preserve">8.2 Security Finding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shd w:fill="145A32" w:color="145A32" w:val="clear"/>
          </w:tcPr>
          <w:p>
            <w:pPr>
              <w:spacing w:after="60"/>
            </w:pPr>
            <w:r>
              <w:rPr>
                <w:b/>
                <w:bCs/>
                <w:color w:val="FFFFFF"/>
                <w:sz w:val="20"/>
                <w:szCs w:val="20"/>
              </w:rPr>
              <w:t xml:space="preserve">Severity</w:t>
            </w:r>
          </w:p>
        </w:tc>
        <w:tc>
          <w:tcPr>
            <w:tcW w:type="dxa" w:w="1800"/>
            <w:shd w:fill="145A32" w:color="145A32" w:val="clear"/>
          </w:tcPr>
          <w:p>
            <w:pPr>
              <w:spacing w:after="60"/>
            </w:pPr>
            <w:r>
              <w:rPr>
                <w:b/>
                <w:bCs/>
                <w:color w:val="FFFFFF"/>
                <w:sz w:val="20"/>
                <w:szCs w:val="20"/>
              </w:rPr>
              <w:t xml:space="preserve">CVSS Score</w:t>
            </w:r>
          </w:p>
        </w:tc>
        <w:tc>
          <w:tcPr>
            <w:tcW w:type="dxa" w:w="2800"/>
            <w:shd w:fill="145A32" w:color="145A32" w:val="clear"/>
          </w:tcPr>
          <w:p>
            <w:pPr>
              <w:spacing w:after="60"/>
            </w:pPr>
            <w:r>
              <w:rPr>
                <w:b/>
                <w:bCs/>
                <w:color w:val="FFFFFF"/>
                <w:sz w:val="20"/>
                <w:szCs w:val="20"/>
              </w:rPr>
              <w:t xml:space="preserve">Remediation SLA (Production)</w:t>
            </w:r>
          </w:p>
        </w:tc>
        <w:tc>
          <w:tcPr>
            <w:tcW w:type="dxa" w:w="2960"/>
            <w:shd w:fill="145A32" w:color="145A32" w:val="clear"/>
          </w:tcPr>
          <w:p>
            <w:pPr>
              <w:spacing w:after="60"/>
            </w:pPr>
            <w:r>
              <w:rPr>
                <w:b/>
                <w:bCs/>
                <w:color w:val="FFFFFF"/>
                <w:sz w:val="20"/>
                <w:szCs w:val="20"/>
              </w:rPr>
              <w:t xml:space="preserve">Remediation SLA (Non-Production)</w:t>
            </w:r>
          </w:p>
        </w:tc>
      </w:tr>
      <w:tr>
        <w:tc>
          <w:tcPr>
            <w:tcW w:type="dxa" w:w="1800"/>
            <w:shd w:fill="E9F7EF" w:color="E9F7EF" w:val="clear"/>
          </w:tcPr>
          <w:p>
            <w:pPr>
              <w:spacing w:after="60"/>
            </w:pPr>
            <w:r>
              <w:rPr>
                <w:sz w:val="20"/>
                <w:szCs w:val="20"/>
              </w:rPr>
              <w:t xml:space="preserve">Critical</w:t>
            </w:r>
          </w:p>
        </w:tc>
        <w:tc>
          <w:tcPr>
            <w:tcW w:type="dxa" w:w="1800"/>
            <w:shd w:fill="E9F7EF" w:color="E9F7EF" w:val="clear"/>
          </w:tcPr>
          <w:p>
            <w:pPr>
              <w:spacing w:after="60"/>
            </w:pPr>
            <w:r>
              <w:rPr>
                <w:sz w:val="20"/>
                <w:szCs w:val="20"/>
              </w:rPr>
              <w:t xml:space="preserve">9.0–10.0</w:t>
            </w:r>
          </w:p>
        </w:tc>
        <w:tc>
          <w:tcPr>
            <w:tcW w:type="dxa" w:w="2800"/>
            <w:shd w:fill="E9F7EF" w:color="E9F7EF" w:val="clear"/>
          </w:tcPr>
          <w:p>
            <w:pPr>
              <w:spacing w:after="60"/>
            </w:pPr>
            <w:r>
              <w:rPr>
                <w:sz w:val="20"/>
                <w:szCs w:val="20"/>
              </w:rPr>
              <w:t xml:space="preserve">24 hours</w:t>
            </w:r>
          </w:p>
        </w:tc>
        <w:tc>
          <w:tcPr>
            <w:tcW w:type="dxa" w:w="2960"/>
            <w:shd w:fill="E9F7EF" w:color="E9F7EF" w:val="clear"/>
          </w:tcPr>
          <w:p>
            <w:pPr>
              <w:spacing w:after="60"/>
            </w:pPr>
            <w:r>
              <w:rPr>
                <w:sz w:val="20"/>
                <w:szCs w:val="20"/>
              </w:rPr>
              <w:t xml:space="preserve">72 hours</w:t>
            </w:r>
          </w:p>
        </w:tc>
      </w:tr>
      <w:tr>
        <w:tc>
          <w:tcPr>
            <w:tcW w:type="dxa" w:w="1800"/>
            <w:shd w:fill="FFFFFF" w:color="FFFFFF" w:val="clear"/>
          </w:tcPr>
          <w:p>
            <w:pPr>
              <w:spacing w:after="60"/>
            </w:pPr>
            <w:r>
              <w:rPr>
                <w:sz w:val="20"/>
                <w:szCs w:val="20"/>
              </w:rPr>
              <w:t xml:space="preserve">High</w:t>
            </w:r>
          </w:p>
        </w:tc>
        <w:tc>
          <w:tcPr>
            <w:tcW w:type="dxa" w:w="1800"/>
            <w:shd w:fill="FFFFFF" w:color="FFFFFF" w:val="clear"/>
          </w:tcPr>
          <w:p>
            <w:pPr>
              <w:spacing w:after="60"/>
            </w:pPr>
            <w:r>
              <w:rPr>
                <w:sz w:val="20"/>
                <w:szCs w:val="20"/>
              </w:rPr>
              <w:t xml:space="preserve">7.0–8.9</w:t>
            </w:r>
          </w:p>
        </w:tc>
        <w:tc>
          <w:tcPr>
            <w:tcW w:type="dxa" w:w="2800"/>
            <w:shd w:fill="FFFFFF" w:color="FFFFFF" w:val="clear"/>
          </w:tcPr>
          <w:p>
            <w:pPr>
              <w:spacing w:after="60"/>
            </w:pPr>
            <w:r>
              <w:rPr>
                <w:sz w:val="20"/>
                <w:szCs w:val="20"/>
              </w:rPr>
              <w:t xml:space="preserve">7 days</w:t>
            </w:r>
          </w:p>
        </w:tc>
        <w:tc>
          <w:tcPr>
            <w:tcW w:type="dxa" w:w="2960"/>
            <w:shd w:fill="FFFFFF" w:color="FFFFFF" w:val="clear"/>
          </w:tcPr>
          <w:p>
            <w:pPr>
              <w:spacing w:after="60"/>
            </w:pPr>
            <w:r>
              <w:rPr>
                <w:sz w:val="20"/>
                <w:szCs w:val="20"/>
              </w:rPr>
              <w:t xml:space="preserve">30 days</w:t>
            </w:r>
          </w:p>
        </w:tc>
      </w:tr>
      <w:tr>
        <w:tc>
          <w:tcPr>
            <w:tcW w:type="dxa" w:w="1800"/>
            <w:shd w:fill="E9F7EF" w:color="E9F7EF" w:val="clear"/>
          </w:tcPr>
          <w:p>
            <w:pPr>
              <w:spacing w:after="60"/>
            </w:pPr>
            <w:r>
              <w:rPr>
                <w:sz w:val="20"/>
                <w:szCs w:val="20"/>
              </w:rPr>
              <w:t xml:space="preserve">Medium</w:t>
            </w:r>
          </w:p>
        </w:tc>
        <w:tc>
          <w:tcPr>
            <w:tcW w:type="dxa" w:w="1800"/>
            <w:shd w:fill="E9F7EF" w:color="E9F7EF" w:val="clear"/>
          </w:tcPr>
          <w:p>
            <w:pPr>
              <w:spacing w:after="60"/>
            </w:pPr>
            <w:r>
              <w:rPr>
                <w:sz w:val="20"/>
                <w:szCs w:val="20"/>
              </w:rPr>
              <w:t xml:space="preserve">4.0–6.9</w:t>
            </w:r>
          </w:p>
        </w:tc>
        <w:tc>
          <w:tcPr>
            <w:tcW w:type="dxa" w:w="2800"/>
            <w:shd w:fill="E9F7EF" w:color="E9F7EF" w:val="clear"/>
          </w:tcPr>
          <w:p>
            <w:pPr>
              <w:spacing w:after="60"/>
            </w:pPr>
            <w:r>
              <w:rPr>
                <w:sz w:val="20"/>
                <w:szCs w:val="20"/>
              </w:rPr>
              <w:t xml:space="preserve">30 days</w:t>
            </w:r>
          </w:p>
        </w:tc>
        <w:tc>
          <w:tcPr>
            <w:tcW w:type="dxa" w:w="2960"/>
            <w:shd w:fill="E9F7EF" w:color="E9F7EF" w:val="clear"/>
          </w:tcPr>
          <w:p>
            <w:pPr>
              <w:spacing w:after="60"/>
            </w:pPr>
            <w:r>
              <w:rPr>
                <w:sz w:val="20"/>
                <w:szCs w:val="20"/>
              </w:rPr>
              <w:t xml:space="preserve">90 days</w:t>
            </w:r>
          </w:p>
        </w:tc>
      </w:tr>
      <w:tr>
        <w:tc>
          <w:tcPr>
            <w:tcW w:type="dxa" w:w="1800"/>
            <w:shd w:fill="FFFFFF" w:color="FFFFFF" w:val="clear"/>
          </w:tcPr>
          <w:p>
            <w:pPr>
              <w:spacing w:after="60"/>
            </w:pPr>
            <w:r>
              <w:rPr>
                <w:sz w:val="20"/>
                <w:szCs w:val="20"/>
              </w:rPr>
              <w:t xml:space="preserve">Low</w:t>
            </w:r>
          </w:p>
        </w:tc>
        <w:tc>
          <w:tcPr>
            <w:tcW w:type="dxa" w:w="1800"/>
            <w:shd w:fill="FFFFFF" w:color="FFFFFF" w:val="clear"/>
          </w:tcPr>
          <w:p>
            <w:pPr>
              <w:spacing w:after="60"/>
            </w:pPr>
            <w:r>
              <w:rPr>
                <w:sz w:val="20"/>
                <w:szCs w:val="20"/>
              </w:rPr>
              <w:t xml:space="preserve">0.1–3.9</w:t>
            </w:r>
          </w:p>
        </w:tc>
        <w:tc>
          <w:tcPr>
            <w:tcW w:type="dxa" w:w="2800"/>
            <w:shd w:fill="FFFFFF" w:color="FFFFFF" w:val="clear"/>
          </w:tcPr>
          <w:p>
            <w:pPr>
              <w:spacing w:after="60"/>
            </w:pPr>
            <w:r>
              <w:rPr>
                <w:sz w:val="20"/>
                <w:szCs w:val="20"/>
              </w:rPr>
              <w:t xml:space="preserve">90 days</w:t>
            </w:r>
          </w:p>
        </w:tc>
        <w:tc>
          <w:tcPr>
            <w:tcW w:type="dxa" w:w="2960"/>
            <w:shd w:fill="FFFFFF" w:color="FFFFFF" w:val="clear"/>
          </w:tcPr>
          <w:p>
            <w:pPr>
              <w:spacing w:after="60"/>
            </w:pPr>
            <w:r>
              <w:rPr>
                <w:sz w:val="20"/>
                <w:szCs w:val="20"/>
              </w:rPr>
              <w:t xml:space="preserve">180 days</w:t>
            </w:r>
          </w:p>
        </w:tc>
      </w:tr>
      <w:tr>
        <w:tc>
          <w:tcPr>
            <w:tcW w:type="dxa" w:w="1800"/>
            <w:shd w:fill="E9F7EF" w:color="E9F7EF" w:val="clear"/>
          </w:tcPr>
          <w:p>
            <w:pPr>
              <w:spacing w:after="60"/>
            </w:pPr>
            <w:r>
              <w:rPr>
                <w:sz w:val="20"/>
                <w:szCs w:val="20"/>
              </w:rPr>
              <w:t xml:space="preserve">Informational</w:t>
            </w:r>
          </w:p>
        </w:tc>
        <w:tc>
          <w:tcPr>
            <w:tcW w:type="dxa" w:w="1800"/>
            <w:shd w:fill="E9F7EF" w:color="E9F7EF" w:val="clear"/>
          </w:tcPr>
          <w:p>
            <w:pPr>
              <w:spacing w:after="60"/>
            </w:pPr>
            <w:r>
              <w:rPr>
                <w:sz w:val="20"/>
                <w:szCs w:val="20"/>
              </w:rPr>
              <w:t xml:space="preserve">0.0</w:t>
            </w:r>
          </w:p>
        </w:tc>
        <w:tc>
          <w:tcPr>
            <w:tcW w:type="dxa" w:w="2800"/>
            <w:shd w:fill="E9F7EF" w:color="E9F7EF" w:val="clear"/>
          </w:tcPr>
          <w:p>
            <w:pPr>
              <w:spacing w:after="60"/>
            </w:pPr>
            <w:r>
              <w:rPr>
                <w:sz w:val="20"/>
                <w:szCs w:val="20"/>
              </w:rPr>
              <w:t xml:space="preserve">Best effort</w:t>
            </w:r>
          </w:p>
        </w:tc>
        <w:tc>
          <w:tcPr>
            <w:tcW w:type="dxa" w:w="2960"/>
            <w:shd w:fill="E9F7EF" w:color="E9F7EF" w:val="clear"/>
          </w:tcPr>
          <w:p>
            <w:pPr>
              <w:spacing w:after="60"/>
            </w:pPr>
            <w:r>
              <w:rPr>
                <w:sz w:val="20"/>
                <w:szCs w:val="20"/>
              </w:rPr>
              <w:t xml:space="preserve">Best effort</w:t>
            </w:r>
          </w:p>
        </w:tc>
      </w:tr>
    </w:tbl>
    <w:p>
      <w:pPr>
        <w:spacing w:after="80"/>
      </w:pPr>
      <w:r>
        <w:t xml:space="preserve"/>
      </w:r>
    </w:p>
    <w:p>
      <w:pPr>
        <w:pStyle w:val="Heading2"/>
        <w:spacing w:after="150" w:before="300"/>
      </w:pPr>
      <w:r>
        <w:t xml:space="preserve">8.3 Supply Chain Security</w:t>
      </w:r>
    </w:p>
    <w:p>
      <w:pPr>
        <w:spacing w:after="120" w:line="276"/>
      </w:pPr>
      <w:r>
        <w:rPr>
          <w:sz w:val="22"/>
          <w:szCs w:val="22"/>
        </w:rPr>
        <w:t xml:space="preserve">Software supply chain attacks (e.g., malicious packages, dependency confusion) are a critical risk vector. Controls:</w:t>
      </w:r>
    </w:p>
    <w:p>
      <w:pPr>
        <w:pStyle w:val="ListParagraph"/>
        <w:numPr>
          <w:ilvl w:val="0"/>
          <w:numId w:val="1"/>
        </w:numPr>
        <w:spacing w:after="80"/>
      </w:pPr>
      <w:r>
        <w:rPr>
          <w:sz w:val="22"/>
          <w:szCs w:val="22"/>
        </w:rPr>
        <w:t xml:space="preserve">All external packages are sourced from verified registries (npm, PyPI, Maven Central, GitHub Packages) only</w:t>
      </w:r>
    </w:p>
    <w:p>
      <w:pPr>
        <w:pStyle w:val="ListParagraph"/>
        <w:numPr>
          <w:ilvl w:val="0"/>
          <w:numId w:val="1"/>
        </w:numPr>
        <w:spacing w:after="80"/>
      </w:pPr>
      <w:r>
        <w:rPr>
          <w:sz w:val="22"/>
          <w:szCs w:val="22"/>
        </w:rPr>
        <w:t xml:space="preserve">Private package registries (Artifactory) are used for internal packages; no direct internet pull in production builds</w:t>
      </w:r>
    </w:p>
    <w:p>
      <w:pPr>
        <w:pStyle w:val="ListParagraph"/>
        <w:numPr>
          <w:ilvl w:val="0"/>
          <w:numId w:val="1"/>
        </w:numPr>
        <w:spacing w:after="80"/>
      </w:pPr>
      <w:r>
        <w:rPr>
          <w:sz w:val="22"/>
          <w:szCs w:val="22"/>
        </w:rPr>
        <w:t xml:space="preserve">Dependency pinning (exact version in lock files) is mandatory; floating version ranges are not permitted in production dependencies</w:t>
      </w:r>
    </w:p>
    <w:p>
      <w:pPr>
        <w:pStyle w:val="ListParagraph"/>
        <w:numPr>
          <w:ilvl w:val="0"/>
          <w:numId w:val="1"/>
        </w:numPr>
        <w:spacing w:after="80"/>
      </w:pPr>
      <w:r>
        <w:rPr>
          <w:sz w:val="22"/>
          <w:szCs w:val="22"/>
        </w:rPr>
        <w:t xml:space="preserve">SBOM (Software Bill of Materials) is generated for every production container image using Syft and stored in the artifact registry</w:t>
      </w:r>
    </w:p>
    <w:p>
      <w:pPr>
        <w:pStyle w:val="ListParagraph"/>
        <w:numPr>
          <w:ilvl w:val="0"/>
          <w:numId w:val="1"/>
        </w:numPr>
        <w:spacing w:after="80"/>
      </w:pPr>
      <w:r>
        <w:rPr>
          <w:sz w:val="22"/>
          <w:szCs w:val="22"/>
        </w:rPr>
        <w:t xml:space="preserve">Critical third-party APIs (LLM providers, payment processors, identity providers) have documented fallback procedures</w:t>
      </w:r>
    </w:p>
    <w:p>
      <w:r>
        <w:br w:type="page"/>
      </w:r>
    </w:p>
    <w:p>
      <w:pPr>
        <w:pStyle w:val="Heading1"/>
        <w:spacing w:after="200" w:before="400"/>
      </w:pPr>
      <w:r>
        <w:t xml:space="preserve">9. Cloud Governance Policy</w:t>
      </w:r>
    </w:p>
    <w:p>
      <w:pPr>
        <w:pStyle w:val="Heading2"/>
        <w:spacing w:after="150" w:before="300"/>
      </w:pPr>
      <w:r>
        <w:t xml:space="preserve">9.1 Cloud Providers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00"/>
        <w:gridCol w:w="1660"/>
      </w:tblGrid>
      <w:tr>
        <w:tc>
          <w:tcPr>
            <w:tcW w:type="dxa" w:w="2000"/>
            <w:shd w:fill="145A32" w:color="145A32" w:val="clear"/>
          </w:tcPr>
          <w:p>
            <w:pPr>
              <w:spacing w:after="60"/>
            </w:pPr>
            <w:r>
              <w:rPr>
                <w:b/>
                <w:bCs/>
                <w:color w:val="FFFFFF"/>
                <w:sz w:val="20"/>
                <w:szCs w:val="20"/>
              </w:rPr>
              <w:t xml:space="preserve">Provider</w:t>
            </w:r>
          </w:p>
        </w:tc>
        <w:tc>
          <w:tcPr>
            <w:tcW w:type="dxa" w:w="3000"/>
            <w:shd w:fill="145A32" w:color="145A32" w:val="clear"/>
          </w:tcPr>
          <w:p>
            <w:pPr>
              <w:spacing w:after="60"/>
            </w:pPr>
            <w:r>
              <w:rPr>
                <w:b/>
                <w:bCs/>
                <w:color w:val="FFFFFF"/>
                <w:sz w:val="20"/>
                <w:szCs w:val="20"/>
              </w:rPr>
              <w:t xml:space="preserve">Primary Use</w:t>
            </w:r>
          </w:p>
        </w:tc>
        <w:tc>
          <w:tcPr>
            <w:tcW w:type="dxa" w:w="2700"/>
            <w:shd w:fill="145A32" w:color="145A32" w:val="clear"/>
          </w:tcPr>
          <w:p>
            <w:pPr>
              <w:spacing w:after="60"/>
            </w:pPr>
            <w:r>
              <w:rPr>
                <w:b/>
                <w:bCs/>
                <w:color w:val="FFFFFF"/>
                <w:sz w:val="20"/>
                <w:szCs w:val="20"/>
              </w:rPr>
              <w:t xml:space="preserve">Account Structure</w:t>
            </w:r>
          </w:p>
        </w:tc>
        <w:tc>
          <w:tcPr>
            <w:tcW w:type="dxa" w:w="1660"/>
            <w:shd w:fill="145A32" w:color="145A32" w:val="clear"/>
          </w:tcPr>
          <w:p>
            <w:pPr>
              <w:spacing w:after="60"/>
            </w:pPr>
            <w:r>
              <w:rPr>
                <w:b/>
                <w:bCs/>
                <w:color w:val="FFFFFF"/>
                <w:sz w:val="20"/>
                <w:szCs w:val="20"/>
              </w:rPr>
              <w:t xml:space="preserve">Owner</w:t>
            </w:r>
          </w:p>
        </w:tc>
      </w:tr>
      <w:tr>
        <w:tc>
          <w:tcPr>
            <w:tcW w:type="dxa" w:w="2000"/>
            <w:shd w:fill="E9F7EF" w:color="E9F7EF" w:val="clear"/>
          </w:tcPr>
          <w:p>
            <w:pPr>
              <w:spacing w:after="60"/>
            </w:pPr>
            <w:r>
              <w:rPr>
                <w:sz w:val="20"/>
                <w:szCs w:val="20"/>
              </w:rPr>
              <w:t xml:space="preserve">Amazon Web Services (AWS)</w:t>
            </w:r>
          </w:p>
        </w:tc>
        <w:tc>
          <w:tcPr>
            <w:tcW w:type="dxa" w:w="3000"/>
            <w:shd w:fill="E9F7EF" w:color="E9F7EF" w:val="clear"/>
          </w:tcPr>
          <w:p>
            <w:pPr>
              <w:spacing w:after="60"/>
            </w:pPr>
            <w:r>
              <w:rPr>
                <w:sz w:val="20"/>
                <w:szCs w:val="20"/>
              </w:rPr>
              <w:t xml:space="preserve">Primary production cloud; USA and APAC regions</w:t>
            </w:r>
          </w:p>
        </w:tc>
        <w:tc>
          <w:tcPr>
            <w:tcW w:type="dxa" w:w="2700"/>
            <w:shd w:fill="E9F7EF" w:color="E9F7EF" w:val="clear"/>
          </w:tcPr>
          <w:p>
            <w:pPr>
              <w:spacing w:after="60"/>
            </w:pPr>
            <w:r>
              <w:rPr>
                <w:sz w:val="20"/>
                <w:szCs w:val="20"/>
              </w:rPr>
              <w:t xml:space="preserve">Multi-account via AWS Organizations: Production, Staging, Dev, Security (log archive), Shared Services</w:t>
            </w:r>
          </w:p>
        </w:tc>
        <w:tc>
          <w:tcPr>
            <w:tcW w:type="dxa" w:w="1660"/>
            <w:shd w:fill="E9F7EF" w:color="E9F7EF" w:val="clear"/>
          </w:tcPr>
          <w:p>
            <w:pPr>
              <w:spacing w:after="60"/>
            </w:pPr>
            <w:r>
              <w:rPr>
                <w:sz w:val="20"/>
                <w:szCs w:val="20"/>
              </w:rPr>
              <w:t xml:space="preserve">VP Engineering + Director Platform Engineering</w:t>
            </w:r>
          </w:p>
        </w:tc>
      </w:tr>
      <w:tr>
        <w:tc>
          <w:tcPr>
            <w:tcW w:type="dxa" w:w="2000"/>
            <w:shd w:fill="FFFFFF" w:color="FFFFFF" w:val="clear"/>
          </w:tcPr>
          <w:p>
            <w:pPr>
              <w:spacing w:after="60"/>
            </w:pPr>
            <w:r>
              <w:rPr>
                <w:sz w:val="20"/>
                <w:szCs w:val="20"/>
              </w:rPr>
              <w:t xml:space="preserve">Google Cloud Platform (GCP)</w:t>
            </w:r>
          </w:p>
        </w:tc>
        <w:tc>
          <w:tcPr>
            <w:tcW w:type="dxa" w:w="3000"/>
            <w:shd w:fill="FFFFFF" w:color="FFFFFF" w:val="clear"/>
          </w:tcPr>
          <w:p>
            <w:pPr>
              <w:spacing w:after="60"/>
            </w:pPr>
            <w:r>
              <w:rPr>
                <w:sz w:val="20"/>
                <w:szCs w:val="20"/>
              </w:rPr>
              <w:t xml:space="preserve">AI/ML workloads; BigQuery data warehouse; Vertex AI</w:t>
            </w:r>
          </w:p>
        </w:tc>
        <w:tc>
          <w:tcPr>
            <w:tcW w:type="dxa" w:w="2700"/>
            <w:shd w:fill="FFFFFF" w:color="FFFFFF" w:val="clear"/>
          </w:tcPr>
          <w:p>
            <w:pPr>
              <w:spacing w:after="60"/>
            </w:pPr>
            <w:r>
              <w:rPr>
                <w:sz w:val="20"/>
                <w:szCs w:val="20"/>
              </w:rPr>
              <w:t xml:space="preserve">Multi-project via GCP Organization; separate billing per environment</w:t>
            </w:r>
          </w:p>
        </w:tc>
        <w:tc>
          <w:tcPr>
            <w:tcW w:type="dxa" w:w="1660"/>
            <w:shd w:fill="FFFFFF" w:color="FFFFFF" w:val="clear"/>
          </w:tcPr>
          <w:p>
            <w:pPr>
              <w:spacing w:after="60"/>
            </w:pPr>
            <w:r>
              <w:rPr>
                <w:sz w:val="20"/>
                <w:szCs w:val="20"/>
              </w:rPr>
              <w:t xml:space="preserve">Head of AI Engineering</w:t>
            </w:r>
          </w:p>
        </w:tc>
      </w:tr>
      <w:tr>
        <w:tc>
          <w:tcPr>
            <w:tcW w:type="dxa" w:w="2000"/>
            <w:shd w:fill="E9F7EF" w:color="E9F7EF" w:val="clear"/>
          </w:tcPr>
          <w:p>
            <w:pPr>
              <w:spacing w:after="60"/>
            </w:pPr>
            <w:r>
              <w:rPr>
                <w:sz w:val="20"/>
                <w:szCs w:val="20"/>
              </w:rPr>
              <w:t xml:space="preserve">Microsoft Azure</w:t>
            </w:r>
          </w:p>
        </w:tc>
        <w:tc>
          <w:tcPr>
            <w:tcW w:type="dxa" w:w="3000"/>
            <w:shd w:fill="E9F7EF" w:color="E9F7EF" w:val="clear"/>
          </w:tcPr>
          <w:p>
            <w:pPr>
              <w:spacing w:after="60"/>
            </w:pPr>
            <w:r>
              <w:rPr>
                <w:sz w:val="20"/>
                <w:szCs w:val="20"/>
              </w:rPr>
              <w:t xml:space="preserve">Microsoft 365 integration; Azure AD (Entra ID); backup workloads</w:t>
            </w:r>
          </w:p>
        </w:tc>
        <w:tc>
          <w:tcPr>
            <w:tcW w:type="dxa" w:w="2700"/>
            <w:shd w:fill="E9F7EF" w:color="E9F7EF" w:val="clear"/>
          </w:tcPr>
          <w:p>
            <w:pPr>
              <w:spacing w:after="60"/>
            </w:pPr>
            <w:r>
              <w:rPr>
                <w:sz w:val="20"/>
                <w:szCs w:val="20"/>
              </w:rPr>
              <w:t xml:space="preserve">Single tenant aligned with Okta federation</w:t>
            </w:r>
          </w:p>
        </w:tc>
        <w:tc>
          <w:tcPr>
            <w:tcW w:type="dxa" w:w="1660"/>
            <w:shd w:fill="E9F7EF" w:color="E9F7EF" w:val="clear"/>
          </w:tcPr>
          <w:p>
            <w:pPr>
              <w:spacing w:after="60"/>
            </w:pPr>
            <w:r>
              <w:rPr>
                <w:sz w:val="20"/>
                <w:szCs w:val="20"/>
              </w:rPr>
              <w:t xml:space="preserve">VP IT Operations</w:t>
            </w:r>
          </w:p>
        </w:tc>
      </w:tr>
      <w:tr>
        <w:tc>
          <w:tcPr>
            <w:tcW w:type="dxa" w:w="2000"/>
            <w:shd w:fill="FFFFFF" w:color="FFFFFF" w:val="clear"/>
          </w:tcPr>
          <w:p>
            <w:pPr>
              <w:spacing w:after="60"/>
            </w:pPr>
            <w:r>
              <w:rPr>
                <w:sz w:val="20"/>
                <w:szCs w:val="20"/>
              </w:rPr>
              <w:t xml:space="preserve">Cloudflare</w:t>
            </w:r>
          </w:p>
        </w:tc>
        <w:tc>
          <w:tcPr>
            <w:tcW w:type="dxa" w:w="3000"/>
            <w:shd w:fill="FFFFFF" w:color="FFFFFF" w:val="clear"/>
          </w:tcPr>
          <w:p>
            <w:pPr>
              <w:spacing w:after="60"/>
            </w:pPr>
            <w:r>
              <w:rPr>
                <w:sz w:val="20"/>
                <w:szCs w:val="20"/>
              </w:rPr>
              <w:t xml:space="preserve">CDN, WAF, DDoS protection, DNS, Workers edge compute</w:t>
            </w:r>
          </w:p>
        </w:tc>
        <w:tc>
          <w:tcPr>
            <w:tcW w:type="dxa" w:w="2700"/>
            <w:shd w:fill="FFFFFF" w:color="FFFFFF" w:val="clear"/>
          </w:tcPr>
          <w:p>
            <w:pPr>
              <w:spacing w:after="60"/>
            </w:pPr>
            <w:r>
              <w:rPr>
                <w:sz w:val="20"/>
                <w:szCs w:val="20"/>
              </w:rPr>
              <w:t xml:space="preserve">Single account; managed by Platform Engineering</w:t>
            </w:r>
          </w:p>
        </w:tc>
        <w:tc>
          <w:tcPr>
            <w:tcW w:type="dxa" w:w="1660"/>
            <w:shd w:fill="FFFFFF" w:color="FFFFFF" w:val="clear"/>
          </w:tcPr>
          <w:p>
            <w:pPr>
              <w:spacing w:after="60"/>
            </w:pPr>
            <w:r>
              <w:rPr>
                <w:sz w:val="20"/>
                <w:szCs w:val="20"/>
              </w:rPr>
              <w:t xml:space="preserve">Director Platform Engineering</w:t>
            </w:r>
          </w:p>
        </w:tc>
      </w:tr>
    </w:tbl>
    <w:p>
      <w:pPr>
        <w:spacing w:after="80"/>
      </w:pPr>
      <w:r>
        <w:t xml:space="preserve"/>
      </w:r>
    </w:p>
    <w:p>
      <w:pPr>
        <w:pStyle w:val="Heading2"/>
        <w:spacing w:after="150" w:before="300"/>
      </w:pPr>
      <w:r>
        <w:t xml:space="preserve">9.2 Cloud Cost Management</w:t>
      </w:r>
    </w:p>
    <w:p>
      <w:pPr>
        <w:spacing w:after="120" w:line="276"/>
      </w:pPr>
      <w:r>
        <w:rPr>
          <w:sz w:val="22"/>
          <w:szCs w:val="22"/>
        </w:rPr>
        <w:t xml:space="preserve">Cloud cost management is owned jointly by Engineering (technical optimization) and Finance (budget governance). Key controls:</w:t>
      </w:r>
    </w:p>
    <w:p>
      <w:pPr>
        <w:pStyle w:val="ListParagraph"/>
        <w:numPr>
          <w:ilvl w:val="0"/>
          <w:numId w:val="1"/>
        </w:numPr>
        <w:spacing w:after="80"/>
      </w:pPr>
      <w:r>
        <w:rPr>
          <w:sz w:val="22"/>
          <w:szCs w:val="22"/>
        </w:rPr>
        <w:t xml:space="preserve">All cloud resources must be tagged with: Environment (prod/staging/dev), Team, CostCenter, Project, and Managed-By tags</w:t>
      </w:r>
    </w:p>
    <w:p>
      <w:pPr>
        <w:pStyle w:val="ListParagraph"/>
        <w:numPr>
          <w:ilvl w:val="0"/>
          <w:numId w:val="1"/>
        </w:numPr>
        <w:spacing w:after="80"/>
      </w:pPr>
      <w:r>
        <w:rPr>
          <w:sz w:val="22"/>
          <w:szCs w:val="22"/>
        </w:rPr>
        <w:t xml:space="preserve">Untagged resources are automatically flagged by Apptio Cloudability and reported to the owning team weekly</w:t>
      </w:r>
    </w:p>
    <w:p>
      <w:pPr>
        <w:pStyle w:val="ListParagraph"/>
        <w:numPr>
          <w:ilvl w:val="0"/>
          <w:numId w:val="1"/>
        </w:numPr>
        <w:spacing w:after="80"/>
      </w:pPr>
      <w:r>
        <w:rPr>
          <w:sz w:val="22"/>
          <w:szCs w:val="22"/>
        </w:rPr>
        <w:t xml:space="preserve">Monthly FinOps review between Engineering leads and Finance to review cloud cost vs. budget (Budget code BUD-COGS-001 and BUD-ENG-005)</w:t>
      </w:r>
    </w:p>
    <w:p>
      <w:pPr>
        <w:pStyle w:val="ListParagraph"/>
        <w:numPr>
          <w:ilvl w:val="0"/>
          <w:numId w:val="1"/>
        </w:numPr>
        <w:spacing w:after="80"/>
      </w:pPr>
      <w:r>
        <w:rPr>
          <w:sz w:val="22"/>
          <w:szCs w:val="22"/>
        </w:rPr>
        <w:t xml:space="preserve">Reserved Instances (RI) and Savings Plans are reviewed quarterly by Treasury and Engineering; commitments require CFO approval for &gt; USD 100K</w:t>
      </w:r>
    </w:p>
    <w:p>
      <w:pPr>
        <w:pStyle w:val="ListParagraph"/>
        <w:numPr>
          <w:ilvl w:val="0"/>
          <w:numId w:val="1"/>
        </w:numPr>
        <w:spacing w:after="80"/>
      </w:pPr>
      <w:r>
        <w:rPr>
          <w:sz w:val="22"/>
          <w:szCs w:val="22"/>
        </w:rPr>
        <w:t xml:space="preserve">Idle or oversized resources (instances running at &lt; 10% CPU for &gt; 7 days) are flagged by CloudHealth and right-sizing recommendations are actioned within 30 days</w:t>
      </w:r>
    </w:p>
    <w:p>
      <w:pPr>
        <w:pStyle w:val="ListParagraph"/>
        <w:numPr>
          <w:ilvl w:val="0"/>
          <w:numId w:val="1"/>
        </w:numPr>
        <w:spacing w:after="80"/>
      </w:pPr>
      <w:r>
        <w:rPr>
          <w:sz w:val="22"/>
          <w:szCs w:val="22"/>
        </w:rPr>
        <w:t xml:space="preserve">Cost anomaly alerts are configured in AWS Cost Anomaly Detection; any single-day spike &gt; 20% above baseline triggers a PagerDuty alert to the FinOps lead</w:t>
      </w:r>
    </w:p>
    <w:p>
      <w:pPr>
        <w:pStyle w:val="Heading2"/>
        <w:spacing w:after="150" w:before="300"/>
      </w:pPr>
      <w:r>
        <w:t xml:space="preserve">9.3 Cloud Security Controls</w:t>
      </w:r>
    </w:p>
    <w:p>
      <w:pPr>
        <w:spacing w:after="120" w:line="276"/>
      </w:pPr>
      <w:r>
        <w:rPr>
          <w:sz w:val="22"/>
          <w:szCs w:val="22"/>
        </w:rPr>
        <w:t xml:space="preserve">All AWS accounts must comply with the OptiAgent Cloud Security Baseline (maintained in the Security Confluence space):</w:t>
      </w:r>
    </w:p>
    <w:p>
      <w:pPr>
        <w:pStyle w:val="ListParagraph"/>
        <w:numPr>
          <w:ilvl w:val="0"/>
          <w:numId w:val="1"/>
        </w:numPr>
        <w:spacing w:after="80"/>
      </w:pPr>
      <w:r>
        <w:rPr>
          <w:sz w:val="22"/>
          <w:szCs w:val="22"/>
        </w:rPr>
        <w:t xml:space="preserve">AWS GuardDuty enabled on all accounts; findings feed to Splunk SIEM</w:t>
      </w:r>
    </w:p>
    <w:p>
      <w:pPr>
        <w:pStyle w:val="ListParagraph"/>
        <w:numPr>
          <w:ilvl w:val="0"/>
          <w:numId w:val="1"/>
        </w:numPr>
        <w:spacing w:after="80"/>
      </w:pPr>
      <w:r>
        <w:rPr>
          <w:sz w:val="22"/>
          <w:szCs w:val="22"/>
        </w:rPr>
        <w:t xml:space="preserve">AWS Config Rules enforce mandatory tagging, encryption, public access blocks on S3, and approved regions (us-east-1, us-west-2, eu-west-1, ap-southeast-1 only)</w:t>
      </w:r>
    </w:p>
    <w:p>
      <w:pPr>
        <w:pStyle w:val="ListParagraph"/>
        <w:numPr>
          <w:ilvl w:val="0"/>
          <w:numId w:val="1"/>
        </w:numPr>
        <w:spacing w:after="80"/>
      </w:pPr>
      <w:r>
        <w:rPr>
          <w:sz w:val="22"/>
          <w:szCs w:val="22"/>
        </w:rPr>
        <w:t xml:space="preserve">All S3 buckets must have public access blocked; versioning enabled for production data buckets</w:t>
      </w:r>
    </w:p>
    <w:p>
      <w:pPr>
        <w:pStyle w:val="ListParagraph"/>
        <w:numPr>
          <w:ilvl w:val="0"/>
          <w:numId w:val="1"/>
        </w:numPr>
        <w:spacing w:after="80"/>
      </w:pPr>
      <w:r>
        <w:rPr>
          <w:sz w:val="22"/>
          <w:szCs w:val="22"/>
        </w:rPr>
        <w:t xml:space="preserve">All EBS volumes, RDS instances, and S3 buckets containing Confidential or Restricted data must be encrypted with AWS KMS</w:t>
      </w:r>
    </w:p>
    <w:p>
      <w:pPr>
        <w:pStyle w:val="ListParagraph"/>
        <w:numPr>
          <w:ilvl w:val="0"/>
          <w:numId w:val="1"/>
        </w:numPr>
        <w:spacing w:after="80"/>
      </w:pPr>
      <w:r>
        <w:rPr>
          <w:sz w:val="22"/>
          <w:szCs w:val="22"/>
        </w:rPr>
        <w:t xml:space="preserve">CloudTrail enabled in all accounts; logs centralized in the Security log archive account with immutable write-once storage (S3 Object Lock)</w:t>
      </w:r>
    </w:p>
    <w:p>
      <w:pPr>
        <w:pStyle w:val="ListParagraph"/>
        <w:numPr>
          <w:ilvl w:val="0"/>
          <w:numId w:val="1"/>
        </w:numPr>
        <w:spacing w:after="80"/>
      </w:pPr>
      <w:r>
        <w:rPr>
          <w:sz w:val="22"/>
          <w:szCs w:val="22"/>
        </w:rPr>
        <w:t xml:space="preserve">No IAM access keys for production accounts; all human access via AWS SSO (federated through Okta); all service access via IAM roles</w:t>
      </w:r>
    </w:p>
    <w:p>
      <w:pPr>
        <w:pStyle w:val="ListParagraph"/>
        <w:numPr>
          <w:ilvl w:val="0"/>
          <w:numId w:val="1"/>
        </w:numPr>
        <w:spacing w:after="80"/>
      </w:pPr>
      <w:r>
        <w:rPr>
          <w:sz w:val="22"/>
          <w:szCs w:val="22"/>
        </w:rPr>
        <w:t xml:space="preserve">VPC Flow Logs enabled on all VPCs; routed to Splunk for analysis</w:t>
      </w:r>
    </w:p>
    <w:p>
      <w:r>
        <w:br w:type="page"/>
      </w:r>
    </w:p>
    <w:p>
      <w:pPr>
        <w:pStyle w:val="Heading1"/>
        <w:spacing w:after="200" w:before="400"/>
      </w:pPr>
      <w:r>
        <w:t xml:space="preserve">10. Network &amp; Infrastructure Policy</w:t>
      </w:r>
    </w:p>
    <w:p>
      <w:pPr>
        <w:pStyle w:val="Heading2"/>
        <w:spacing w:after="150" w:before="300"/>
      </w:pPr>
      <w:r>
        <w:t xml:space="preserve">10.1 Network Architecture</w:t>
      </w:r>
    </w:p>
    <w:p>
      <w:pPr>
        <w:spacing w:after="120" w:line="276"/>
      </w:pPr>
      <w:r>
        <w:rPr>
          <w:sz w:val="22"/>
          <w:szCs w:val="22"/>
        </w:rPr>
        <w:t xml:space="preserve">OptiAgent operates a zero-trust network architecture. The corporate network is not a trusted boundary — all applications require authentication and authorization regardless of network location. Key network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shd w:fill="145A32" w:color="145A32" w:val="clear"/>
          </w:tcPr>
          <w:p>
            <w:pPr>
              <w:spacing w:after="60"/>
            </w:pPr>
            <w:r>
              <w:rPr>
                <w:b/>
                <w:bCs/>
                <w:color w:val="FFFFFF"/>
                <w:sz w:val="20"/>
                <w:szCs w:val="20"/>
              </w:rPr>
              <w:t xml:space="preserve">Layer</w:t>
            </w:r>
          </w:p>
        </w:tc>
        <w:tc>
          <w:tcPr>
            <w:tcW w:type="dxa" w:w="2800"/>
            <w:shd w:fill="145A32" w:color="145A32" w:val="clear"/>
          </w:tcPr>
          <w:p>
            <w:pPr>
              <w:spacing w:after="60"/>
            </w:pPr>
            <w:r>
              <w:rPr>
                <w:b/>
                <w:bCs/>
                <w:color w:val="FFFFFF"/>
                <w:sz w:val="20"/>
                <w:szCs w:val="20"/>
              </w:rPr>
              <w:t xml:space="preserve">Technology</w:t>
            </w:r>
          </w:p>
        </w:tc>
        <w:tc>
          <w:tcPr>
            <w:tcW w:type="dxa" w:w="4360"/>
            <w:shd w:fill="145A32" w:color="145A32" w:val="clear"/>
          </w:tcPr>
          <w:p>
            <w:pPr>
              <w:spacing w:after="60"/>
            </w:pPr>
            <w:r>
              <w:rPr>
                <w:b/>
                <w:bCs/>
                <w:color w:val="FFFFFF"/>
                <w:sz w:val="20"/>
                <w:szCs w:val="20"/>
              </w:rPr>
              <w:t xml:space="preserve">Purpose</w:t>
            </w:r>
          </w:p>
        </w:tc>
      </w:tr>
      <w:tr>
        <w:tc>
          <w:tcPr>
            <w:tcW w:type="dxa" w:w="2200"/>
            <w:shd w:fill="E9F7EF" w:color="E9F7EF" w:val="clear"/>
          </w:tcPr>
          <w:p>
            <w:pPr>
              <w:spacing w:after="60"/>
            </w:pPr>
            <w:r>
              <w:rPr>
                <w:sz w:val="20"/>
                <w:szCs w:val="20"/>
              </w:rPr>
              <w:t xml:space="preserve">Internet edge / DDoS protection</w:t>
            </w:r>
          </w:p>
        </w:tc>
        <w:tc>
          <w:tcPr>
            <w:tcW w:type="dxa" w:w="2800"/>
            <w:shd w:fill="E9F7EF" w:color="E9F7EF" w:val="clear"/>
          </w:tcPr>
          <w:p>
            <w:pPr>
              <w:spacing w:after="60"/>
            </w:pPr>
            <w:r>
              <w:rPr>
                <w:sz w:val="20"/>
                <w:szCs w:val="20"/>
              </w:rPr>
              <w:t xml:space="preserve">Cloudflare (BGP-advertised IPs; Magic Transit)</w:t>
            </w:r>
          </w:p>
        </w:tc>
        <w:tc>
          <w:tcPr>
            <w:tcW w:type="dxa" w:w="4360"/>
            <w:shd w:fill="E9F7EF" w:color="E9F7EF" w:val="clear"/>
          </w:tcPr>
          <w:p>
            <w:pPr>
              <w:spacing w:after="60"/>
            </w:pPr>
            <w:r>
              <w:rPr>
                <w:sz w:val="20"/>
                <w:szCs w:val="20"/>
              </w:rPr>
              <w:t xml:space="preserve">DDoS mitigation; WAF for web applications; rate limiting</w:t>
            </w:r>
          </w:p>
        </w:tc>
      </w:tr>
      <w:tr>
        <w:tc>
          <w:tcPr>
            <w:tcW w:type="dxa" w:w="2200"/>
            <w:shd w:fill="FFFFFF" w:color="FFFFFF" w:val="clear"/>
          </w:tcPr>
          <w:p>
            <w:pPr>
              <w:spacing w:after="60"/>
            </w:pPr>
            <w:r>
              <w:rPr>
                <w:sz w:val="20"/>
                <w:szCs w:val="20"/>
              </w:rPr>
              <w:t xml:space="preserve">Secure web gateway</w:t>
            </w:r>
          </w:p>
        </w:tc>
        <w:tc>
          <w:tcPr>
            <w:tcW w:type="dxa" w:w="2800"/>
            <w:shd w:fill="FFFFFF" w:color="FFFFFF" w:val="clear"/>
          </w:tcPr>
          <w:p>
            <w:pPr>
              <w:spacing w:after="60"/>
            </w:pPr>
            <w:r>
              <w:rPr>
                <w:sz w:val="20"/>
                <w:szCs w:val="20"/>
              </w:rPr>
              <w:t xml:space="preserve">Zscaler Internet Access (ZIA)</w:t>
            </w:r>
          </w:p>
        </w:tc>
        <w:tc>
          <w:tcPr>
            <w:tcW w:type="dxa" w:w="4360"/>
            <w:shd w:fill="FFFFFF" w:color="FFFFFF" w:val="clear"/>
          </w:tcPr>
          <w:p>
            <w:pPr>
              <w:spacing w:after="60"/>
            </w:pPr>
            <w:r>
              <w:rPr>
                <w:sz w:val="20"/>
                <w:szCs w:val="20"/>
              </w:rPr>
              <w:t xml:space="preserve">Web filtering; SSL inspection; URL categorization; CASB</w:t>
            </w:r>
          </w:p>
        </w:tc>
      </w:tr>
      <w:tr>
        <w:tc>
          <w:tcPr>
            <w:tcW w:type="dxa" w:w="2200"/>
            <w:shd w:fill="E9F7EF" w:color="E9F7EF" w:val="clear"/>
          </w:tcPr>
          <w:p>
            <w:pPr>
              <w:spacing w:after="60"/>
            </w:pPr>
            <w:r>
              <w:rPr>
                <w:sz w:val="20"/>
                <w:szCs w:val="20"/>
              </w:rPr>
              <w:t xml:space="preserve">Zero Trust Network Access (ZTNA)</w:t>
            </w:r>
          </w:p>
        </w:tc>
        <w:tc>
          <w:tcPr>
            <w:tcW w:type="dxa" w:w="2800"/>
            <w:shd w:fill="E9F7EF" w:color="E9F7EF" w:val="clear"/>
          </w:tcPr>
          <w:p>
            <w:pPr>
              <w:spacing w:after="60"/>
            </w:pPr>
            <w:r>
              <w:rPr>
                <w:sz w:val="20"/>
                <w:szCs w:val="20"/>
              </w:rPr>
              <w:t xml:space="preserve">Zscaler Private Access (ZPA) + GlobalProtect (backup)</w:t>
            </w:r>
          </w:p>
        </w:tc>
        <w:tc>
          <w:tcPr>
            <w:tcW w:type="dxa" w:w="4360"/>
            <w:shd w:fill="E9F7EF" w:color="E9F7EF" w:val="clear"/>
          </w:tcPr>
          <w:p>
            <w:pPr>
              <w:spacing w:after="60"/>
            </w:pPr>
            <w:r>
              <w:rPr>
                <w:sz w:val="20"/>
                <w:szCs w:val="20"/>
              </w:rPr>
              <w:t xml:space="preserve">Replaces VPN for application access; device posture check + identity before access</w:t>
            </w:r>
          </w:p>
        </w:tc>
      </w:tr>
      <w:tr>
        <w:tc>
          <w:tcPr>
            <w:tcW w:type="dxa" w:w="2200"/>
            <w:shd w:fill="FFFFFF" w:color="FFFFFF" w:val="clear"/>
          </w:tcPr>
          <w:p>
            <w:pPr>
              <w:spacing w:after="60"/>
            </w:pPr>
            <w:r>
              <w:rPr>
                <w:sz w:val="20"/>
                <w:szCs w:val="20"/>
              </w:rPr>
              <w:t xml:space="preserve">Office networking</w:t>
            </w:r>
          </w:p>
        </w:tc>
        <w:tc>
          <w:tcPr>
            <w:tcW w:type="dxa" w:w="2800"/>
            <w:shd w:fill="FFFFFF" w:color="FFFFFF" w:val="clear"/>
          </w:tcPr>
          <w:p>
            <w:pPr>
              <w:spacing w:after="60"/>
            </w:pPr>
            <w:r>
              <w:rPr>
                <w:sz w:val="20"/>
                <w:szCs w:val="20"/>
              </w:rPr>
              <w:t xml:space="preserve">Cisco Meraki (managed SD-WAN)</w:t>
            </w:r>
          </w:p>
        </w:tc>
        <w:tc>
          <w:tcPr>
            <w:tcW w:type="dxa" w:w="4360"/>
            <w:shd w:fill="FFFFFF" w:color="FFFFFF" w:val="clear"/>
          </w:tcPr>
          <w:p>
            <w:pPr>
              <w:spacing w:after="60"/>
            </w:pPr>
            <w:r>
              <w:rPr>
                <w:sz w:val="20"/>
                <w:szCs w:val="20"/>
              </w:rPr>
              <w:t xml:space="preserve">All offices; automatic VPN tunnel to cloud; VLAN segmentation per use case</w:t>
            </w:r>
          </w:p>
        </w:tc>
      </w:tr>
      <w:tr>
        <w:tc>
          <w:tcPr>
            <w:tcW w:type="dxa" w:w="2200"/>
            <w:shd w:fill="E9F7EF" w:color="E9F7EF" w:val="clear"/>
          </w:tcPr>
          <w:p>
            <w:pPr>
              <w:spacing w:after="60"/>
            </w:pPr>
            <w:r>
              <w:rPr>
                <w:sz w:val="20"/>
                <w:szCs w:val="20"/>
              </w:rPr>
              <w:t xml:space="preserve">Production networking (AWS)</w:t>
            </w:r>
          </w:p>
        </w:tc>
        <w:tc>
          <w:tcPr>
            <w:tcW w:type="dxa" w:w="2800"/>
            <w:shd w:fill="E9F7EF" w:color="E9F7EF" w:val="clear"/>
          </w:tcPr>
          <w:p>
            <w:pPr>
              <w:spacing w:after="60"/>
            </w:pPr>
            <w:r>
              <w:rPr>
                <w:sz w:val="20"/>
                <w:szCs w:val="20"/>
              </w:rPr>
              <w:t xml:space="preserve">AWS VPC with private subnets; PrivateLink for service access</w:t>
            </w:r>
          </w:p>
        </w:tc>
        <w:tc>
          <w:tcPr>
            <w:tcW w:type="dxa" w:w="4360"/>
            <w:shd w:fill="E9F7EF" w:color="E9F7EF" w:val="clear"/>
          </w:tcPr>
          <w:p>
            <w:pPr>
              <w:spacing w:after="60"/>
            </w:pPr>
            <w:r>
              <w:rPr>
                <w:sz w:val="20"/>
                <w:szCs w:val="20"/>
              </w:rPr>
              <w:t xml:space="preserve">No direct internet access to application servers; all traffic via ALB or API Gateway</w:t>
            </w:r>
          </w:p>
        </w:tc>
      </w:tr>
      <w:tr>
        <w:tc>
          <w:tcPr>
            <w:tcW w:type="dxa" w:w="2200"/>
            <w:shd w:fill="FFFFFF" w:color="FFFFFF" w:val="clear"/>
          </w:tcPr>
          <w:p>
            <w:pPr>
              <w:spacing w:after="60"/>
            </w:pPr>
            <w:r>
              <w:rPr>
                <w:sz w:val="20"/>
                <w:szCs w:val="20"/>
              </w:rPr>
              <w:t xml:space="preserve">Internal DNS</w:t>
            </w:r>
          </w:p>
        </w:tc>
        <w:tc>
          <w:tcPr>
            <w:tcW w:type="dxa" w:w="2800"/>
            <w:shd w:fill="FFFFFF" w:color="FFFFFF" w:val="clear"/>
          </w:tcPr>
          <w:p>
            <w:pPr>
              <w:spacing w:after="60"/>
            </w:pPr>
            <w:r>
              <w:rPr>
                <w:sz w:val="20"/>
                <w:szCs w:val="20"/>
              </w:rPr>
              <w:t xml:space="preserve">Route 53 private hosted zones + Cisco Umbrella</w:t>
            </w:r>
          </w:p>
        </w:tc>
        <w:tc>
          <w:tcPr>
            <w:tcW w:type="dxa" w:w="4360"/>
            <w:shd w:fill="FFFFFF" w:color="FFFFFF" w:val="clear"/>
          </w:tcPr>
          <w:p>
            <w:pPr>
              <w:spacing w:after="60"/>
            </w:pPr>
            <w:r>
              <w:rPr>
                <w:sz w:val="20"/>
                <w:szCs w:val="20"/>
              </w:rPr>
              <w:t xml:space="preserve">Internal name resolution; DNS-based security filtering</w:t>
            </w:r>
          </w:p>
        </w:tc>
      </w:tr>
      <w:tr>
        <w:tc>
          <w:tcPr>
            <w:tcW w:type="dxa" w:w="2200"/>
            <w:shd w:fill="E9F7EF" w:color="E9F7EF" w:val="clear"/>
          </w:tcPr>
          <w:p>
            <w:pPr>
              <w:spacing w:after="60"/>
            </w:pPr>
            <w:r>
              <w:rPr>
                <w:sz w:val="20"/>
                <w:szCs w:val="20"/>
              </w:rPr>
              <w:t xml:space="preserve">Email security</w:t>
            </w:r>
          </w:p>
        </w:tc>
        <w:tc>
          <w:tcPr>
            <w:tcW w:type="dxa" w:w="2800"/>
            <w:shd w:fill="E9F7EF" w:color="E9F7EF" w:val="clear"/>
          </w:tcPr>
          <w:p>
            <w:pPr>
              <w:spacing w:after="60"/>
            </w:pPr>
            <w:r>
              <w:rPr>
                <w:sz w:val="20"/>
                <w:szCs w:val="20"/>
              </w:rPr>
              <w:t xml:space="preserve">Microsoft Defender for Office 365 + Proofpoint</w:t>
            </w:r>
          </w:p>
        </w:tc>
        <w:tc>
          <w:tcPr>
            <w:tcW w:type="dxa" w:w="4360"/>
            <w:shd w:fill="E9F7EF" w:color="E9F7EF" w:val="clear"/>
          </w:tcPr>
          <w:p>
            <w:pPr>
              <w:spacing w:after="60"/>
            </w:pPr>
            <w:r>
              <w:rPr>
                <w:sz w:val="20"/>
                <w:szCs w:val="20"/>
              </w:rPr>
              <w:t xml:space="preserve">Anti-phishing; anti-spam; email DLP; attachment sandboxing</w:t>
            </w:r>
          </w:p>
        </w:tc>
      </w:tr>
    </w:tbl>
    <w:p>
      <w:pPr>
        <w:spacing w:after="80"/>
      </w:pPr>
      <w:r>
        <w:t xml:space="preserve"/>
      </w:r>
    </w:p>
    <w:p>
      <w:pPr>
        <w:pStyle w:val="Heading2"/>
        <w:spacing w:after="150" w:before="300"/>
      </w:pPr>
      <w:r>
        <w:t xml:space="preserve">10.2 Network Segmentation</w:t>
      </w:r>
    </w:p>
    <w:p>
      <w:pPr>
        <w:spacing w:after="120" w:line="276"/>
      </w:pPr>
      <w:r>
        <w:rPr>
          <w:sz w:val="22"/>
          <w:szCs w:val="22"/>
        </w:rPr>
        <w:t xml:space="preserve">All office and cloud networks are segmented into distinct VLANs/subnets per function:</w:t>
      </w:r>
    </w:p>
    <w:p>
      <w:pPr>
        <w:pStyle w:val="ListParagraph"/>
        <w:numPr>
          <w:ilvl w:val="0"/>
          <w:numId w:val="1"/>
        </w:numPr>
        <w:spacing w:after="80"/>
      </w:pPr>
      <w:r>
        <w:rPr>
          <w:sz w:val="22"/>
          <w:szCs w:val="22"/>
        </w:rPr>
        <w:t xml:space="preserve">Corporate: Employee devices (Intune-managed only); access to internal apps via Okta</w:t>
      </w:r>
    </w:p>
    <w:p>
      <w:pPr>
        <w:pStyle w:val="ListParagraph"/>
        <w:numPr>
          <w:ilvl w:val="0"/>
          <w:numId w:val="1"/>
        </w:numPr>
        <w:spacing w:after="80"/>
      </w:pPr>
      <w:r>
        <w:rPr>
          <w:sz w:val="22"/>
          <w:szCs w:val="22"/>
        </w:rPr>
        <w:t xml:space="preserve">Guest/BYOD: Unmanaged devices; internet-only; no access to internal resources</w:t>
      </w:r>
    </w:p>
    <w:p>
      <w:pPr>
        <w:pStyle w:val="ListParagraph"/>
        <w:numPr>
          <w:ilvl w:val="0"/>
          <w:numId w:val="1"/>
        </w:numPr>
        <w:spacing w:after="80"/>
      </w:pPr>
      <w:r>
        <w:rPr>
          <w:sz w:val="22"/>
          <w:szCs w:val="22"/>
        </w:rPr>
        <w:t xml:space="preserve">IoT/Facilities: Physical access control, HVAC, CCTV, printers; isolated VLAN; no route to corporate network</w:t>
      </w:r>
    </w:p>
    <w:p>
      <w:pPr>
        <w:pStyle w:val="ListParagraph"/>
        <w:numPr>
          <w:ilvl w:val="0"/>
          <w:numId w:val="1"/>
        </w:numPr>
        <w:spacing w:after="80"/>
      </w:pPr>
      <w:r>
        <w:rPr>
          <w:sz w:val="22"/>
          <w:szCs w:val="22"/>
        </w:rPr>
        <w:t xml:space="preserve">Production (cloud): Application servers; no direct inbound internet access; ingress via load balancer only</w:t>
      </w:r>
    </w:p>
    <w:p>
      <w:pPr>
        <w:pStyle w:val="ListParagraph"/>
        <w:numPr>
          <w:ilvl w:val="0"/>
          <w:numId w:val="1"/>
        </w:numPr>
        <w:spacing w:after="80"/>
      </w:pPr>
      <w:r>
        <w:rPr>
          <w:sz w:val="22"/>
          <w:szCs w:val="22"/>
        </w:rPr>
        <w:t xml:space="preserve">Management: Network management, monitoring tools, bastion hosts; access restricted to IT Ops team via ZPA + YubiKey MFA</w:t>
      </w:r>
    </w:p>
    <w:p>
      <w:pPr>
        <w:pStyle w:val="Heading2"/>
        <w:spacing w:after="150" w:before="300"/>
      </w:pPr>
      <w:r>
        <w:t xml:space="preserve">10.3 Remote Access</w:t>
      </w:r>
    </w:p>
    <w:p>
      <w:pPr>
        <w:spacing w:after="120" w:line="276"/>
      </w:pPr>
      <w:r>
        <w:rPr>
          <w:sz w:val="22"/>
          <w:szCs w:val="22"/>
        </w:rPr>
        <w:t xml:space="preserve">Remote access to OptiAgent systems uses Zscaler Private Access (ZPA) as the primary zero-trust access mechanism. GlobalProtect VPN is maintained as a fallback for legacy applications not yet migrated to ZPA. Requirements for remote access:</w:t>
      </w:r>
    </w:p>
    <w:p>
      <w:pPr>
        <w:pStyle w:val="ListParagraph"/>
        <w:numPr>
          <w:ilvl w:val="0"/>
          <w:numId w:val="1"/>
        </w:numPr>
        <w:spacing w:after="80"/>
      </w:pPr>
      <w:r>
        <w:rPr>
          <w:sz w:val="22"/>
          <w:szCs w:val="22"/>
        </w:rPr>
        <w:t xml:space="preserve">Device must be Intune-enrolled (managed device) OR pass a Zscaler posture check (OS version, AV running, disk encryption enabled)</w:t>
      </w:r>
    </w:p>
    <w:p>
      <w:pPr>
        <w:pStyle w:val="ListParagraph"/>
        <w:numPr>
          <w:ilvl w:val="0"/>
          <w:numId w:val="1"/>
        </w:numPr>
        <w:spacing w:after="80"/>
      </w:pPr>
      <w:r>
        <w:rPr>
          <w:sz w:val="22"/>
          <w:szCs w:val="22"/>
        </w:rPr>
        <w:t xml:space="preserve">User must authenticate via Okta SSO with MFA</w:t>
      </w:r>
    </w:p>
    <w:p>
      <w:pPr>
        <w:pStyle w:val="ListParagraph"/>
        <w:numPr>
          <w:ilvl w:val="0"/>
          <w:numId w:val="1"/>
        </w:numPr>
        <w:spacing w:after="80"/>
      </w:pPr>
      <w:r>
        <w:rPr>
          <w:sz w:val="22"/>
          <w:szCs w:val="22"/>
        </w:rPr>
        <w:t xml:space="preserve">Access is per-application based on Okta group membership; no broad network access is granted</w:t>
      </w:r>
    </w:p>
    <w:p>
      <w:pPr>
        <w:pStyle w:val="ListParagraph"/>
        <w:numPr>
          <w:ilvl w:val="0"/>
          <w:numId w:val="1"/>
        </w:numPr>
        <w:spacing w:after="80"/>
      </w:pPr>
      <w:r>
        <w:rPr>
          <w:sz w:val="22"/>
          <w:szCs w:val="22"/>
        </w:rPr>
        <w:t xml:space="preserve">Session recording is enabled for administrative access to production infrastructure</w:t>
      </w:r>
    </w:p>
    <w:p>
      <w:r>
        <w:br w:type="page"/>
      </w:r>
    </w:p>
    <w:p>
      <w:pPr>
        <w:pStyle w:val="Heading1"/>
        <w:spacing w:after="200" w:before="400"/>
      </w:pPr>
      <w:r>
        <w:t xml:space="preserve">11. Endpoint Management Policy</w:t>
      </w:r>
    </w:p>
    <w:p>
      <w:pPr>
        <w:pStyle w:val="Heading2"/>
        <w:spacing w:after="150" w:before="300"/>
      </w:pPr>
      <w:r>
        <w:t xml:space="preserve">11.1 Endpoint Standard Configuration</w:t>
      </w:r>
    </w:p>
    <w:p>
      <w:pPr>
        <w:spacing w:after="120" w:line="276"/>
      </w:pPr>
      <w:r>
        <w:rPr>
          <w:sz w:val="22"/>
          <w:szCs w:val="22"/>
        </w:rPr>
        <w:t xml:space="preserve">All company-issued endpoints (laptops, mobile devices) must be enrolled in Microsoft Intune and comply with the following baseline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shd w:fill="145A32" w:color="145A32" w:val="clear"/>
          </w:tcPr>
          <w:p>
            <w:pPr>
              <w:spacing w:after="60"/>
            </w:pPr>
            <w:r>
              <w:rPr>
                <w:b/>
                <w:bCs/>
                <w:color w:val="FFFFFF"/>
                <w:sz w:val="20"/>
                <w:szCs w:val="20"/>
              </w:rPr>
              <w:t xml:space="preserve">Control</w:t>
            </w:r>
          </w:p>
        </w:tc>
        <w:tc>
          <w:tcPr>
            <w:tcW w:type="dxa" w:w="2200"/>
            <w:shd w:fill="145A32" w:color="145A32" w:val="clear"/>
          </w:tcPr>
          <w:p>
            <w:pPr>
              <w:spacing w:after="60"/>
            </w:pPr>
            <w:r>
              <w:rPr>
                <w:b/>
                <w:bCs/>
                <w:color w:val="FFFFFF"/>
                <w:sz w:val="20"/>
                <w:szCs w:val="20"/>
              </w:rPr>
              <w:t xml:space="preserve">MacOS Standard</w:t>
            </w:r>
          </w:p>
        </w:tc>
        <w:tc>
          <w:tcPr>
            <w:tcW w:type="dxa" w:w="2200"/>
            <w:shd w:fill="145A32" w:color="145A32" w:val="clear"/>
          </w:tcPr>
          <w:p>
            <w:pPr>
              <w:spacing w:after="60"/>
            </w:pPr>
            <w:r>
              <w:rPr>
                <w:b/>
                <w:bCs/>
                <w:color w:val="FFFFFF"/>
                <w:sz w:val="20"/>
                <w:szCs w:val="20"/>
              </w:rPr>
              <w:t xml:space="preserve">Windows Standard</w:t>
            </w:r>
          </w:p>
        </w:tc>
        <w:tc>
          <w:tcPr>
            <w:tcW w:type="dxa" w:w="2760"/>
            <w:shd w:fill="145A32" w:color="145A32" w:val="clear"/>
          </w:tcPr>
          <w:p>
            <w:pPr>
              <w:spacing w:after="60"/>
            </w:pPr>
            <w:r>
              <w:rPr>
                <w:b/>
                <w:bCs/>
                <w:color w:val="FFFFFF"/>
                <w:sz w:val="20"/>
                <w:szCs w:val="20"/>
              </w:rPr>
              <w:t xml:space="preserve">iOS/Android (BYOD)</w:t>
            </w:r>
          </w:p>
        </w:tc>
      </w:tr>
      <w:tr>
        <w:tc>
          <w:tcPr>
            <w:tcW w:type="dxa" w:w="2200"/>
            <w:shd w:fill="E9F7EF" w:color="E9F7EF" w:val="clear"/>
          </w:tcPr>
          <w:p>
            <w:pPr>
              <w:spacing w:after="60"/>
            </w:pPr>
            <w:r>
              <w:rPr>
                <w:sz w:val="20"/>
                <w:szCs w:val="20"/>
              </w:rPr>
              <w:t xml:space="preserve">OS Version</w:t>
            </w:r>
          </w:p>
        </w:tc>
        <w:tc>
          <w:tcPr>
            <w:tcW w:type="dxa" w:w="2200"/>
            <w:shd w:fill="E9F7EF" w:color="E9F7EF" w:val="clear"/>
          </w:tcPr>
          <w:p>
            <w:pPr>
              <w:spacing w:after="60"/>
            </w:pPr>
            <w:r>
              <w:rPr>
                <w:sz w:val="20"/>
                <w:szCs w:val="20"/>
              </w:rPr>
              <w:t xml:space="preserve">Current or N-1 (latest major release - 1)</w:t>
            </w:r>
          </w:p>
        </w:tc>
        <w:tc>
          <w:tcPr>
            <w:tcW w:type="dxa" w:w="2200"/>
            <w:shd w:fill="E9F7EF" w:color="E9F7EF" w:val="clear"/>
          </w:tcPr>
          <w:p>
            <w:pPr>
              <w:spacing w:after="60"/>
            </w:pPr>
            <w:r>
              <w:rPr>
                <w:sz w:val="20"/>
                <w:szCs w:val="20"/>
              </w:rPr>
              <w:t xml:space="preserve">Windows 11 22H2 or later; Windows 10 only with exception</w:t>
            </w:r>
          </w:p>
        </w:tc>
        <w:tc>
          <w:tcPr>
            <w:tcW w:type="dxa" w:w="2760"/>
            <w:shd w:fill="E9F7EF" w:color="E9F7EF" w:val="clear"/>
          </w:tcPr>
          <w:p>
            <w:pPr>
              <w:spacing w:after="60"/>
            </w:pPr>
            <w:r>
              <w:rPr>
                <w:sz w:val="20"/>
                <w:szCs w:val="20"/>
              </w:rPr>
              <w:t xml:space="preserve">iOS 16+ / Android 12+</w:t>
            </w:r>
          </w:p>
        </w:tc>
      </w:tr>
      <w:tr>
        <w:tc>
          <w:tcPr>
            <w:tcW w:type="dxa" w:w="2200"/>
            <w:shd w:fill="FFFFFF" w:color="FFFFFF" w:val="clear"/>
          </w:tcPr>
          <w:p>
            <w:pPr>
              <w:spacing w:after="60"/>
            </w:pPr>
            <w:r>
              <w:rPr>
                <w:sz w:val="20"/>
                <w:szCs w:val="20"/>
              </w:rPr>
              <w:t xml:space="preserve">Disk Encryption</w:t>
            </w:r>
          </w:p>
        </w:tc>
        <w:tc>
          <w:tcPr>
            <w:tcW w:type="dxa" w:w="2200"/>
            <w:shd w:fill="FFFFFF" w:color="FFFFFF" w:val="clear"/>
          </w:tcPr>
          <w:p>
            <w:pPr>
              <w:spacing w:after="60"/>
            </w:pPr>
            <w:r>
              <w:rPr>
                <w:sz w:val="20"/>
                <w:szCs w:val="20"/>
              </w:rPr>
              <w:t xml:space="preserve">FileVault enabled (enforced by Intune)</w:t>
            </w:r>
          </w:p>
        </w:tc>
        <w:tc>
          <w:tcPr>
            <w:tcW w:type="dxa" w:w="2200"/>
            <w:shd w:fill="FFFFFF" w:color="FFFFFF" w:val="clear"/>
          </w:tcPr>
          <w:p>
            <w:pPr>
              <w:spacing w:after="60"/>
            </w:pPr>
            <w:r>
              <w:rPr>
                <w:sz w:val="20"/>
                <w:szCs w:val="20"/>
              </w:rPr>
              <w:t xml:space="preserve">BitLocker enabled (enforced by Intune)</w:t>
            </w:r>
          </w:p>
        </w:tc>
        <w:tc>
          <w:tcPr>
            <w:tcW w:type="dxa" w:w="2760"/>
            <w:shd w:fill="FFFFFF" w:color="FFFFFF" w:val="clear"/>
          </w:tcPr>
          <w:p>
            <w:pPr>
              <w:spacing w:after="60"/>
            </w:pPr>
            <w:r>
              <w:rPr>
                <w:sz w:val="20"/>
                <w:szCs w:val="20"/>
              </w:rPr>
              <w:t xml:space="preserve">Enforced by MDM container</w:t>
            </w:r>
          </w:p>
        </w:tc>
      </w:tr>
      <w:tr>
        <w:tc>
          <w:tcPr>
            <w:tcW w:type="dxa" w:w="2200"/>
            <w:shd w:fill="E9F7EF" w:color="E9F7EF" w:val="clear"/>
          </w:tcPr>
          <w:p>
            <w:pPr>
              <w:spacing w:after="60"/>
            </w:pPr>
            <w:r>
              <w:rPr>
                <w:sz w:val="20"/>
                <w:szCs w:val="20"/>
              </w:rPr>
              <w:t xml:space="preserve">Screen Lock</w:t>
            </w:r>
          </w:p>
        </w:tc>
        <w:tc>
          <w:tcPr>
            <w:tcW w:type="dxa" w:w="2200"/>
            <w:shd w:fill="E9F7EF" w:color="E9F7EF" w:val="clear"/>
          </w:tcPr>
          <w:p>
            <w:pPr>
              <w:spacing w:after="60"/>
            </w:pPr>
            <w:r>
              <w:rPr>
                <w:sz w:val="20"/>
                <w:szCs w:val="20"/>
              </w:rPr>
              <w:t xml:space="preserve">Lock after 10 minutes of inactivity; PIN/biometric required</w:t>
            </w:r>
          </w:p>
        </w:tc>
        <w:tc>
          <w:tcPr>
            <w:tcW w:type="dxa" w:w="2200"/>
            <w:shd w:fill="E9F7EF" w:color="E9F7EF" w:val="clear"/>
          </w:tcPr>
          <w:p>
            <w:pPr>
              <w:spacing w:after="60"/>
            </w:pPr>
            <w:r>
              <w:rPr>
                <w:sz w:val="20"/>
                <w:szCs w:val="20"/>
              </w:rPr>
              <w:t xml:space="preserve">Lock after 10 minutes; Windows Hello or PIN required</w:t>
            </w:r>
          </w:p>
        </w:tc>
        <w:tc>
          <w:tcPr>
            <w:tcW w:type="dxa" w:w="2760"/>
            <w:shd w:fill="E9F7EF" w:color="E9F7EF" w:val="clear"/>
          </w:tcPr>
          <w:p>
            <w:pPr>
              <w:spacing w:after="60"/>
            </w:pPr>
            <w:r>
              <w:rPr>
                <w:sz w:val="20"/>
                <w:szCs w:val="20"/>
              </w:rPr>
              <w:t xml:space="preserve">Lock after 5 minutes; PIN/biometric required</w:t>
            </w:r>
          </w:p>
        </w:tc>
      </w:tr>
      <w:tr>
        <w:tc>
          <w:tcPr>
            <w:tcW w:type="dxa" w:w="2200"/>
            <w:shd w:fill="FFFFFF" w:color="FFFFFF" w:val="clear"/>
          </w:tcPr>
          <w:p>
            <w:pPr>
              <w:spacing w:after="60"/>
            </w:pPr>
            <w:r>
              <w:rPr>
                <w:sz w:val="20"/>
                <w:szCs w:val="20"/>
              </w:rPr>
              <w:t xml:space="preserve">Antivirus/EDR</w:t>
            </w:r>
          </w:p>
        </w:tc>
        <w:tc>
          <w:tcPr>
            <w:tcW w:type="dxa" w:w="2200"/>
            <w:shd w:fill="FFFFFF" w:color="FFFFFF" w:val="clear"/>
          </w:tcPr>
          <w:p>
            <w:pPr>
              <w:spacing w:after="60"/>
            </w:pPr>
            <w:r>
              <w:rPr>
                <w:sz w:val="20"/>
                <w:szCs w:val="20"/>
              </w:rPr>
              <w:t xml:space="preserve">Microsoft Defender for Endpoint</w:t>
            </w:r>
          </w:p>
        </w:tc>
        <w:tc>
          <w:tcPr>
            <w:tcW w:type="dxa" w:w="2200"/>
            <w:shd w:fill="FFFFFF" w:color="FFFFFF" w:val="clear"/>
          </w:tcPr>
          <w:p>
            <w:pPr>
              <w:spacing w:after="60"/>
            </w:pPr>
            <w:r>
              <w:rPr>
                <w:sz w:val="20"/>
                <w:szCs w:val="20"/>
              </w:rPr>
              <w:t xml:space="preserve">Microsoft Defender for Endpoint</w:t>
            </w:r>
          </w:p>
        </w:tc>
        <w:tc>
          <w:tcPr>
            <w:tcW w:type="dxa" w:w="2760"/>
            <w:shd w:fill="FFFFFF" w:color="FFFFFF" w:val="clear"/>
          </w:tcPr>
          <w:p>
            <w:pPr>
              <w:spacing w:after="60"/>
            </w:pPr>
            <w:r>
              <w:rPr>
                <w:sz w:val="20"/>
                <w:szCs w:val="20"/>
              </w:rPr>
              <w:t xml:space="preserve">N/A (app sandbox model)</w:t>
            </w:r>
          </w:p>
        </w:tc>
      </w:tr>
      <w:tr>
        <w:tc>
          <w:tcPr>
            <w:tcW w:type="dxa" w:w="2200"/>
            <w:shd w:fill="E9F7EF" w:color="E9F7EF" w:val="clear"/>
          </w:tcPr>
          <w:p>
            <w:pPr>
              <w:spacing w:after="60"/>
            </w:pPr>
            <w:r>
              <w:rPr>
                <w:sz w:val="20"/>
                <w:szCs w:val="20"/>
              </w:rPr>
              <w:t xml:space="preserve">Firewall</w:t>
            </w:r>
          </w:p>
        </w:tc>
        <w:tc>
          <w:tcPr>
            <w:tcW w:type="dxa" w:w="2200"/>
            <w:shd w:fill="E9F7EF" w:color="E9F7EF" w:val="clear"/>
          </w:tcPr>
          <w:p>
            <w:pPr>
              <w:spacing w:after="60"/>
            </w:pPr>
            <w:r>
              <w:rPr>
                <w:sz w:val="20"/>
                <w:szCs w:val="20"/>
              </w:rPr>
              <w:t xml:space="preserve">macOS built-in firewall: on</w:t>
            </w:r>
          </w:p>
        </w:tc>
        <w:tc>
          <w:tcPr>
            <w:tcW w:type="dxa" w:w="2200"/>
            <w:shd w:fill="E9F7EF" w:color="E9F7EF" w:val="clear"/>
          </w:tcPr>
          <w:p>
            <w:pPr>
              <w:spacing w:after="60"/>
            </w:pPr>
            <w:r>
              <w:rPr>
                <w:sz w:val="20"/>
                <w:szCs w:val="20"/>
              </w:rPr>
              <w:t xml:space="preserve">Windows Defender Firewall: on</w:t>
            </w:r>
          </w:p>
        </w:tc>
        <w:tc>
          <w:tcPr>
            <w:tcW w:type="dxa" w:w="2760"/>
            <w:shd w:fill="E9F7EF" w:color="E9F7EF" w:val="clear"/>
          </w:tcPr>
          <w:p>
            <w:pPr>
              <w:spacing w:after="60"/>
            </w:pPr>
            <w:r>
              <w:rPr>
                <w:sz w:val="20"/>
                <w:szCs w:val="20"/>
              </w:rPr>
              <w:t xml:space="preserve">N/A</w:t>
            </w:r>
          </w:p>
        </w:tc>
      </w:tr>
      <w:tr>
        <w:tc>
          <w:tcPr>
            <w:tcW w:type="dxa" w:w="2200"/>
            <w:shd w:fill="FFFFFF" w:color="FFFFFF" w:val="clear"/>
          </w:tcPr>
          <w:p>
            <w:pPr>
              <w:spacing w:after="60"/>
            </w:pPr>
            <w:r>
              <w:rPr>
                <w:sz w:val="20"/>
                <w:szCs w:val="20"/>
              </w:rPr>
              <w:t xml:space="preserve">OS Patching</w:t>
            </w:r>
          </w:p>
        </w:tc>
        <w:tc>
          <w:tcPr>
            <w:tcW w:type="dxa" w:w="2200"/>
            <w:shd w:fill="FFFFFF" w:color="FFFFFF" w:val="clear"/>
          </w:tcPr>
          <w:p>
            <w:pPr>
              <w:spacing w:after="60"/>
            </w:pPr>
            <w:r>
              <w:rPr>
                <w:sz w:val="20"/>
                <w:szCs w:val="20"/>
              </w:rPr>
              <w:t xml:space="preserve">Monthly Patch Tuesday cycle; critical patches within 7 days</w:t>
            </w:r>
          </w:p>
        </w:tc>
        <w:tc>
          <w:tcPr>
            <w:tcW w:type="dxa" w:w="2200"/>
            <w:shd w:fill="FFFFFF" w:color="FFFFFF" w:val="clear"/>
          </w:tcPr>
          <w:p>
            <w:pPr>
              <w:spacing w:after="60"/>
            </w:pPr>
            <w:r>
              <w:rPr>
                <w:sz w:val="20"/>
                <w:szCs w:val="20"/>
              </w:rPr>
              <w:t xml:space="preserve">Monthly Patch Tuesday cycle; critical patches within 7 days</w:t>
            </w:r>
          </w:p>
        </w:tc>
        <w:tc>
          <w:tcPr>
            <w:tcW w:type="dxa" w:w="2760"/>
            <w:shd w:fill="FFFFFF" w:color="FFFFFF" w:val="clear"/>
          </w:tcPr>
          <w:p>
            <w:pPr>
              <w:spacing w:after="60"/>
            </w:pPr>
            <w:r>
              <w:rPr>
                <w:sz w:val="20"/>
                <w:szCs w:val="20"/>
              </w:rPr>
              <w:t xml:space="preserve">Users update via App Store; Intune enforces minimum version</w:t>
            </w:r>
          </w:p>
        </w:tc>
      </w:tr>
      <w:tr>
        <w:tc>
          <w:tcPr>
            <w:tcW w:type="dxa" w:w="2200"/>
            <w:shd w:fill="E9F7EF" w:color="E9F7EF" w:val="clear"/>
          </w:tcPr>
          <w:p>
            <w:pPr>
              <w:spacing w:after="60"/>
            </w:pPr>
            <w:r>
              <w:rPr>
                <w:sz w:val="20"/>
                <w:szCs w:val="20"/>
              </w:rPr>
              <w:t xml:space="preserve">Application Allow-listing</w:t>
            </w:r>
          </w:p>
        </w:tc>
        <w:tc>
          <w:tcPr>
            <w:tcW w:type="dxa" w:w="2200"/>
            <w:shd w:fill="E9F7EF" w:color="E9F7EF" w:val="clear"/>
          </w:tcPr>
          <w:p>
            <w:pPr>
              <w:spacing w:after="60"/>
            </w:pPr>
            <w:r>
              <w:rPr>
                <w:sz w:val="20"/>
                <w:szCs w:val="20"/>
              </w:rPr>
              <w:t xml:space="preserve">Jamf Pro policy (macOS)</w:t>
            </w:r>
          </w:p>
        </w:tc>
        <w:tc>
          <w:tcPr>
            <w:tcW w:type="dxa" w:w="2200"/>
            <w:shd w:fill="E9F7EF" w:color="E9F7EF" w:val="clear"/>
          </w:tcPr>
          <w:p>
            <w:pPr>
              <w:spacing w:after="60"/>
            </w:pPr>
            <w:r>
              <w:rPr>
                <w:sz w:val="20"/>
                <w:szCs w:val="20"/>
              </w:rPr>
              <w:t xml:space="preserve">AppLocker / WDAC policy (Windows)</w:t>
            </w:r>
          </w:p>
        </w:tc>
        <w:tc>
          <w:tcPr>
            <w:tcW w:type="dxa" w:w="2760"/>
            <w:shd w:fill="E9F7EF" w:color="E9F7EF" w:val="clear"/>
          </w:tcPr>
          <w:p>
            <w:pPr>
              <w:spacing w:after="60"/>
            </w:pPr>
            <w:r>
              <w:rPr>
                <w:sz w:val="20"/>
                <w:szCs w:val="20"/>
              </w:rPr>
              <w:t xml:space="preserve">Intune Managed Apps only for corporate data</w:t>
            </w:r>
          </w:p>
        </w:tc>
      </w:tr>
      <w:tr>
        <w:tc>
          <w:tcPr>
            <w:tcW w:type="dxa" w:w="2200"/>
            <w:shd w:fill="FFFFFF" w:color="FFFFFF" w:val="clear"/>
          </w:tcPr>
          <w:p>
            <w:pPr>
              <w:spacing w:after="60"/>
            </w:pPr>
            <w:r>
              <w:rPr>
                <w:sz w:val="20"/>
                <w:szCs w:val="20"/>
              </w:rPr>
              <w:t xml:space="preserve">USB Ports</w:t>
            </w:r>
          </w:p>
        </w:tc>
        <w:tc>
          <w:tcPr>
            <w:tcW w:type="dxa" w:w="2200"/>
            <w:shd w:fill="FFFFFF" w:color="FFFFFF" w:val="clear"/>
          </w:tcPr>
          <w:p>
            <w:pPr>
              <w:spacing w:after="60"/>
            </w:pPr>
            <w:r>
              <w:rPr>
                <w:sz w:val="20"/>
                <w:szCs w:val="20"/>
              </w:rPr>
              <w:t xml:space="preserve">Disabled by default; controlled USB only with IT approval</w:t>
            </w:r>
          </w:p>
        </w:tc>
        <w:tc>
          <w:tcPr>
            <w:tcW w:type="dxa" w:w="2200"/>
            <w:shd w:fill="FFFFFF" w:color="FFFFFF" w:val="clear"/>
          </w:tcPr>
          <w:p>
            <w:pPr>
              <w:spacing w:after="60"/>
            </w:pPr>
            <w:r>
              <w:rPr>
                <w:sz w:val="20"/>
                <w:szCs w:val="20"/>
              </w:rPr>
              <w:t xml:space="preserve">Disabled by default; controlled USB only with IT approval</w:t>
            </w:r>
          </w:p>
        </w:tc>
        <w:tc>
          <w:tcPr>
            <w:tcW w:type="dxa" w:w="2760"/>
            <w:shd w:fill="FFFFFF" w:color="FFFFFF" w:val="clear"/>
          </w:tcPr>
          <w:p>
            <w:pPr>
              <w:spacing w:after="60"/>
            </w:pPr>
            <w:r>
              <w:rPr>
                <w:sz w:val="20"/>
                <w:szCs w:val="20"/>
              </w:rPr>
              <w:t xml:space="preserve">N/A</w:t>
            </w:r>
          </w:p>
        </w:tc>
      </w:tr>
    </w:tbl>
    <w:p>
      <w:pPr>
        <w:spacing w:after="80"/>
      </w:pPr>
      <w:r>
        <w:t xml:space="preserve"/>
      </w:r>
    </w:p>
    <w:p>
      <w:pPr>
        <w:pStyle w:val="Heading2"/>
        <w:spacing w:after="150" w:before="300"/>
      </w:pPr>
      <w:r>
        <w:t xml:space="preserve">11.2 Patch Management</w:t>
      </w:r>
    </w:p>
    <w:p>
      <w:pPr>
        <w:spacing w:after="120" w:line="276"/>
      </w:pPr>
      <w:r>
        <w:rPr>
          <w:sz w:val="22"/>
          <w:szCs w:val="22"/>
        </w:rPr>
        <w:t xml:space="preserve">Patch management follows the schedule:</w:t>
      </w:r>
    </w:p>
    <w:p>
      <w:pPr>
        <w:pStyle w:val="ListParagraph"/>
        <w:numPr>
          <w:ilvl w:val="0"/>
          <w:numId w:val="1"/>
        </w:numPr>
        <w:spacing w:after="80"/>
      </w:pPr>
      <w:r>
        <w:rPr>
          <w:sz w:val="22"/>
          <w:szCs w:val="22"/>
        </w:rPr>
        <w:t xml:space="preserve">Critical CVE patches (CVSS ≥ 9.0): Deploy within 24 hours of patch availability via Intune / SCCM emergency deployment ring</w:t>
      </w:r>
    </w:p>
    <w:p>
      <w:pPr>
        <w:pStyle w:val="ListParagraph"/>
        <w:numPr>
          <w:ilvl w:val="0"/>
          <w:numId w:val="1"/>
        </w:numPr>
        <w:spacing w:after="80"/>
      </w:pPr>
      <w:r>
        <w:rPr>
          <w:sz w:val="22"/>
          <w:szCs w:val="22"/>
        </w:rPr>
        <w:t xml:space="preserve">High CVE patches (CVSS 7.0–8.9): Deploy within 7 days via the Pilot ring (IT team first, then all employees)</w:t>
      </w:r>
    </w:p>
    <w:p>
      <w:pPr>
        <w:pStyle w:val="ListParagraph"/>
        <w:numPr>
          <w:ilvl w:val="0"/>
          <w:numId w:val="1"/>
        </w:numPr>
        <w:spacing w:after="80"/>
      </w:pPr>
      <w:r>
        <w:rPr>
          <w:sz w:val="22"/>
          <w:szCs w:val="22"/>
        </w:rPr>
        <w:t xml:space="preserve">Monthly Patch Tuesday (Medium/Low): Deploy within 14 days; staged rings: Pilot (IT staff) → Early Adopter (volunteers) → Broad (all)</w:t>
      </w:r>
    </w:p>
    <w:p>
      <w:pPr>
        <w:pStyle w:val="ListParagraph"/>
        <w:numPr>
          <w:ilvl w:val="0"/>
          <w:numId w:val="1"/>
        </w:numPr>
        <w:spacing w:after="80"/>
      </w:pPr>
      <w:r>
        <w:rPr>
          <w:sz w:val="22"/>
          <w:szCs w:val="22"/>
        </w:rPr>
        <w:t xml:space="preserve">Servers: Patching coordinated with Change Management process; P1 security patches follow emergency change process</w:t>
      </w:r>
    </w:p>
    <w:p>
      <w:pPr>
        <w:spacing w:after="120" w:line="276"/>
      </w:pPr>
      <w:r>
        <w:rPr>
          <w:sz w:val="22"/>
          <w:szCs w:val="22"/>
        </w:rPr>
        <w:t xml:space="preserve">Employees who repeatedly decline or defer OS updates will have updates force-installed via Intune. Unpatched devices may be blocked from accessing company resources after the compliance deadline.</w:t>
      </w:r>
    </w:p>
    <w:p>
      <w:r>
        <w:br w:type="page"/>
      </w:r>
    </w:p>
    <w:p>
      <w:pPr>
        <w:pStyle w:val="Heading1"/>
        <w:spacing w:after="200" w:before="400"/>
      </w:pPr>
      <w:r>
        <w:t xml:space="preserve">12. Identity &amp; Access Management (IAM) Policy</w:t>
      </w:r>
    </w:p>
    <w:p>
      <w:pPr>
        <w:pStyle w:val="Heading2"/>
        <w:spacing w:after="150" w:before="300"/>
      </w:pPr>
      <w:r>
        <w:t xml:space="preserve">12.1 Identity Provider</w:t>
      </w:r>
    </w:p>
    <w:p>
      <w:pPr>
        <w:spacing w:after="120" w:line="276"/>
      </w:pPr>
      <w:r>
        <w:rPr>
          <w:sz w:val="22"/>
          <w:szCs w:val="22"/>
        </w:rPr>
        <w:t xml:space="preserve">Okta is OptiAgent's Identity Provider (IdP) for all enterprise applications. All applications accessed by employees must be integrated with Okta SSO where technically possible. The Okta tenant is federated with Microsoft Entra ID (Azure AD) for Microsoft 365 applications. All new application integrations with Okta require IT Security approval before go-live.</w:t>
      </w:r>
    </w:p>
    <w:p>
      <w:pPr>
        <w:pStyle w:val="Heading2"/>
        <w:spacing w:after="150" w:before="300"/>
      </w:pPr>
      <w:r>
        <w:t xml:space="preserve">12.2 User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shd w:fill="145A32" w:color="145A32" w:val="clear"/>
          </w:tcPr>
          <w:p>
            <w:pPr>
              <w:spacing w:after="60"/>
            </w:pPr>
            <w:r>
              <w:rPr>
                <w:b/>
                <w:bCs/>
                <w:color w:val="FFFFFF"/>
                <w:sz w:val="20"/>
                <w:szCs w:val="20"/>
              </w:rPr>
              <w:t xml:space="preserve">Event</w:t>
            </w:r>
          </w:p>
        </w:tc>
        <w:tc>
          <w:tcPr>
            <w:tcW w:type="dxa" w:w="2400"/>
            <w:shd w:fill="145A32" w:color="145A32" w:val="clear"/>
          </w:tcPr>
          <w:p>
            <w:pPr>
              <w:spacing w:after="60"/>
            </w:pPr>
            <w:r>
              <w:rPr>
                <w:b/>
                <w:bCs/>
                <w:color w:val="FFFFFF"/>
                <w:sz w:val="20"/>
                <w:szCs w:val="20"/>
              </w:rPr>
              <w:t xml:space="preserve">Trigger</w:t>
            </w:r>
          </w:p>
        </w:tc>
        <w:tc>
          <w:tcPr>
            <w:tcW w:type="dxa" w:w="3000"/>
            <w:shd w:fill="145A32" w:color="145A32" w:val="clear"/>
          </w:tcPr>
          <w:p>
            <w:pPr>
              <w:spacing w:after="60"/>
            </w:pPr>
            <w:r>
              <w:rPr>
                <w:b/>
                <w:bCs/>
                <w:color w:val="FFFFFF"/>
                <w:sz w:val="20"/>
                <w:szCs w:val="20"/>
              </w:rPr>
              <w:t xml:space="preserve">Action</w:t>
            </w:r>
          </w:p>
        </w:tc>
        <w:tc>
          <w:tcPr>
            <w:tcW w:type="dxa" w:w="1960"/>
            <w:shd w:fill="145A32" w:color="145A32" w:val="clear"/>
          </w:tcPr>
          <w:p>
            <w:pPr>
              <w:spacing w:after="60"/>
            </w:pPr>
            <w:r>
              <w:rPr>
                <w:b/>
                <w:bCs/>
                <w:color w:val="FFFFFF"/>
                <w:sz w:val="20"/>
                <w:szCs w:val="20"/>
              </w:rPr>
              <w:t xml:space="preserve">SLA</w:t>
            </w:r>
          </w:p>
        </w:tc>
      </w:tr>
      <w:tr>
        <w:tc>
          <w:tcPr>
            <w:tcW w:type="dxa" w:w="2000"/>
            <w:shd w:fill="E9F7EF" w:color="E9F7EF" w:val="clear"/>
          </w:tcPr>
          <w:p>
            <w:pPr>
              <w:spacing w:after="60"/>
            </w:pPr>
            <w:r>
              <w:rPr>
                <w:sz w:val="20"/>
                <w:szCs w:val="20"/>
              </w:rPr>
              <w:t xml:space="preserve">New hire</w:t>
            </w:r>
          </w:p>
        </w:tc>
        <w:tc>
          <w:tcPr>
            <w:tcW w:type="dxa" w:w="2400"/>
            <w:shd w:fill="E9F7EF" w:color="E9F7EF" w:val="clear"/>
          </w:tcPr>
          <w:p>
            <w:pPr>
              <w:spacing w:after="60"/>
            </w:pPr>
            <w:r>
              <w:rPr>
                <w:sz w:val="20"/>
                <w:szCs w:val="20"/>
              </w:rPr>
              <w:t xml:space="preserve">HR in Workday sets start date</w:t>
            </w:r>
          </w:p>
        </w:tc>
        <w:tc>
          <w:tcPr>
            <w:tcW w:type="dxa" w:w="3000"/>
            <w:shd w:fill="E9F7EF" w:color="E9F7EF" w:val="clear"/>
          </w:tcPr>
          <w:p>
            <w:pPr>
              <w:spacing w:after="60"/>
            </w:pPr>
            <w:r>
              <w:rPr>
                <w:sz w:val="20"/>
                <w:szCs w:val="20"/>
              </w:rPr>
              <w:t xml:space="preserve">Automated Okta provisioning via SCIM; role-based group assignments; email creation; license assignment</w:t>
            </w:r>
          </w:p>
        </w:tc>
        <w:tc>
          <w:tcPr>
            <w:tcW w:type="dxa" w:w="1960"/>
            <w:shd w:fill="E9F7EF" w:color="E9F7EF" w:val="clear"/>
          </w:tcPr>
          <w:p>
            <w:pPr>
              <w:spacing w:after="60"/>
            </w:pPr>
            <w:r>
              <w:rPr>
                <w:sz w:val="20"/>
                <w:szCs w:val="20"/>
              </w:rPr>
              <w:t xml:space="preserve">Completed by 8 AM on start date</w:t>
            </w:r>
          </w:p>
        </w:tc>
      </w:tr>
      <w:tr>
        <w:tc>
          <w:tcPr>
            <w:tcW w:type="dxa" w:w="2000"/>
            <w:shd w:fill="FFFFFF" w:color="FFFFFF" w:val="clear"/>
          </w:tcPr>
          <w:p>
            <w:pPr>
              <w:spacing w:after="60"/>
            </w:pPr>
            <w:r>
              <w:rPr>
                <w:sz w:val="20"/>
                <w:szCs w:val="20"/>
              </w:rPr>
              <w:t xml:space="preserve">Role change / promotion</w:t>
            </w:r>
          </w:p>
        </w:tc>
        <w:tc>
          <w:tcPr>
            <w:tcW w:type="dxa" w:w="2400"/>
            <w:shd w:fill="FFFFFF" w:color="FFFFFF" w:val="clear"/>
          </w:tcPr>
          <w:p>
            <w:pPr>
              <w:spacing w:after="60"/>
            </w:pPr>
            <w:r>
              <w:rPr>
                <w:sz w:val="20"/>
                <w:szCs w:val="20"/>
              </w:rPr>
              <w:t xml:space="preserve">HR updates Workday job profile</w:t>
            </w:r>
          </w:p>
        </w:tc>
        <w:tc>
          <w:tcPr>
            <w:tcW w:type="dxa" w:w="3000"/>
            <w:shd w:fill="FFFFFF" w:color="FFFFFF" w:val="clear"/>
          </w:tcPr>
          <w:p>
            <w:pPr>
              <w:spacing w:after="60"/>
            </w:pPr>
            <w:r>
              <w:rPr>
                <w:sz w:val="20"/>
                <w:szCs w:val="20"/>
              </w:rPr>
              <w:t xml:space="preserve">Automated group membership update in Okta; access provisioned for new role; old role access reviewed within 5 days</w:t>
            </w:r>
          </w:p>
        </w:tc>
        <w:tc>
          <w:tcPr>
            <w:tcW w:type="dxa" w:w="1960"/>
            <w:shd w:fill="FFFFFF" w:color="FFFFFF" w:val="clear"/>
          </w:tcPr>
          <w:p>
            <w:pPr>
              <w:spacing w:after="60"/>
            </w:pPr>
            <w:r>
              <w:rPr>
                <w:sz w:val="20"/>
                <w:szCs w:val="20"/>
              </w:rPr>
              <w:t xml:space="preserve">Within 1 business day of Workday update</w:t>
            </w:r>
          </w:p>
        </w:tc>
      </w:tr>
      <w:tr>
        <w:tc>
          <w:tcPr>
            <w:tcW w:type="dxa" w:w="2000"/>
            <w:shd w:fill="E9F7EF" w:color="E9F7EF" w:val="clear"/>
          </w:tcPr>
          <w:p>
            <w:pPr>
              <w:spacing w:after="60"/>
            </w:pPr>
            <w:r>
              <w:rPr>
                <w:sz w:val="20"/>
                <w:szCs w:val="20"/>
              </w:rPr>
              <w:t xml:space="preserve">Lateral transfer</w:t>
            </w:r>
          </w:p>
        </w:tc>
        <w:tc>
          <w:tcPr>
            <w:tcW w:type="dxa" w:w="2400"/>
            <w:shd w:fill="E9F7EF" w:color="E9F7EF" w:val="clear"/>
          </w:tcPr>
          <w:p>
            <w:pPr>
              <w:spacing w:after="60"/>
            </w:pPr>
            <w:r>
              <w:rPr>
                <w:sz w:val="20"/>
                <w:szCs w:val="20"/>
              </w:rPr>
              <w:t xml:space="preserve">HR updates department/manager in Workday</w:t>
            </w:r>
          </w:p>
        </w:tc>
        <w:tc>
          <w:tcPr>
            <w:tcW w:type="dxa" w:w="3000"/>
            <w:shd w:fill="E9F7EF" w:color="E9F7EF" w:val="clear"/>
          </w:tcPr>
          <w:p>
            <w:pPr>
              <w:spacing w:after="60"/>
            </w:pPr>
            <w:r>
              <w:rPr>
                <w:sz w:val="20"/>
                <w:szCs w:val="20"/>
              </w:rPr>
              <w:t xml:space="preserve">Access review triggered; old department access revoked; new department access provisioned</w:t>
            </w:r>
          </w:p>
        </w:tc>
        <w:tc>
          <w:tcPr>
            <w:tcW w:type="dxa" w:w="1960"/>
            <w:shd w:fill="E9F7EF" w:color="E9F7EF" w:val="clear"/>
          </w:tcPr>
          <w:p>
            <w:pPr>
              <w:spacing w:after="60"/>
            </w:pPr>
            <w:r>
              <w:rPr>
                <w:sz w:val="20"/>
                <w:szCs w:val="20"/>
              </w:rPr>
              <w:t xml:space="preserve">Within 2 business days</w:t>
            </w:r>
          </w:p>
        </w:tc>
      </w:tr>
      <w:tr>
        <w:tc>
          <w:tcPr>
            <w:tcW w:type="dxa" w:w="2000"/>
            <w:shd w:fill="FFFFFF" w:color="FFFFFF" w:val="clear"/>
          </w:tcPr>
          <w:p>
            <w:pPr>
              <w:spacing w:after="60"/>
            </w:pPr>
            <w:r>
              <w:rPr>
                <w:sz w:val="20"/>
                <w:szCs w:val="20"/>
              </w:rPr>
              <w:t xml:space="preserve">Voluntary resignation</w:t>
            </w:r>
          </w:p>
        </w:tc>
        <w:tc>
          <w:tcPr>
            <w:tcW w:type="dxa" w:w="2400"/>
            <w:shd w:fill="FFFFFF" w:color="FFFFFF" w:val="clear"/>
          </w:tcPr>
          <w:p>
            <w:pPr>
              <w:spacing w:after="60"/>
            </w:pPr>
            <w:r>
              <w:rPr>
                <w:sz w:val="20"/>
                <w:szCs w:val="20"/>
              </w:rPr>
              <w:t xml:space="preserve">HR sets termination date in Workday</w:t>
            </w:r>
          </w:p>
        </w:tc>
        <w:tc>
          <w:tcPr>
            <w:tcW w:type="dxa" w:w="3000"/>
            <w:shd w:fill="FFFFFF" w:color="FFFFFF" w:val="clear"/>
          </w:tcPr>
          <w:p>
            <w:pPr>
              <w:spacing w:after="60"/>
            </w:pPr>
            <w:r>
              <w:rPr>
                <w:sz w:val="20"/>
                <w:szCs w:val="20"/>
              </w:rPr>
              <w:t xml:space="preserve">Automated Okta deprovisioning at 6 PM on last day; all sessions terminated; device remote wipe queued</w:t>
            </w:r>
          </w:p>
        </w:tc>
        <w:tc>
          <w:tcPr>
            <w:tcW w:type="dxa" w:w="1960"/>
            <w:shd w:fill="FFFFFF" w:color="FFFFFF" w:val="clear"/>
          </w:tcPr>
          <w:p>
            <w:pPr>
              <w:spacing w:after="60"/>
            </w:pPr>
            <w:r>
              <w:rPr>
                <w:sz w:val="20"/>
                <w:szCs w:val="20"/>
              </w:rPr>
              <w:t xml:space="preserve">Same day as last working day</w:t>
            </w:r>
          </w:p>
        </w:tc>
      </w:tr>
      <w:tr>
        <w:tc>
          <w:tcPr>
            <w:tcW w:type="dxa" w:w="2000"/>
            <w:shd w:fill="E9F7EF" w:color="E9F7EF" w:val="clear"/>
          </w:tcPr>
          <w:p>
            <w:pPr>
              <w:spacing w:after="60"/>
            </w:pPr>
            <w:r>
              <w:rPr>
                <w:sz w:val="20"/>
                <w:szCs w:val="20"/>
              </w:rPr>
              <w:t xml:space="preserve">Involuntary termination / immediate</w:t>
            </w:r>
          </w:p>
        </w:tc>
        <w:tc>
          <w:tcPr>
            <w:tcW w:type="dxa" w:w="2400"/>
            <w:shd w:fill="E9F7EF" w:color="E9F7EF" w:val="clear"/>
          </w:tcPr>
          <w:p>
            <w:pPr>
              <w:spacing w:after="60"/>
            </w:pPr>
            <w:r>
              <w:rPr>
                <w:sz w:val="20"/>
                <w:szCs w:val="20"/>
              </w:rPr>
              <w:t xml:space="preserve">HR triggers immediate termination in Workday</w:t>
            </w:r>
          </w:p>
        </w:tc>
        <w:tc>
          <w:tcPr>
            <w:tcW w:type="dxa" w:w="3000"/>
            <w:shd w:fill="E9F7EF" w:color="E9F7EF" w:val="clear"/>
          </w:tcPr>
          <w:p>
            <w:pPr>
              <w:spacing w:after="60"/>
            </w:pPr>
            <w:r>
              <w:rPr>
                <w:sz w:val="20"/>
                <w:szCs w:val="20"/>
              </w:rPr>
              <w:t xml:space="preserve">Okta account disabled immediately; all sessions terminated; manager notified; device retrieval initiated</w:t>
            </w:r>
          </w:p>
        </w:tc>
        <w:tc>
          <w:tcPr>
            <w:tcW w:type="dxa" w:w="1960"/>
            <w:shd w:fill="E9F7EF" w:color="E9F7EF" w:val="clear"/>
          </w:tcPr>
          <w:p>
            <w:pPr>
              <w:spacing w:after="60"/>
            </w:pPr>
            <w:r>
              <w:rPr>
                <w:sz w:val="20"/>
                <w:szCs w:val="20"/>
              </w:rPr>
              <w:t xml:space="preserve">Within 15 minutes of trigger</w:t>
            </w:r>
          </w:p>
        </w:tc>
      </w:tr>
      <w:tr>
        <w:tc>
          <w:tcPr>
            <w:tcW w:type="dxa" w:w="2000"/>
            <w:shd w:fill="FFFFFF" w:color="FFFFFF" w:val="clear"/>
          </w:tcPr>
          <w:p>
            <w:pPr>
              <w:spacing w:after="60"/>
            </w:pPr>
            <w:r>
              <w:rPr>
                <w:sz w:val="20"/>
                <w:szCs w:val="20"/>
              </w:rPr>
              <w:t xml:space="preserve">Long-term leave (&gt; 30 days)</w:t>
            </w:r>
          </w:p>
        </w:tc>
        <w:tc>
          <w:tcPr>
            <w:tcW w:type="dxa" w:w="2400"/>
            <w:shd w:fill="FFFFFF" w:color="FFFFFF" w:val="clear"/>
          </w:tcPr>
          <w:p>
            <w:pPr>
              <w:spacing w:after="60"/>
            </w:pPr>
            <w:r>
              <w:rPr>
                <w:sz w:val="20"/>
                <w:szCs w:val="20"/>
              </w:rPr>
              <w:t xml:space="preserve">HR sets leave status in Workday</w:t>
            </w:r>
          </w:p>
        </w:tc>
        <w:tc>
          <w:tcPr>
            <w:tcW w:type="dxa" w:w="3000"/>
            <w:shd w:fill="FFFFFF" w:color="FFFFFF" w:val="clear"/>
          </w:tcPr>
          <w:p>
            <w:pPr>
              <w:spacing w:after="60"/>
            </w:pPr>
            <w:r>
              <w:rPr>
                <w:sz w:val="20"/>
                <w:szCs w:val="20"/>
              </w:rPr>
              <w:t xml:space="preserve">Okta account suspended (not deleted); access preserved for return</w:t>
            </w:r>
          </w:p>
        </w:tc>
        <w:tc>
          <w:tcPr>
            <w:tcW w:type="dxa" w:w="1960"/>
            <w:shd w:fill="FFFFFF" w:color="FFFFFF" w:val="clear"/>
          </w:tcPr>
          <w:p>
            <w:pPr>
              <w:spacing w:after="60"/>
            </w:pPr>
            <w:r>
              <w:rPr>
                <w:sz w:val="20"/>
                <w:szCs w:val="20"/>
              </w:rPr>
              <w:t xml:space="preserve">At leave start date</w:t>
            </w:r>
          </w:p>
        </w:tc>
      </w:tr>
    </w:tbl>
    <w:p>
      <w:pPr>
        <w:spacing w:after="80"/>
      </w:pPr>
      <w:r>
        <w:t xml:space="preserve"/>
      </w:r>
    </w:p>
    <w:p>
      <w:pPr>
        <w:pStyle w:val="Heading2"/>
        <w:spacing w:after="150" w:before="300"/>
      </w:pPr>
      <w:r>
        <w:t xml:space="preserve">12.3 Privileged Access Management (PAM)</w:t>
      </w:r>
    </w:p>
    <w:p>
      <w:pPr>
        <w:spacing w:after="120" w:line="276"/>
      </w:pPr>
      <w:r>
        <w:rPr>
          <w:sz w:val="22"/>
          <w:szCs w:val="22"/>
        </w:rPr>
        <w:t xml:space="preserve">Privileged access (admin, root, DBA, cloud admin) is managed via CyberArk Privileged Access Manager:</w:t>
      </w:r>
    </w:p>
    <w:p>
      <w:pPr>
        <w:pStyle w:val="ListParagraph"/>
        <w:numPr>
          <w:ilvl w:val="0"/>
          <w:numId w:val="1"/>
        </w:numPr>
        <w:spacing w:after="80"/>
      </w:pPr>
      <w:r>
        <w:rPr>
          <w:sz w:val="22"/>
          <w:szCs w:val="22"/>
        </w:rPr>
        <w:t xml:space="preserve">No standing privileged access: Admin accounts are provisioned just-in-time for specific tasks and de-provisioned after</w:t>
      </w:r>
    </w:p>
    <w:p>
      <w:pPr>
        <w:pStyle w:val="ListParagraph"/>
        <w:numPr>
          <w:ilvl w:val="0"/>
          <w:numId w:val="1"/>
        </w:numPr>
        <w:spacing w:after="80"/>
      </w:pPr>
      <w:r>
        <w:rPr>
          <w:sz w:val="22"/>
          <w:szCs w:val="22"/>
        </w:rPr>
        <w:t xml:space="preserve">Break-glass accounts: Emergency admin credentials are stored in CyberArk; access requires dual approval and is fully audited</w:t>
      </w:r>
    </w:p>
    <w:p>
      <w:pPr>
        <w:pStyle w:val="ListParagraph"/>
        <w:numPr>
          <w:ilvl w:val="0"/>
          <w:numId w:val="1"/>
        </w:numPr>
        <w:spacing w:after="80"/>
      </w:pPr>
      <w:r>
        <w:rPr>
          <w:sz w:val="22"/>
          <w:szCs w:val="22"/>
        </w:rPr>
        <w:t xml:space="preserve">Privileged sessions are recorded: All privileged sessions (SSH, RDP, cloud console with elevated permissions) are recorded in CyberArk and retained for 1 year</w:t>
      </w:r>
    </w:p>
    <w:p>
      <w:pPr>
        <w:pStyle w:val="ListParagraph"/>
        <w:numPr>
          <w:ilvl w:val="0"/>
          <w:numId w:val="1"/>
        </w:numPr>
        <w:spacing w:after="80"/>
      </w:pPr>
      <w:r>
        <w:rPr>
          <w:sz w:val="22"/>
          <w:szCs w:val="22"/>
        </w:rPr>
        <w:t xml:space="preserve">YubiKey required: All privileged access requires FIDO2 hardware key authentication (no software MFA for admin accounts)</w:t>
      </w:r>
    </w:p>
    <w:p>
      <w:pPr>
        <w:pStyle w:val="ListParagraph"/>
        <w:numPr>
          <w:ilvl w:val="0"/>
          <w:numId w:val="1"/>
        </w:numPr>
        <w:spacing w:after="80"/>
      </w:pPr>
      <w:r>
        <w:rPr>
          <w:sz w:val="22"/>
          <w:szCs w:val="22"/>
        </w:rPr>
        <w:t xml:space="preserve">Quarterly privileged access review: All privileged account holders are reviewed by their manager and IT Security quarterly</w:t>
      </w:r>
    </w:p>
    <w:p>
      <w:pPr>
        <w:pStyle w:val="Heading2"/>
        <w:spacing w:after="150" w:before="300"/>
      </w:pPr>
      <w:r>
        <w:t xml:space="preserve">12.4 Access Reviews</w:t>
      </w:r>
    </w:p>
    <w:p>
      <w:pPr>
        <w:spacing w:after="120" w:line="276"/>
      </w:pPr>
      <w:r>
        <w:rPr>
          <w:sz w:val="22"/>
          <w:szCs w:val="22"/>
        </w:rPr>
        <w:t xml:space="preserve">All application access is reviewed on the following schedule:</w:t>
      </w:r>
    </w:p>
    <w:p>
      <w:pPr>
        <w:pStyle w:val="ListParagraph"/>
        <w:numPr>
          <w:ilvl w:val="0"/>
          <w:numId w:val="1"/>
        </w:numPr>
        <w:spacing w:after="80"/>
      </w:pPr>
      <w:r>
        <w:rPr>
          <w:sz w:val="22"/>
          <w:szCs w:val="22"/>
        </w:rPr>
        <w:t xml:space="preserve">Production systems (Restricted data): Quarterly access review by system owner and IT Security</w:t>
      </w:r>
    </w:p>
    <w:p>
      <w:pPr>
        <w:pStyle w:val="ListParagraph"/>
        <w:numPr>
          <w:ilvl w:val="0"/>
          <w:numId w:val="1"/>
        </w:numPr>
        <w:spacing w:after="80"/>
      </w:pPr>
      <w:r>
        <w:rPr>
          <w:sz w:val="22"/>
          <w:szCs w:val="22"/>
        </w:rPr>
        <w:t xml:space="preserve">Confidential systems (HR, Finance, Legal): Bi-annual access review by department head</w:t>
      </w:r>
    </w:p>
    <w:p>
      <w:pPr>
        <w:pStyle w:val="ListParagraph"/>
        <w:numPr>
          <w:ilvl w:val="0"/>
          <w:numId w:val="1"/>
        </w:numPr>
        <w:spacing w:after="80"/>
      </w:pPr>
      <w:r>
        <w:rPr>
          <w:sz w:val="22"/>
          <w:szCs w:val="22"/>
        </w:rPr>
        <w:t xml:space="preserve">Internal systems: Annual access review as part of SOC 2 controls program</w:t>
      </w:r>
    </w:p>
    <w:p>
      <w:pPr>
        <w:spacing w:after="120" w:line="276"/>
      </w:pPr>
      <w:r>
        <w:rPr>
          <w:sz w:val="22"/>
          <w:szCs w:val="22"/>
        </w:rPr>
        <w:t xml:space="preserve">Access reviews are tracked in ServiceNow. Users whose access is not certified within the review window have access automatically suspended until the review is completed.</w:t>
      </w:r>
    </w:p>
    <w:p>
      <w:r>
        <w:br w:type="page"/>
      </w:r>
    </w:p>
    <w:p>
      <w:pPr>
        <w:pStyle w:val="Heading1"/>
        <w:spacing w:after="200" w:before="400"/>
      </w:pPr>
      <w:r>
        <w:t xml:space="preserve">13. Disaster Recovery &amp; Business Continuity (IT)</w:t>
      </w:r>
    </w:p>
    <w:p>
      <w:pPr>
        <w:pStyle w:val="Heading2"/>
        <w:spacing w:after="150" w:before="300"/>
      </w:pPr>
      <w:r>
        <w:t xml:space="preserve">13.1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200"/>
        <w:gridCol w:w="2500"/>
        <w:gridCol w:w="1260"/>
      </w:tblGrid>
      <w:tr>
        <w:tc>
          <w:tcPr>
            <w:tcW w:type="dxa" w:w="2800"/>
            <w:shd w:fill="145A32" w:color="145A32" w:val="clear"/>
          </w:tcPr>
          <w:p>
            <w:pPr>
              <w:spacing w:after="60"/>
            </w:pPr>
            <w:r>
              <w:rPr>
                <w:b/>
                <w:bCs/>
                <w:color w:val="FFFFFF"/>
                <w:sz w:val="20"/>
                <w:szCs w:val="20"/>
              </w:rPr>
              <w:t xml:space="preserve">System / Service</w:t>
            </w:r>
          </w:p>
        </w:tc>
        <w:tc>
          <w:tcPr>
            <w:tcW w:type="dxa" w:w="1400"/>
            <w:shd w:fill="145A32" w:color="145A32" w:val="clear"/>
          </w:tcPr>
          <w:p>
            <w:pPr>
              <w:spacing w:after="60"/>
            </w:pPr>
            <w:r>
              <w:rPr>
                <w:b/>
                <w:bCs/>
                <w:color w:val="FFFFFF"/>
                <w:sz w:val="20"/>
                <w:szCs w:val="20"/>
              </w:rPr>
              <w:t xml:space="preserve">Tier</w:t>
            </w:r>
          </w:p>
        </w:tc>
        <w:tc>
          <w:tcPr>
            <w:tcW w:type="dxa" w:w="1200"/>
            <w:shd w:fill="145A32" w:color="145A32" w:val="clear"/>
          </w:tcPr>
          <w:p>
            <w:pPr>
              <w:spacing w:after="60"/>
            </w:pPr>
            <w:r>
              <w:rPr>
                <w:b/>
                <w:bCs/>
                <w:color w:val="FFFFFF"/>
                <w:sz w:val="20"/>
                <w:szCs w:val="20"/>
              </w:rPr>
              <w:t xml:space="preserve">RTO</w:t>
            </w:r>
          </w:p>
        </w:tc>
        <w:tc>
          <w:tcPr>
            <w:tcW w:type="dxa" w:w="1200"/>
            <w:shd w:fill="145A32" w:color="145A32" w:val="clear"/>
          </w:tcPr>
          <w:p>
            <w:pPr>
              <w:spacing w:after="60"/>
            </w:pPr>
            <w:r>
              <w:rPr>
                <w:b/>
                <w:bCs/>
                <w:color w:val="FFFFFF"/>
                <w:sz w:val="20"/>
                <w:szCs w:val="20"/>
              </w:rPr>
              <w:t xml:space="preserve">RPO</w:t>
            </w:r>
          </w:p>
        </w:tc>
        <w:tc>
          <w:tcPr>
            <w:tcW w:type="dxa" w:w="2500"/>
            <w:shd w:fill="145A32" w:color="145A32" w:val="clear"/>
          </w:tcPr>
          <w:p>
            <w:pPr>
              <w:spacing w:after="60"/>
            </w:pPr>
            <w:r>
              <w:rPr>
                <w:b/>
                <w:bCs/>
                <w:color w:val="FFFFFF"/>
                <w:sz w:val="20"/>
                <w:szCs w:val="20"/>
              </w:rPr>
              <w:t xml:space="preserve">Recovery Strategy</w:t>
            </w:r>
          </w:p>
        </w:tc>
        <w:tc>
          <w:tcPr>
            <w:tcW w:type="dxa" w:w="1260"/>
            <w:shd w:fill="145A32" w:color="145A32" w:val="clear"/>
          </w:tcPr>
          <w:p>
            <w:pPr>
              <w:spacing w:after="60"/>
            </w:pPr>
            <w:r>
              <w:rPr>
                <w:b/>
                <w:bCs/>
                <w:color w:val="FFFFFF"/>
                <w:sz w:val="20"/>
                <w:szCs w:val="20"/>
              </w:rPr>
              <w:t xml:space="preserve">Test Frequency</w:t>
            </w:r>
          </w:p>
        </w:tc>
      </w:tr>
      <w:tr>
        <w:tc>
          <w:tcPr>
            <w:tcW w:type="dxa" w:w="2800"/>
            <w:shd w:fill="E9F7EF" w:color="E9F7EF" w:val="clear"/>
          </w:tcPr>
          <w:p>
            <w:pPr>
              <w:spacing w:after="60"/>
            </w:pPr>
            <w:r>
              <w:rPr>
                <w:sz w:val="20"/>
                <w:szCs w:val="20"/>
              </w:rPr>
              <w:t xml:space="preserve">OptiAgent Enterprise Platform (production)</w:t>
            </w:r>
          </w:p>
        </w:tc>
        <w:tc>
          <w:tcPr>
            <w:tcW w:type="dxa" w:w="1400"/>
            <w:shd w:fill="E9F7EF" w:color="E9F7EF" w:val="clear"/>
          </w:tcPr>
          <w:p>
            <w:pPr>
              <w:spacing w:after="60"/>
            </w:pPr>
            <w:r>
              <w:rPr>
                <w:sz w:val="20"/>
                <w:szCs w:val="20"/>
              </w:rPr>
              <w:t xml:space="preserve">Tier 1 — Critical</w:t>
            </w:r>
          </w:p>
        </w:tc>
        <w:tc>
          <w:tcPr>
            <w:tcW w:type="dxa" w:w="1200"/>
            <w:shd w:fill="E9F7EF" w:color="E9F7EF" w:val="clear"/>
          </w:tcPr>
          <w:p>
            <w:pPr>
              <w:spacing w:after="60"/>
            </w:pPr>
            <w:r>
              <w:rPr>
                <w:sz w:val="20"/>
                <w:szCs w:val="20"/>
              </w:rPr>
              <w:t xml:space="preserve">4 hours</w:t>
            </w:r>
          </w:p>
        </w:tc>
        <w:tc>
          <w:tcPr>
            <w:tcW w:type="dxa" w:w="1200"/>
            <w:shd w:fill="E9F7EF" w:color="E9F7EF" w:val="clear"/>
          </w:tcPr>
          <w:p>
            <w:pPr>
              <w:spacing w:after="60"/>
            </w:pPr>
            <w:r>
              <w:rPr>
                <w:sz w:val="20"/>
                <w:szCs w:val="20"/>
              </w:rPr>
              <w:t xml:space="preserve">15 minutes</w:t>
            </w:r>
          </w:p>
        </w:tc>
        <w:tc>
          <w:tcPr>
            <w:tcW w:type="dxa" w:w="2500"/>
            <w:shd w:fill="E9F7EF" w:color="E9F7EF" w:val="clear"/>
          </w:tcPr>
          <w:p>
            <w:pPr>
              <w:spacing w:after="60"/>
            </w:pPr>
            <w:r>
              <w:rPr>
                <w:sz w:val="20"/>
                <w:szCs w:val="20"/>
              </w:rPr>
              <w:t xml:space="preserve">Active-active multi-AZ (AWS); automated failover via Route 53 health checks; RDS Multi-AZ; data replicated to DR region in real-time</w:t>
            </w:r>
          </w:p>
        </w:tc>
        <w:tc>
          <w:tcPr>
            <w:tcW w:type="dxa" w:w="1260"/>
            <w:shd w:fill="E9F7EF" w:color="E9F7EF" w:val="clear"/>
          </w:tcPr>
          <w:p>
            <w:pPr>
              <w:spacing w:after="60"/>
            </w:pPr>
            <w:r>
              <w:rPr>
                <w:sz w:val="20"/>
                <w:szCs w:val="20"/>
              </w:rPr>
              <w:t xml:space="preserve">Quarterly automated failover test; annual full DR test</w:t>
            </w:r>
          </w:p>
        </w:tc>
      </w:tr>
      <w:tr>
        <w:tc>
          <w:tcPr>
            <w:tcW w:type="dxa" w:w="2800"/>
            <w:shd w:fill="FFFFFF" w:color="FFFFFF" w:val="clear"/>
          </w:tcPr>
          <w:p>
            <w:pPr>
              <w:spacing w:after="60"/>
            </w:pPr>
            <w:r>
              <w:rPr>
                <w:sz w:val="20"/>
                <w:szCs w:val="20"/>
              </w:rPr>
              <w:t xml:space="preserve">Corporate email (Exchange Online)</w:t>
            </w:r>
          </w:p>
        </w:tc>
        <w:tc>
          <w:tcPr>
            <w:tcW w:type="dxa" w:w="1400"/>
            <w:shd w:fill="FFFFFF" w:color="FFFFFF" w:val="clear"/>
          </w:tcPr>
          <w:p>
            <w:pPr>
              <w:spacing w:after="60"/>
            </w:pPr>
            <w:r>
              <w:rPr>
                <w:sz w:val="20"/>
                <w:szCs w:val="20"/>
              </w:rPr>
              <w:t xml:space="preserve">Tier 1 — Critical</w:t>
            </w:r>
          </w:p>
        </w:tc>
        <w:tc>
          <w:tcPr>
            <w:tcW w:type="dxa" w:w="1200"/>
            <w:shd w:fill="FFFFFF" w:color="FFFFFF" w:val="clear"/>
          </w:tcPr>
          <w:p>
            <w:pPr>
              <w:spacing w:after="60"/>
            </w:pPr>
            <w:r>
              <w:rPr>
                <w:sz w:val="20"/>
                <w:szCs w:val="20"/>
              </w:rPr>
              <w:t xml:space="preserve">2 hours</w:t>
            </w:r>
          </w:p>
        </w:tc>
        <w:tc>
          <w:tcPr>
            <w:tcW w:type="dxa" w:w="1200"/>
            <w:shd w:fill="FFFFFF" w:color="FFFFFF" w:val="clear"/>
          </w:tcPr>
          <w:p>
            <w:pPr>
              <w:spacing w:after="60"/>
            </w:pPr>
            <w:r>
              <w:rPr>
                <w:sz w:val="20"/>
                <w:szCs w:val="20"/>
              </w:rPr>
              <w:t xml:space="preserve">1 hour</w:t>
            </w:r>
          </w:p>
        </w:tc>
        <w:tc>
          <w:tcPr>
            <w:tcW w:type="dxa" w:w="2500"/>
            <w:shd w:fill="FFFFFF" w:color="FFFFFF" w:val="clear"/>
          </w:tcPr>
          <w:p>
            <w:pPr>
              <w:spacing w:after="60"/>
            </w:pPr>
            <w:r>
              <w:rPr>
                <w:sz w:val="20"/>
                <w:szCs w:val="20"/>
              </w:rPr>
              <w:t xml:space="preserve">Microsoft-managed geo-redundancy; OptiAgent controls: litigation hold, archive enabled</w:t>
            </w:r>
          </w:p>
        </w:tc>
        <w:tc>
          <w:tcPr>
            <w:tcW w:type="dxa" w:w="1260"/>
            <w:shd w:fill="FFFFFF" w:color="FFFFFF" w:val="clear"/>
          </w:tcPr>
          <w:p>
            <w:pPr>
              <w:spacing w:after="60"/>
            </w:pPr>
            <w:r>
              <w:rPr>
                <w:sz w:val="20"/>
                <w:szCs w:val="20"/>
              </w:rPr>
              <w:t xml:space="preserve">Annual DR table-top</w:t>
            </w:r>
          </w:p>
        </w:tc>
      </w:tr>
      <w:tr>
        <w:tc>
          <w:tcPr>
            <w:tcW w:type="dxa" w:w="2800"/>
            <w:shd w:fill="E9F7EF" w:color="E9F7EF" w:val="clear"/>
          </w:tcPr>
          <w:p>
            <w:pPr>
              <w:spacing w:after="60"/>
            </w:pPr>
            <w:r>
              <w:rPr>
                <w:sz w:val="20"/>
                <w:szCs w:val="20"/>
              </w:rPr>
              <w:t xml:space="preserve">Okta (Identity)</w:t>
            </w:r>
          </w:p>
        </w:tc>
        <w:tc>
          <w:tcPr>
            <w:tcW w:type="dxa" w:w="1400"/>
            <w:shd w:fill="E9F7EF" w:color="E9F7EF" w:val="clear"/>
          </w:tcPr>
          <w:p>
            <w:pPr>
              <w:spacing w:after="60"/>
            </w:pPr>
            <w:r>
              <w:rPr>
                <w:sz w:val="20"/>
                <w:szCs w:val="20"/>
              </w:rPr>
              <w:t xml:space="preserve">Tier 1 — Critical</w:t>
            </w:r>
          </w:p>
        </w:tc>
        <w:tc>
          <w:tcPr>
            <w:tcW w:type="dxa" w:w="1200"/>
            <w:shd w:fill="E9F7EF" w:color="E9F7EF" w:val="clear"/>
          </w:tcPr>
          <w:p>
            <w:pPr>
              <w:spacing w:after="60"/>
            </w:pPr>
            <w:r>
              <w:rPr>
                <w:sz w:val="20"/>
                <w:szCs w:val="20"/>
              </w:rPr>
              <w:t xml:space="preserve">1 hour</w:t>
            </w:r>
          </w:p>
        </w:tc>
        <w:tc>
          <w:tcPr>
            <w:tcW w:type="dxa" w:w="1200"/>
            <w:shd w:fill="E9F7EF" w:color="E9F7EF" w:val="clear"/>
          </w:tcPr>
          <w:p>
            <w:pPr>
              <w:spacing w:after="60"/>
            </w:pPr>
            <w:r>
              <w:rPr>
                <w:sz w:val="20"/>
                <w:szCs w:val="20"/>
              </w:rPr>
              <w:t xml:space="preserve">N/A (SaaS)</w:t>
            </w:r>
          </w:p>
        </w:tc>
        <w:tc>
          <w:tcPr>
            <w:tcW w:type="dxa" w:w="2500"/>
            <w:shd w:fill="E9F7EF" w:color="E9F7EF" w:val="clear"/>
          </w:tcPr>
          <w:p>
            <w:pPr>
              <w:spacing w:after="60"/>
            </w:pPr>
            <w:r>
              <w:rPr>
                <w:sz w:val="20"/>
                <w:szCs w:val="20"/>
              </w:rPr>
              <w:t xml:space="preserve">Okta-managed high-availability across multiple data centers; OptiAgent break-glass accounts documented</w:t>
            </w:r>
          </w:p>
        </w:tc>
        <w:tc>
          <w:tcPr>
            <w:tcW w:type="dxa" w:w="1260"/>
            <w:shd w:fill="E9F7EF" w:color="E9F7EF" w:val="clear"/>
          </w:tcPr>
          <w:p>
            <w:pPr>
              <w:spacing w:after="60"/>
            </w:pPr>
            <w:r>
              <w:rPr>
                <w:sz w:val="20"/>
                <w:szCs w:val="20"/>
              </w:rPr>
              <w:t xml:space="preserve">Bi-annual access test of break-glass accounts</w:t>
            </w:r>
          </w:p>
        </w:tc>
      </w:tr>
      <w:tr>
        <w:tc>
          <w:tcPr>
            <w:tcW w:type="dxa" w:w="2800"/>
            <w:shd w:fill="FFFFFF" w:color="FFFFFF" w:val="clear"/>
          </w:tcPr>
          <w:p>
            <w:pPr>
              <w:spacing w:after="60"/>
            </w:pPr>
            <w:r>
              <w:rPr>
                <w:sz w:val="20"/>
                <w:szCs w:val="20"/>
              </w:rPr>
              <w:t xml:space="preserve">Workday (HRIS)</w:t>
            </w:r>
          </w:p>
        </w:tc>
        <w:tc>
          <w:tcPr>
            <w:tcW w:type="dxa" w:w="1400"/>
            <w:shd w:fill="FFFFFF" w:color="FFFFFF" w:val="clear"/>
          </w:tcPr>
          <w:p>
            <w:pPr>
              <w:spacing w:after="60"/>
            </w:pPr>
            <w:r>
              <w:rPr>
                <w:sz w:val="20"/>
                <w:szCs w:val="20"/>
              </w:rPr>
              <w:t xml:space="preserve">Tier 2 — Important</w:t>
            </w:r>
          </w:p>
        </w:tc>
        <w:tc>
          <w:tcPr>
            <w:tcW w:type="dxa" w:w="1200"/>
            <w:shd w:fill="FFFFFF" w:color="FFFFFF" w:val="clear"/>
          </w:tcPr>
          <w:p>
            <w:pPr>
              <w:spacing w:after="60"/>
            </w:pPr>
            <w:r>
              <w:rPr>
                <w:sz w:val="20"/>
                <w:szCs w:val="20"/>
              </w:rPr>
              <w:t xml:space="preserve">24 hours</w:t>
            </w:r>
          </w:p>
        </w:tc>
        <w:tc>
          <w:tcPr>
            <w:tcW w:type="dxa" w:w="1200"/>
            <w:shd w:fill="FFFFFF" w:color="FFFFFF" w:val="clear"/>
          </w:tcPr>
          <w:p>
            <w:pPr>
              <w:spacing w:after="60"/>
            </w:pPr>
            <w:r>
              <w:rPr>
                <w:sz w:val="20"/>
                <w:szCs w:val="20"/>
              </w:rPr>
              <w:t xml:space="preserve">24 hours</w:t>
            </w:r>
          </w:p>
        </w:tc>
        <w:tc>
          <w:tcPr>
            <w:tcW w:type="dxa" w:w="2500"/>
            <w:shd w:fill="FFFFFF" w:color="FFFFFF" w:val="clear"/>
          </w:tcPr>
          <w:p>
            <w:pPr>
              <w:spacing w:after="60"/>
            </w:pPr>
            <w:r>
              <w:rPr>
                <w:sz w:val="20"/>
                <w:szCs w:val="20"/>
              </w:rPr>
              <w:t xml:space="preserve">Workday-managed redundancy; OptiAgent exports weekly data snapshot to S3</w:t>
            </w:r>
          </w:p>
        </w:tc>
        <w:tc>
          <w:tcPr>
            <w:tcW w:type="dxa" w:w="1260"/>
            <w:shd w:fill="FFFFFF" w:color="FFFFFF" w:val="clear"/>
          </w:tcPr>
          <w:p>
            <w:pPr>
              <w:spacing w:after="60"/>
            </w:pPr>
            <w:r>
              <w:rPr>
                <w:sz w:val="20"/>
                <w:szCs w:val="20"/>
              </w:rPr>
              <w:t xml:space="preserve">Annual DR table-top</w:t>
            </w:r>
          </w:p>
        </w:tc>
      </w:tr>
      <w:tr>
        <w:tc>
          <w:tcPr>
            <w:tcW w:type="dxa" w:w="2800"/>
            <w:shd w:fill="E9F7EF" w:color="E9F7EF" w:val="clear"/>
          </w:tcPr>
          <w:p>
            <w:pPr>
              <w:spacing w:after="60"/>
            </w:pPr>
            <w:r>
              <w:rPr>
                <w:sz w:val="20"/>
                <w:szCs w:val="20"/>
              </w:rPr>
              <w:t xml:space="preserve">NetSuite (ERP / Finance)</w:t>
            </w:r>
          </w:p>
        </w:tc>
        <w:tc>
          <w:tcPr>
            <w:tcW w:type="dxa" w:w="1400"/>
            <w:shd w:fill="E9F7EF" w:color="E9F7EF" w:val="clear"/>
          </w:tcPr>
          <w:p>
            <w:pPr>
              <w:spacing w:after="60"/>
            </w:pPr>
            <w:r>
              <w:rPr>
                <w:sz w:val="20"/>
                <w:szCs w:val="20"/>
              </w:rPr>
              <w:t xml:space="preserve">Tier 2 — Important</w:t>
            </w:r>
          </w:p>
        </w:tc>
        <w:tc>
          <w:tcPr>
            <w:tcW w:type="dxa" w:w="1200"/>
            <w:shd w:fill="E9F7EF" w:color="E9F7EF" w:val="clear"/>
          </w:tcPr>
          <w:p>
            <w:pPr>
              <w:spacing w:after="60"/>
            </w:pPr>
            <w:r>
              <w:rPr>
                <w:sz w:val="20"/>
                <w:szCs w:val="20"/>
              </w:rPr>
              <w:t xml:space="preserve">8 hours</w:t>
            </w:r>
          </w:p>
        </w:tc>
        <w:tc>
          <w:tcPr>
            <w:tcW w:type="dxa" w:w="1200"/>
            <w:shd w:fill="E9F7EF" w:color="E9F7EF" w:val="clear"/>
          </w:tcPr>
          <w:p>
            <w:pPr>
              <w:spacing w:after="60"/>
            </w:pPr>
            <w:r>
              <w:rPr>
                <w:sz w:val="20"/>
                <w:szCs w:val="20"/>
              </w:rPr>
              <w:t xml:space="preserve">4 hours</w:t>
            </w:r>
          </w:p>
        </w:tc>
        <w:tc>
          <w:tcPr>
            <w:tcW w:type="dxa" w:w="2500"/>
            <w:shd w:fill="E9F7EF" w:color="E9F7EF" w:val="clear"/>
          </w:tcPr>
          <w:p>
            <w:pPr>
              <w:spacing w:after="60"/>
            </w:pPr>
            <w:r>
              <w:rPr>
                <w:sz w:val="20"/>
                <w:szCs w:val="20"/>
              </w:rPr>
              <w:t xml:space="preserve">Oracle NetSuite-managed redundancy; OptiAgent daily data export to S3</w:t>
            </w:r>
          </w:p>
        </w:tc>
        <w:tc>
          <w:tcPr>
            <w:tcW w:type="dxa" w:w="1260"/>
            <w:shd w:fill="E9F7EF" w:color="E9F7EF" w:val="clear"/>
          </w:tcPr>
          <w:p>
            <w:pPr>
              <w:spacing w:after="60"/>
            </w:pPr>
            <w:r>
              <w:rPr>
                <w:sz w:val="20"/>
                <w:szCs w:val="20"/>
              </w:rPr>
              <w:t xml:space="preserve">Annual DR table-top</w:t>
            </w:r>
          </w:p>
        </w:tc>
      </w:tr>
      <w:tr>
        <w:tc>
          <w:tcPr>
            <w:tcW w:type="dxa" w:w="2800"/>
            <w:shd w:fill="FFFFFF" w:color="FFFFFF" w:val="clear"/>
          </w:tcPr>
          <w:p>
            <w:pPr>
              <w:spacing w:after="60"/>
            </w:pPr>
            <w:r>
              <w:rPr>
                <w:sz w:val="20"/>
                <w:szCs w:val="20"/>
              </w:rPr>
              <w:t xml:space="preserve">GitHub (Source Code)</w:t>
            </w:r>
          </w:p>
        </w:tc>
        <w:tc>
          <w:tcPr>
            <w:tcW w:type="dxa" w:w="1400"/>
            <w:shd w:fill="FFFFFF" w:color="FFFFFF" w:val="clear"/>
          </w:tcPr>
          <w:p>
            <w:pPr>
              <w:spacing w:after="60"/>
            </w:pPr>
            <w:r>
              <w:rPr>
                <w:sz w:val="20"/>
                <w:szCs w:val="20"/>
              </w:rPr>
              <w:t xml:space="preserve">Tier 1 — Critical</w:t>
            </w:r>
          </w:p>
        </w:tc>
        <w:tc>
          <w:tcPr>
            <w:tcW w:type="dxa" w:w="1200"/>
            <w:shd w:fill="FFFFFF" w:color="FFFFFF" w:val="clear"/>
          </w:tcPr>
          <w:p>
            <w:pPr>
              <w:spacing w:after="60"/>
            </w:pPr>
            <w:r>
              <w:rPr>
                <w:sz w:val="20"/>
                <w:szCs w:val="20"/>
              </w:rPr>
              <w:t xml:space="preserve">4 hours</w:t>
            </w:r>
          </w:p>
        </w:tc>
        <w:tc>
          <w:tcPr>
            <w:tcW w:type="dxa" w:w="1200"/>
            <w:shd w:fill="FFFFFF" w:color="FFFFFF" w:val="clear"/>
          </w:tcPr>
          <w:p>
            <w:pPr>
              <w:spacing w:after="60"/>
            </w:pPr>
            <w:r>
              <w:rPr>
                <w:sz w:val="20"/>
                <w:szCs w:val="20"/>
              </w:rPr>
              <w:t xml:space="preserve">1 hour</w:t>
            </w:r>
          </w:p>
        </w:tc>
        <w:tc>
          <w:tcPr>
            <w:tcW w:type="dxa" w:w="2500"/>
            <w:shd w:fill="FFFFFF" w:color="FFFFFF" w:val="clear"/>
          </w:tcPr>
          <w:p>
            <w:pPr>
              <w:spacing w:after="60"/>
            </w:pPr>
            <w:r>
              <w:rPr>
                <w:sz w:val="20"/>
                <w:szCs w:val="20"/>
              </w:rPr>
              <w:t xml:space="preserve">GitHub-managed redundancy; OptiAgent mirrors all repos to AWS CodeCommit hourly</w:t>
            </w:r>
          </w:p>
        </w:tc>
        <w:tc>
          <w:tcPr>
            <w:tcW w:type="dxa" w:w="1260"/>
            <w:shd w:fill="FFFFFF" w:color="FFFFFF" w:val="clear"/>
          </w:tcPr>
          <w:p>
            <w:pPr>
              <w:spacing w:after="60"/>
            </w:pPr>
            <w:r>
              <w:rPr>
                <w:sz w:val="20"/>
                <w:szCs w:val="20"/>
              </w:rPr>
              <w:t xml:space="preserve">Semi-annual restore test from mirror</w:t>
            </w:r>
          </w:p>
        </w:tc>
      </w:tr>
      <w:tr>
        <w:tc>
          <w:tcPr>
            <w:tcW w:type="dxa" w:w="2800"/>
            <w:shd w:fill="E9F7EF" w:color="E9F7EF" w:val="clear"/>
          </w:tcPr>
          <w:p>
            <w:pPr>
              <w:spacing w:after="60"/>
            </w:pPr>
            <w:r>
              <w:rPr>
                <w:sz w:val="20"/>
                <w:szCs w:val="20"/>
              </w:rPr>
              <w:t xml:space="preserve">Salesforce (CRM)</w:t>
            </w:r>
          </w:p>
        </w:tc>
        <w:tc>
          <w:tcPr>
            <w:tcW w:type="dxa" w:w="1400"/>
            <w:shd w:fill="E9F7EF" w:color="E9F7EF" w:val="clear"/>
          </w:tcPr>
          <w:p>
            <w:pPr>
              <w:spacing w:after="60"/>
            </w:pPr>
            <w:r>
              <w:rPr>
                <w:sz w:val="20"/>
                <w:szCs w:val="20"/>
              </w:rPr>
              <w:t xml:space="preserve">Tier 2 — Important</w:t>
            </w:r>
          </w:p>
        </w:tc>
        <w:tc>
          <w:tcPr>
            <w:tcW w:type="dxa" w:w="1200"/>
            <w:shd w:fill="E9F7EF" w:color="E9F7EF" w:val="clear"/>
          </w:tcPr>
          <w:p>
            <w:pPr>
              <w:spacing w:after="60"/>
            </w:pPr>
            <w:r>
              <w:rPr>
                <w:sz w:val="20"/>
                <w:szCs w:val="20"/>
              </w:rPr>
              <w:t xml:space="preserve">8 hours</w:t>
            </w:r>
          </w:p>
        </w:tc>
        <w:tc>
          <w:tcPr>
            <w:tcW w:type="dxa" w:w="1200"/>
            <w:shd w:fill="E9F7EF" w:color="E9F7EF" w:val="clear"/>
          </w:tcPr>
          <w:p>
            <w:pPr>
              <w:spacing w:after="60"/>
            </w:pPr>
            <w:r>
              <w:rPr>
                <w:sz w:val="20"/>
                <w:szCs w:val="20"/>
              </w:rPr>
              <w:t xml:space="preserve">24 hours</w:t>
            </w:r>
          </w:p>
        </w:tc>
        <w:tc>
          <w:tcPr>
            <w:tcW w:type="dxa" w:w="2500"/>
            <w:shd w:fill="E9F7EF" w:color="E9F7EF" w:val="clear"/>
          </w:tcPr>
          <w:p>
            <w:pPr>
              <w:spacing w:after="60"/>
            </w:pPr>
            <w:r>
              <w:rPr>
                <w:sz w:val="20"/>
                <w:szCs w:val="20"/>
              </w:rPr>
              <w:t xml:space="preserve">Salesforce-managed redundancy; OwnBackup daily backup to S3</w:t>
            </w:r>
          </w:p>
        </w:tc>
        <w:tc>
          <w:tcPr>
            <w:tcW w:type="dxa" w:w="1260"/>
            <w:shd w:fill="E9F7EF" w:color="E9F7EF" w:val="clear"/>
          </w:tcPr>
          <w:p>
            <w:pPr>
              <w:spacing w:after="60"/>
            </w:pPr>
            <w:r>
              <w:rPr>
                <w:sz w:val="20"/>
                <w:szCs w:val="20"/>
              </w:rPr>
              <w:t xml:space="preserve">Annual DR table-top</w:t>
            </w:r>
          </w:p>
        </w:tc>
      </w:tr>
      <w:tr>
        <w:tc>
          <w:tcPr>
            <w:tcW w:type="dxa" w:w="2800"/>
            <w:shd w:fill="FFFFFF" w:color="FFFFFF" w:val="clear"/>
          </w:tcPr>
          <w:p>
            <w:pPr>
              <w:spacing w:after="60"/>
            </w:pPr>
            <w:r>
              <w:rPr>
                <w:sz w:val="20"/>
                <w:szCs w:val="20"/>
              </w:rPr>
              <w:t xml:space="preserve">ServiceNow (ITSM)</w:t>
            </w:r>
          </w:p>
        </w:tc>
        <w:tc>
          <w:tcPr>
            <w:tcW w:type="dxa" w:w="1400"/>
            <w:shd w:fill="FFFFFF" w:color="FFFFFF" w:val="clear"/>
          </w:tcPr>
          <w:p>
            <w:pPr>
              <w:spacing w:after="60"/>
            </w:pPr>
            <w:r>
              <w:rPr>
                <w:sz w:val="20"/>
                <w:szCs w:val="20"/>
              </w:rPr>
              <w:t xml:space="preserve">Tier 2 — Important</w:t>
            </w:r>
          </w:p>
        </w:tc>
        <w:tc>
          <w:tcPr>
            <w:tcW w:type="dxa" w:w="1200"/>
            <w:shd w:fill="FFFFFF" w:color="FFFFFF" w:val="clear"/>
          </w:tcPr>
          <w:p>
            <w:pPr>
              <w:spacing w:after="60"/>
            </w:pPr>
            <w:r>
              <w:rPr>
                <w:sz w:val="20"/>
                <w:szCs w:val="20"/>
              </w:rPr>
              <w:t xml:space="preserve">8 hours</w:t>
            </w:r>
          </w:p>
        </w:tc>
        <w:tc>
          <w:tcPr>
            <w:tcW w:type="dxa" w:w="1200"/>
            <w:shd w:fill="FFFFFF" w:color="FFFFFF" w:val="clear"/>
          </w:tcPr>
          <w:p>
            <w:pPr>
              <w:spacing w:after="60"/>
            </w:pPr>
            <w:r>
              <w:rPr>
                <w:sz w:val="20"/>
                <w:szCs w:val="20"/>
              </w:rPr>
              <w:t xml:space="preserve">4 hours</w:t>
            </w:r>
          </w:p>
        </w:tc>
        <w:tc>
          <w:tcPr>
            <w:tcW w:type="dxa" w:w="2500"/>
            <w:shd w:fill="FFFFFF" w:color="FFFFFF" w:val="clear"/>
          </w:tcPr>
          <w:p>
            <w:pPr>
              <w:spacing w:after="60"/>
            </w:pPr>
            <w:r>
              <w:rPr>
                <w:sz w:val="20"/>
                <w:szCs w:val="20"/>
              </w:rPr>
              <w:t xml:space="preserve">ServiceNow-managed multi-instance redundancy</w:t>
            </w:r>
          </w:p>
        </w:tc>
        <w:tc>
          <w:tcPr>
            <w:tcW w:type="dxa" w:w="1260"/>
            <w:shd w:fill="FFFFFF" w:color="FFFFFF" w:val="clear"/>
          </w:tcPr>
          <w:p>
            <w:pPr>
              <w:spacing w:after="60"/>
            </w:pPr>
            <w:r>
              <w:rPr>
                <w:sz w:val="20"/>
                <w:szCs w:val="20"/>
              </w:rPr>
              <w:t xml:space="preserve">Annual DR table-top</w:t>
            </w:r>
          </w:p>
        </w:tc>
      </w:tr>
      <w:tr>
        <w:tc>
          <w:tcPr>
            <w:tcW w:type="dxa" w:w="2800"/>
            <w:shd w:fill="E9F7EF" w:color="E9F7EF" w:val="clear"/>
          </w:tcPr>
          <w:p>
            <w:pPr>
              <w:spacing w:after="60"/>
            </w:pPr>
            <w:r>
              <w:rPr>
                <w:sz w:val="20"/>
                <w:szCs w:val="20"/>
              </w:rPr>
              <w:t xml:space="preserve">Corporate file storage (SharePoint/OneDrive)</w:t>
            </w:r>
          </w:p>
        </w:tc>
        <w:tc>
          <w:tcPr>
            <w:tcW w:type="dxa" w:w="1400"/>
            <w:shd w:fill="E9F7EF" w:color="E9F7EF" w:val="clear"/>
          </w:tcPr>
          <w:p>
            <w:pPr>
              <w:spacing w:after="60"/>
            </w:pPr>
            <w:r>
              <w:rPr>
                <w:sz w:val="20"/>
                <w:szCs w:val="20"/>
              </w:rPr>
              <w:t xml:space="preserve">Tier 2 — Important</w:t>
            </w:r>
          </w:p>
        </w:tc>
        <w:tc>
          <w:tcPr>
            <w:tcW w:type="dxa" w:w="1200"/>
            <w:shd w:fill="E9F7EF" w:color="E9F7EF" w:val="clear"/>
          </w:tcPr>
          <w:p>
            <w:pPr>
              <w:spacing w:after="60"/>
            </w:pPr>
            <w:r>
              <w:rPr>
                <w:sz w:val="20"/>
                <w:szCs w:val="20"/>
              </w:rPr>
              <w:t xml:space="preserve">4 hours</w:t>
            </w:r>
          </w:p>
        </w:tc>
        <w:tc>
          <w:tcPr>
            <w:tcW w:type="dxa" w:w="1200"/>
            <w:shd w:fill="E9F7EF" w:color="E9F7EF" w:val="clear"/>
          </w:tcPr>
          <w:p>
            <w:pPr>
              <w:spacing w:after="60"/>
            </w:pPr>
            <w:r>
              <w:rPr>
                <w:sz w:val="20"/>
                <w:szCs w:val="20"/>
              </w:rPr>
              <w:t xml:space="preserve">4 hours</w:t>
            </w:r>
          </w:p>
        </w:tc>
        <w:tc>
          <w:tcPr>
            <w:tcW w:type="dxa" w:w="2500"/>
            <w:shd w:fill="E9F7EF" w:color="E9F7EF" w:val="clear"/>
          </w:tcPr>
          <w:p>
            <w:pPr>
              <w:spacing w:after="60"/>
            </w:pPr>
            <w:r>
              <w:rPr>
                <w:sz w:val="20"/>
                <w:szCs w:val="20"/>
              </w:rPr>
              <w:t xml:space="preserve">Microsoft-managed geo-redundancy; Veeam backup of SharePoint to Azure Blob</w:t>
            </w:r>
          </w:p>
        </w:tc>
        <w:tc>
          <w:tcPr>
            <w:tcW w:type="dxa" w:w="1260"/>
            <w:shd w:fill="E9F7EF" w:color="E9F7EF" w:val="clear"/>
          </w:tcPr>
          <w:p>
            <w:pPr>
              <w:spacing w:after="60"/>
            </w:pPr>
            <w:r>
              <w:rPr>
                <w:sz w:val="20"/>
                <w:szCs w:val="20"/>
              </w:rPr>
              <w:t xml:space="preserve">Annual restore test</w:t>
            </w:r>
          </w:p>
        </w:tc>
      </w:tr>
      <w:tr>
        <w:tc>
          <w:tcPr>
            <w:tcW w:type="dxa" w:w="2800"/>
            <w:shd w:fill="FFFFFF" w:color="FFFFFF" w:val="clear"/>
          </w:tcPr>
          <w:p>
            <w:pPr>
              <w:spacing w:after="60"/>
            </w:pPr>
            <w:r>
              <w:rPr>
                <w:sz w:val="20"/>
                <w:szCs w:val="20"/>
              </w:rPr>
              <w:t xml:space="preserve">Internal Confluence/Jira (Atlassian Cloud)</w:t>
            </w:r>
          </w:p>
        </w:tc>
        <w:tc>
          <w:tcPr>
            <w:tcW w:type="dxa" w:w="1400"/>
            <w:shd w:fill="FFFFFF" w:color="FFFFFF" w:val="clear"/>
          </w:tcPr>
          <w:p>
            <w:pPr>
              <w:spacing w:after="60"/>
            </w:pPr>
            <w:r>
              <w:rPr>
                <w:sz w:val="20"/>
                <w:szCs w:val="20"/>
              </w:rPr>
              <w:t xml:space="preserve">Tier 3 — Standard</w:t>
            </w:r>
          </w:p>
        </w:tc>
        <w:tc>
          <w:tcPr>
            <w:tcW w:type="dxa" w:w="1200"/>
            <w:shd w:fill="FFFFFF" w:color="FFFFFF" w:val="clear"/>
          </w:tcPr>
          <w:p>
            <w:pPr>
              <w:spacing w:after="60"/>
            </w:pPr>
            <w:r>
              <w:rPr>
                <w:sz w:val="20"/>
                <w:szCs w:val="20"/>
              </w:rPr>
              <w:t xml:space="preserve">24 hours</w:t>
            </w:r>
          </w:p>
        </w:tc>
        <w:tc>
          <w:tcPr>
            <w:tcW w:type="dxa" w:w="1200"/>
            <w:shd w:fill="FFFFFF" w:color="FFFFFF" w:val="clear"/>
          </w:tcPr>
          <w:p>
            <w:pPr>
              <w:spacing w:after="60"/>
            </w:pPr>
            <w:r>
              <w:rPr>
                <w:sz w:val="20"/>
                <w:szCs w:val="20"/>
              </w:rPr>
              <w:t xml:space="preserve">24 hours</w:t>
            </w:r>
          </w:p>
        </w:tc>
        <w:tc>
          <w:tcPr>
            <w:tcW w:type="dxa" w:w="2500"/>
            <w:shd w:fill="FFFFFF" w:color="FFFFFF" w:val="clear"/>
          </w:tcPr>
          <w:p>
            <w:pPr>
              <w:spacing w:after="60"/>
            </w:pPr>
            <w:r>
              <w:rPr>
                <w:sz w:val="20"/>
                <w:szCs w:val="20"/>
              </w:rPr>
              <w:t xml:space="preserve">Atlassian Cloud-managed redundancy; OptiAgent weekly data export</w:t>
            </w:r>
          </w:p>
        </w:tc>
        <w:tc>
          <w:tcPr>
            <w:tcW w:type="dxa" w:w="1260"/>
            <w:shd w:fill="FFFFFF" w:color="FFFFFF" w:val="clear"/>
          </w:tcPr>
          <w:p>
            <w:pPr>
              <w:spacing w:after="60"/>
            </w:pPr>
            <w:r>
              <w:rPr>
                <w:sz w:val="20"/>
                <w:szCs w:val="20"/>
              </w:rPr>
              <w:t xml:space="preserve">Annual review</w:t>
            </w:r>
          </w:p>
        </w:tc>
      </w:tr>
      <w:tr>
        <w:tc>
          <w:tcPr>
            <w:tcW w:type="dxa" w:w="2800"/>
            <w:shd w:fill="E9F7EF" w:color="E9F7EF" w:val="clear"/>
          </w:tcPr>
          <w:p>
            <w:pPr>
              <w:spacing w:after="60"/>
            </w:pPr>
            <w:r>
              <w:rPr>
                <w:sz w:val="20"/>
                <w:szCs w:val="20"/>
              </w:rPr>
              <w:t xml:space="preserve">Office network (Cisco Meraki)</w:t>
            </w:r>
          </w:p>
        </w:tc>
        <w:tc>
          <w:tcPr>
            <w:tcW w:type="dxa" w:w="1400"/>
            <w:shd w:fill="E9F7EF" w:color="E9F7EF" w:val="clear"/>
          </w:tcPr>
          <w:p>
            <w:pPr>
              <w:spacing w:after="60"/>
            </w:pPr>
            <w:r>
              <w:rPr>
                <w:sz w:val="20"/>
                <w:szCs w:val="20"/>
              </w:rPr>
              <w:t xml:space="preserve">Tier 2 — Important</w:t>
            </w:r>
          </w:p>
        </w:tc>
        <w:tc>
          <w:tcPr>
            <w:tcW w:type="dxa" w:w="1200"/>
            <w:shd w:fill="E9F7EF" w:color="E9F7EF" w:val="clear"/>
          </w:tcPr>
          <w:p>
            <w:pPr>
              <w:spacing w:after="60"/>
            </w:pPr>
            <w:r>
              <w:rPr>
                <w:sz w:val="20"/>
                <w:szCs w:val="20"/>
              </w:rPr>
              <w:t xml:space="preserve">4 hours</w:t>
            </w:r>
          </w:p>
        </w:tc>
        <w:tc>
          <w:tcPr>
            <w:tcW w:type="dxa" w:w="1200"/>
            <w:shd w:fill="E9F7EF" w:color="E9F7EF" w:val="clear"/>
          </w:tcPr>
          <w:p>
            <w:pPr>
              <w:spacing w:after="60"/>
            </w:pPr>
            <w:r>
              <w:rPr>
                <w:sz w:val="20"/>
                <w:szCs w:val="20"/>
              </w:rPr>
              <w:t xml:space="preserve">N/A</w:t>
            </w:r>
          </w:p>
        </w:tc>
        <w:tc>
          <w:tcPr>
            <w:tcW w:type="dxa" w:w="2500"/>
            <w:shd w:fill="E9F7EF" w:color="E9F7EF" w:val="clear"/>
          </w:tcPr>
          <w:p>
            <w:pPr>
              <w:spacing w:after="60"/>
            </w:pPr>
            <w:r>
              <w:rPr>
                <w:sz w:val="20"/>
                <w:szCs w:val="20"/>
              </w:rPr>
              <w:t xml:space="preserve">SD-WAN auto-failover to 4G/5G backup link; remote access via ZPA unaffected by office outage</w:t>
            </w:r>
          </w:p>
        </w:tc>
        <w:tc>
          <w:tcPr>
            <w:tcW w:type="dxa" w:w="1260"/>
            <w:shd w:fill="E9F7EF" w:color="E9F7EF" w:val="clear"/>
          </w:tcPr>
          <w:p>
            <w:pPr>
              <w:spacing w:after="60"/>
            </w:pPr>
            <w:r>
              <w:rPr>
                <w:sz w:val="20"/>
                <w:szCs w:val="20"/>
              </w:rPr>
              <w:t xml:space="preserve">Semi-annual failover test</w:t>
            </w:r>
          </w:p>
        </w:tc>
      </w:tr>
    </w:tbl>
    <w:p>
      <w:pPr>
        <w:spacing w:after="80"/>
      </w:pPr>
      <w:r>
        <w:t xml:space="preserve"/>
      </w:r>
    </w:p>
    <w:p>
      <w:pPr>
        <w:pStyle w:val="Heading2"/>
        <w:spacing w:after="150" w:before="300"/>
      </w:pPr>
      <w:r>
        <w:t xml:space="preserve">13.2 DR Testing Schedule</w:t>
      </w:r>
    </w:p>
    <w:p>
      <w:pPr>
        <w:spacing w:after="120" w:line="276"/>
      </w:pPr>
      <w:r>
        <w:rPr>
          <w:sz w:val="22"/>
          <w:szCs w:val="22"/>
        </w:rPr>
        <w:t xml:space="preserve">Business Continuity and Disaster Recovery tests are conducted per the schedule in the table above. All test results are documented in the DR Test Report template (available in the Security Confluence space) and reviewed by the CISO and VP IT. Failed tests generate Problem records in ServiceNow with remediation due dates. The annual full DR test result is shared with the Board Audit Committee.</w:t>
      </w:r>
    </w:p>
    <w:p>
      <w:pPr>
        <w:pStyle w:val="Heading2"/>
        <w:spacing w:after="150" w:before="300"/>
      </w:pPr>
      <w:r>
        <w:t xml:space="preserve">13.3 Backup Policy</w:t>
      </w:r>
    </w:p>
    <w:p>
      <w:pPr>
        <w:spacing w:after="120" w:line="276"/>
      </w:pPr>
      <w:r>
        <w:rPr>
          <w:sz w:val="22"/>
          <w:szCs w:val="22"/>
        </w:rPr>
        <w:t xml:space="preserve">Backup requirements for all data:</w:t>
      </w:r>
    </w:p>
    <w:p>
      <w:pPr>
        <w:pStyle w:val="ListParagraph"/>
        <w:numPr>
          <w:ilvl w:val="0"/>
          <w:numId w:val="1"/>
        </w:numPr>
        <w:spacing w:after="80"/>
      </w:pPr>
      <w:r>
        <w:rPr>
          <w:sz w:val="22"/>
          <w:szCs w:val="22"/>
        </w:rPr>
        <w:t xml:space="preserve">Tier 1 (Restricted data in production): Continuous replication + point-in-time recovery (15-minute RPO); cross-region backup; encryption at rest (AES-256) and in transit (TLS 1.2+)</w:t>
      </w:r>
    </w:p>
    <w:p>
      <w:pPr>
        <w:pStyle w:val="ListParagraph"/>
        <w:numPr>
          <w:ilvl w:val="0"/>
          <w:numId w:val="1"/>
        </w:numPr>
        <w:spacing w:after="80"/>
      </w:pPr>
      <w:r>
        <w:rPr>
          <w:sz w:val="22"/>
          <w:szCs w:val="22"/>
        </w:rPr>
        <w:t xml:space="preserve">Tier 2 (Confidential data): Daily backup; 30-day retention; cross-region; encrypted</w:t>
      </w:r>
    </w:p>
    <w:p>
      <w:pPr>
        <w:pStyle w:val="ListParagraph"/>
        <w:numPr>
          <w:ilvl w:val="0"/>
          <w:numId w:val="1"/>
        </w:numPr>
        <w:spacing w:after="80"/>
      </w:pPr>
      <w:r>
        <w:rPr>
          <w:sz w:val="22"/>
          <w:szCs w:val="22"/>
        </w:rPr>
        <w:t xml:space="preserve">Tier 3 (Internal data): Daily backup; 14-day retention; same-region acceptable; encrypted</w:t>
      </w:r>
    </w:p>
    <w:p>
      <w:pPr>
        <w:pStyle w:val="ListParagraph"/>
        <w:numPr>
          <w:ilvl w:val="0"/>
          <w:numId w:val="1"/>
        </w:numPr>
        <w:spacing w:after="80"/>
      </w:pPr>
      <w:r>
        <w:rPr>
          <w:sz w:val="22"/>
          <w:szCs w:val="22"/>
        </w:rPr>
        <w:t xml:space="preserve">Backup integrity: Monthly restore tests; automated checksum verification</w:t>
      </w:r>
    </w:p>
    <w:p>
      <w:pPr>
        <w:pStyle w:val="ListParagraph"/>
        <w:numPr>
          <w:ilvl w:val="0"/>
          <w:numId w:val="1"/>
        </w:numPr>
        <w:spacing w:after="80"/>
      </w:pPr>
      <w:r>
        <w:rPr>
          <w:sz w:val="22"/>
          <w:szCs w:val="22"/>
        </w:rPr>
        <w:t xml:space="preserve">Immutable backups: Production database backups use AWS Backup Vault with Vault Lock (write-once) to protect against ransomware deletion</w:t>
      </w:r>
    </w:p>
    <w:p>
      <w:r>
        <w:br w:type="page"/>
      </w:r>
    </w:p>
    <w:p>
      <w:pPr>
        <w:pStyle w:val="Heading1"/>
        <w:spacing w:after="200" w:before="400"/>
      </w:pPr>
      <w:r>
        <w:t xml:space="preserve">14. Vendor &amp; Third-Party IT Risk Management</w:t>
      </w:r>
    </w:p>
    <w:p>
      <w:pPr>
        <w:pStyle w:val="Heading2"/>
        <w:spacing w:after="150" w:before="300"/>
      </w:pPr>
      <w:r>
        <w:t xml:space="preserve">14.1 Vendor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800"/>
        <w:gridCol w:w="1760"/>
      </w:tblGrid>
      <w:tr>
        <w:tc>
          <w:tcPr>
            <w:tcW w:type="dxa" w:w="1200"/>
            <w:shd w:fill="145A32" w:color="145A32" w:val="clear"/>
          </w:tcPr>
          <w:p>
            <w:pPr>
              <w:spacing w:after="60"/>
            </w:pPr>
            <w:r>
              <w:rPr>
                <w:b/>
                <w:bCs/>
                <w:color w:val="FFFFFF"/>
                <w:sz w:val="20"/>
                <w:szCs w:val="20"/>
              </w:rPr>
              <w:t xml:space="preserve">Tier</w:t>
            </w:r>
          </w:p>
        </w:tc>
        <w:tc>
          <w:tcPr>
            <w:tcW w:type="dxa" w:w="2400"/>
            <w:shd w:fill="145A32" w:color="145A32" w:val="clear"/>
          </w:tcPr>
          <w:p>
            <w:pPr>
              <w:spacing w:after="60"/>
            </w:pPr>
            <w:r>
              <w:rPr>
                <w:b/>
                <w:bCs/>
                <w:color w:val="FFFFFF"/>
                <w:sz w:val="20"/>
                <w:szCs w:val="20"/>
              </w:rPr>
              <w:t xml:space="preserve">Definition</w:t>
            </w:r>
          </w:p>
        </w:tc>
        <w:tc>
          <w:tcPr>
            <w:tcW w:type="dxa" w:w="2200"/>
            <w:shd w:fill="145A32" w:color="145A32" w:val="clear"/>
          </w:tcPr>
          <w:p>
            <w:pPr>
              <w:spacing w:after="60"/>
            </w:pPr>
            <w:r>
              <w:rPr>
                <w:b/>
                <w:bCs/>
                <w:color w:val="FFFFFF"/>
                <w:sz w:val="20"/>
                <w:szCs w:val="20"/>
              </w:rPr>
              <w:t xml:space="preserve">Examples</w:t>
            </w:r>
          </w:p>
        </w:tc>
        <w:tc>
          <w:tcPr>
            <w:tcW w:type="dxa" w:w="2800"/>
            <w:shd w:fill="145A32" w:color="145A32" w:val="clear"/>
          </w:tcPr>
          <w:p>
            <w:pPr>
              <w:spacing w:after="60"/>
            </w:pPr>
            <w:r>
              <w:rPr>
                <w:b/>
                <w:bCs/>
                <w:color w:val="FFFFFF"/>
                <w:sz w:val="20"/>
                <w:szCs w:val="20"/>
              </w:rPr>
              <w:t xml:space="preserve">Due Diligence Required</w:t>
            </w:r>
          </w:p>
        </w:tc>
        <w:tc>
          <w:tcPr>
            <w:tcW w:type="dxa" w:w="1760"/>
            <w:shd w:fill="145A32" w:color="145A32" w:val="clear"/>
          </w:tcPr>
          <w:p>
            <w:pPr>
              <w:spacing w:after="60"/>
            </w:pPr>
            <w:r>
              <w:rPr>
                <w:b/>
                <w:bCs/>
                <w:color w:val="FFFFFF"/>
                <w:sz w:val="20"/>
                <w:szCs w:val="20"/>
              </w:rPr>
              <w:t xml:space="preserve">Review Frequency</w:t>
            </w:r>
          </w:p>
        </w:tc>
      </w:tr>
      <w:tr>
        <w:tc>
          <w:tcPr>
            <w:tcW w:type="dxa" w:w="1200"/>
            <w:shd w:fill="E9F7EF" w:color="E9F7EF" w:val="clear"/>
          </w:tcPr>
          <w:p>
            <w:pPr>
              <w:spacing w:after="60"/>
            </w:pPr>
            <w:r>
              <w:rPr>
                <w:sz w:val="20"/>
                <w:szCs w:val="20"/>
              </w:rPr>
              <w:t xml:space="preserve">Tier 1 — Critical</w:t>
            </w:r>
          </w:p>
        </w:tc>
        <w:tc>
          <w:tcPr>
            <w:tcW w:type="dxa" w:w="2400"/>
            <w:shd w:fill="E9F7EF" w:color="E9F7EF" w:val="clear"/>
          </w:tcPr>
          <w:p>
            <w:pPr>
              <w:spacing w:after="60"/>
            </w:pPr>
            <w:r>
              <w:rPr>
                <w:sz w:val="20"/>
                <w:szCs w:val="20"/>
              </w:rPr>
              <w:t xml:space="preserve">Vendor outage would directly cause a production outage or data breach; vendor has access to Restricted data</w:t>
            </w:r>
          </w:p>
        </w:tc>
        <w:tc>
          <w:tcPr>
            <w:tcW w:type="dxa" w:w="2200"/>
            <w:shd w:fill="E9F7EF" w:color="E9F7EF" w:val="clear"/>
          </w:tcPr>
          <w:p>
            <w:pPr>
              <w:spacing w:after="60"/>
            </w:pPr>
            <w:r>
              <w:rPr>
                <w:sz w:val="20"/>
                <w:szCs w:val="20"/>
              </w:rPr>
              <w:t xml:space="preserve">AWS, Okta, GitHub, Cloudflare, Salesforce, NetSuite</w:t>
            </w:r>
          </w:p>
        </w:tc>
        <w:tc>
          <w:tcPr>
            <w:tcW w:type="dxa" w:w="2800"/>
            <w:shd w:fill="E9F7EF" w:color="E9F7EF" w:val="clear"/>
          </w:tcPr>
          <w:p>
            <w:pPr>
              <w:spacing w:after="60"/>
            </w:pPr>
            <w:r>
              <w:rPr>
                <w:sz w:val="20"/>
                <w:szCs w:val="20"/>
              </w:rPr>
              <w:t xml:space="preserve">Full security questionnaire; SOC 2 review; penetration test results; DPA; on-site/virtual assessment for largest</w:t>
            </w:r>
          </w:p>
        </w:tc>
        <w:tc>
          <w:tcPr>
            <w:tcW w:type="dxa" w:w="1760"/>
            <w:shd w:fill="E9F7EF" w:color="E9F7EF" w:val="clear"/>
          </w:tcPr>
          <w:p>
            <w:pPr>
              <w:spacing w:after="60"/>
            </w:pPr>
            <w:r>
              <w:rPr>
                <w:sz w:val="20"/>
                <w:szCs w:val="20"/>
              </w:rPr>
              <w:t xml:space="preserve">Annual</w:t>
            </w:r>
          </w:p>
        </w:tc>
      </w:tr>
      <w:tr>
        <w:tc>
          <w:tcPr>
            <w:tcW w:type="dxa" w:w="1200"/>
            <w:shd w:fill="FFFFFF" w:color="FFFFFF" w:val="clear"/>
          </w:tcPr>
          <w:p>
            <w:pPr>
              <w:spacing w:after="60"/>
            </w:pPr>
            <w:r>
              <w:rPr>
                <w:sz w:val="20"/>
                <w:szCs w:val="20"/>
              </w:rPr>
              <w:t xml:space="preserve">Tier 2 — Important</w:t>
            </w:r>
          </w:p>
        </w:tc>
        <w:tc>
          <w:tcPr>
            <w:tcW w:type="dxa" w:w="2400"/>
            <w:shd w:fill="FFFFFF" w:color="FFFFFF" w:val="clear"/>
          </w:tcPr>
          <w:p>
            <w:pPr>
              <w:spacing w:after="60"/>
            </w:pPr>
            <w:r>
              <w:rPr>
                <w:sz w:val="20"/>
                <w:szCs w:val="20"/>
              </w:rPr>
              <w:t xml:space="preserve">Vendor handles Confidential data or significant business process; limited Restricted data access</w:t>
            </w:r>
          </w:p>
        </w:tc>
        <w:tc>
          <w:tcPr>
            <w:tcW w:type="dxa" w:w="2200"/>
            <w:shd w:fill="FFFFFF" w:color="FFFFFF" w:val="clear"/>
          </w:tcPr>
          <w:p>
            <w:pPr>
              <w:spacing w:after="60"/>
            </w:pPr>
            <w:r>
              <w:rPr>
                <w:sz w:val="20"/>
                <w:szCs w:val="20"/>
              </w:rPr>
              <w:t xml:space="preserve">Workday, ServiceNow, Atlassian, Datadog, Snyk, Slack, Zoom</w:t>
            </w:r>
          </w:p>
        </w:tc>
        <w:tc>
          <w:tcPr>
            <w:tcW w:type="dxa" w:w="2800"/>
            <w:shd w:fill="FFFFFF" w:color="FFFFFF" w:val="clear"/>
          </w:tcPr>
          <w:p>
            <w:pPr>
              <w:spacing w:after="60"/>
            </w:pPr>
            <w:r>
              <w:rPr>
                <w:sz w:val="20"/>
                <w:szCs w:val="20"/>
              </w:rPr>
              <w:t xml:space="preserve">Security questionnaire; SOC 2 review; DPA; legal contract review</w:t>
            </w:r>
          </w:p>
        </w:tc>
        <w:tc>
          <w:tcPr>
            <w:tcW w:type="dxa" w:w="1760"/>
            <w:shd w:fill="FFFFFF" w:color="FFFFFF" w:val="clear"/>
          </w:tcPr>
          <w:p>
            <w:pPr>
              <w:spacing w:after="60"/>
            </w:pPr>
            <w:r>
              <w:rPr>
                <w:sz w:val="20"/>
                <w:szCs w:val="20"/>
              </w:rPr>
              <w:t xml:space="preserve">Annual</w:t>
            </w:r>
          </w:p>
        </w:tc>
      </w:tr>
      <w:tr>
        <w:tc>
          <w:tcPr>
            <w:tcW w:type="dxa" w:w="1200"/>
            <w:shd w:fill="E9F7EF" w:color="E9F7EF" w:val="clear"/>
          </w:tcPr>
          <w:p>
            <w:pPr>
              <w:spacing w:after="60"/>
            </w:pPr>
            <w:r>
              <w:rPr>
                <w:sz w:val="20"/>
                <w:szCs w:val="20"/>
              </w:rPr>
              <w:t xml:space="preserve">Tier 3 — Standard</w:t>
            </w:r>
          </w:p>
        </w:tc>
        <w:tc>
          <w:tcPr>
            <w:tcW w:type="dxa" w:w="2400"/>
            <w:shd w:fill="E9F7EF" w:color="E9F7EF" w:val="clear"/>
          </w:tcPr>
          <w:p>
            <w:pPr>
              <w:spacing w:after="60"/>
            </w:pPr>
            <w:r>
              <w:rPr>
                <w:sz w:val="20"/>
                <w:szCs w:val="20"/>
              </w:rPr>
              <w:t xml:space="preserve">Vendor provides business tools; no Confidential or Restricted data access</w:t>
            </w:r>
          </w:p>
        </w:tc>
        <w:tc>
          <w:tcPr>
            <w:tcW w:type="dxa" w:w="2200"/>
            <w:shd w:fill="E9F7EF" w:color="E9F7EF" w:val="clear"/>
          </w:tcPr>
          <w:p>
            <w:pPr>
              <w:spacing w:after="60"/>
            </w:pPr>
            <w:r>
              <w:rPr>
                <w:sz w:val="20"/>
                <w:szCs w:val="20"/>
              </w:rPr>
              <w:t xml:space="preserve">LinkedIn Learning, Grammarly Business, minor SaaS tools</w:t>
            </w:r>
          </w:p>
        </w:tc>
        <w:tc>
          <w:tcPr>
            <w:tcW w:type="dxa" w:w="2800"/>
            <w:shd w:fill="E9F7EF" w:color="E9F7EF" w:val="clear"/>
          </w:tcPr>
          <w:p>
            <w:pPr>
              <w:spacing w:after="60"/>
            </w:pPr>
            <w:r>
              <w:rPr>
                <w:sz w:val="20"/>
                <w:szCs w:val="20"/>
              </w:rPr>
              <w:t xml:space="preserve">Standard vendor intake form; basic security review; privacy policy review</w:t>
            </w:r>
          </w:p>
        </w:tc>
        <w:tc>
          <w:tcPr>
            <w:tcW w:type="dxa" w:w="1760"/>
            <w:shd w:fill="E9F7EF" w:color="E9F7EF" w:val="clear"/>
          </w:tcPr>
          <w:p>
            <w:pPr>
              <w:spacing w:after="60"/>
            </w:pPr>
            <w:r>
              <w:rPr>
                <w:sz w:val="20"/>
                <w:szCs w:val="20"/>
              </w:rPr>
              <w:t xml:space="preserve">Every 2 years</w:t>
            </w:r>
          </w:p>
        </w:tc>
      </w:tr>
    </w:tbl>
    <w:p>
      <w:pPr>
        <w:spacing w:after="80"/>
      </w:pPr>
      <w:r>
        <w:t xml:space="preserve"/>
      </w:r>
    </w:p>
    <w:p>
      <w:pPr>
        <w:pStyle w:val="Heading2"/>
        <w:spacing w:after="150" w:before="300"/>
      </w:pPr>
      <w:r>
        <w:t xml:space="preserve">14.2 Vendor Security Assessment</w:t>
      </w:r>
    </w:p>
    <w:p>
      <w:pPr>
        <w:spacing w:after="120" w:line="276"/>
      </w:pPr>
      <w:r>
        <w:rPr>
          <w:sz w:val="22"/>
          <w:szCs w:val="22"/>
        </w:rPr>
        <w:t xml:space="preserve">All Tier 1 and Tier 2 vendors must complete the OptiAgent Vendor Security Questionnaire (based on the CAIQ — Consensus Assessment Initiative Questionnaire from the Cloud Security Alliance) before go-live. The questionnaire covers:</w:t>
      </w:r>
    </w:p>
    <w:p>
      <w:pPr>
        <w:pStyle w:val="ListParagraph"/>
        <w:numPr>
          <w:ilvl w:val="0"/>
          <w:numId w:val="1"/>
        </w:numPr>
        <w:spacing w:after="80"/>
      </w:pPr>
      <w:r>
        <w:rPr>
          <w:sz w:val="22"/>
          <w:szCs w:val="22"/>
        </w:rPr>
        <w:t xml:space="preserve">Data handling and classification</w:t>
      </w:r>
    </w:p>
    <w:p>
      <w:pPr>
        <w:pStyle w:val="ListParagraph"/>
        <w:numPr>
          <w:ilvl w:val="0"/>
          <w:numId w:val="1"/>
        </w:numPr>
        <w:spacing w:after="80"/>
      </w:pPr>
      <w:r>
        <w:rPr>
          <w:sz w:val="22"/>
          <w:szCs w:val="22"/>
        </w:rPr>
        <w:t xml:space="preserve">Access controls and IAM practices</w:t>
      </w:r>
    </w:p>
    <w:p>
      <w:pPr>
        <w:pStyle w:val="ListParagraph"/>
        <w:numPr>
          <w:ilvl w:val="0"/>
          <w:numId w:val="1"/>
        </w:numPr>
        <w:spacing w:after="80"/>
      </w:pPr>
      <w:r>
        <w:rPr>
          <w:sz w:val="22"/>
          <w:szCs w:val="22"/>
        </w:rPr>
        <w:t xml:space="preserve">Encryption standards (at rest and in transit)</w:t>
      </w:r>
    </w:p>
    <w:p>
      <w:pPr>
        <w:pStyle w:val="ListParagraph"/>
        <w:numPr>
          <w:ilvl w:val="0"/>
          <w:numId w:val="1"/>
        </w:numPr>
        <w:spacing w:after="80"/>
      </w:pPr>
      <w:r>
        <w:rPr>
          <w:sz w:val="22"/>
          <w:szCs w:val="22"/>
        </w:rPr>
        <w:t xml:space="preserve">Incident notification commitments (must commit to notifying OptiAgent within 72 hours of a breach)</w:t>
      </w:r>
    </w:p>
    <w:p>
      <w:pPr>
        <w:pStyle w:val="ListParagraph"/>
        <w:numPr>
          <w:ilvl w:val="0"/>
          <w:numId w:val="1"/>
        </w:numPr>
        <w:spacing w:after="80"/>
      </w:pPr>
      <w:r>
        <w:rPr>
          <w:sz w:val="22"/>
          <w:szCs w:val="22"/>
        </w:rPr>
        <w:t xml:space="preserve">Business continuity and DR capabilities</w:t>
      </w:r>
    </w:p>
    <w:p>
      <w:pPr>
        <w:pStyle w:val="ListParagraph"/>
        <w:numPr>
          <w:ilvl w:val="0"/>
          <w:numId w:val="1"/>
        </w:numPr>
        <w:spacing w:after="80"/>
      </w:pPr>
      <w:r>
        <w:rPr>
          <w:sz w:val="22"/>
          <w:szCs w:val="22"/>
        </w:rPr>
        <w:t xml:space="preserve">Subprocessor / fourth-party list</w:t>
      </w:r>
    </w:p>
    <w:p>
      <w:pPr>
        <w:pStyle w:val="ListParagraph"/>
        <w:numPr>
          <w:ilvl w:val="0"/>
          <w:numId w:val="1"/>
        </w:numPr>
        <w:spacing w:after="80"/>
      </w:pPr>
      <w:r>
        <w:rPr>
          <w:sz w:val="22"/>
          <w:szCs w:val="22"/>
        </w:rPr>
        <w:t xml:space="preserve">Compliance certifications (ISO 27001, SOC 2, GDPR, etc.)</w:t>
      </w:r>
    </w:p>
    <w:p>
      <w:pPr>
        <w:pStyle w:val="Heading2"/>
        <w:spacing w:after="150" w:before="300"/>
      </w:pPr>
      <w:r>
        <w:t xml:space="preserve">14.3 Vendor Offboarding</w:t>
      </w:r>
    </w:p>
    <w:p>
      <w:pPr>
        <w:spacing w:after="120" w:line="276"/>
      </w:pPr>
      <w:r>
        <w:rPr>
          <w:sz w:val="22"/>
          <w:szCs w:val="22"/>
        </w:rPr>
        <w:t xml:space="preserve">When a vendor relationship ends (contract expiry, termination, or replacement), IT must ensure: all OptiAgent data is deleted or returned per the contract terms; access credentials are revoked; API keys are rotated; any SSO integration is removed from Okta; and the vendor is removed from the approved vendor list in NetSuite. The vendor offboarding checklist is in ServiceNow.</w:t>
      </w:r>
    </w:p>
    <w:p>
      <w:r>
        <w:br w:type="page"/>
      </w:r>
    </w:p>
    <w:p>
      <w:pPr>
        <w:pStyle w:val="Heading1"/>
        <w:spacing w:after="200" w:before="400"/>
      </w:pPr>
      <w:r>
        <w:t xml:space="preserve">15. IT Procurement Policy</w:t>
      </w:r>
    </w:p>
    <w:p>
      <w:pPr>
        <w:pStyle w:val="Heading2"/>
        <w:spacing w:after="150" w:before="300"/>
      </w:pPr>
      <w:r>
        <w:t xml:space="preserve">15.1 IT Procurement Process</w:t>
      </w:r>
    </w:p>
    <w:p>
      <w:pPr>
        <w:spacing w:after="120" w:line="276"/>
      </w:pPr>
      <w:r>
        <w:rPr>
          <w:sz w:val="22"/>
          <w:szCs w:val="22"/>
        </w:rPr>
        <w:t xml:space="preserve">All IT hardware and software purchases must follow the IT Procurement process:</w:t>
      </w:r>
    </w:p>
    <w:p>
      <w:pPr>
        <w:pStyle w:val="ListParagraph"/>
        <w:numPr>
          <w:ilvl w:val="0"/>
          <w:numId w:val="1"/>
        </w:numPr>
        <w:spacing w:after="80"/>
      </w:pPr>
      <w:r>
        <w:rPr>
          <w:sz w:val="22"/>
          <w:szCs w:val="22"/>
        </w:rPr>
        <w:t xml:space="preserve">Step 1: Employee submits a Software or Hardware Request via ServiceNow</w:t>
      </w:r>
    </w:p>
    <w:p>
      <w:pPr>
        <w:pStyle w:val="ListParagraph"/>
        <w:numPr>
          <w:ilvl w:val="0"/>
          <w:numId w:val="1"/>
        </w:numPr>
        <w:spacing w:after="80"/>
      </w:pPr>
      <w:r>
        <w:rPr>
          <w:sz w:val="22"/>
          <w:szCs w:val="22"/>
        </w:rPr>
        <w:t xml:space="preserve">Step 2: IT Security reviews the request for security compatibility (SSO integration, data classification, encryption standards)</w:t>
      </w:r>
    </w:p>
    <w:p>
      <w:pPr>
        <w:pStyle w:val="ListParagraph"/>
        <w:numPr>
          <w:ilvl w:val="0"/>
          <w:numId w:val="1"/>
        </w:numPr>
        <w:spacing w:after="80"/>
      </w:pPr>
      <w:r>
        <w:rPr>
          <w:sz w:val="22"/>
          <w:szCs w:val="22"/>
        </w:rPr>
        <w:t xml:space="preserve">Step 3: IT Asset Manager checks for existing licenses or equipment that could fulfill the need</w:t>
      </w:r>
    </w:p>
    <w:p>
      <w:pPr>
        <w:pStyle w:val="ListParagraph"/>
        <w:numPr>
          <w:ilvl w:val="0"/>
          <w:numId w:val="1"/>
        </w:numPr>
        <w:spacing w:after="80"/>
      </w:pPr>
      <w:r>
        <w:rPr>
          <w:sz w:val="22"/>
          <w:szCs w:val="22"/>
        </w:rPr>
        <w:t xml:space="preserve">Step 4: IT Procurement Lead engages vendor for pricing; obtains 3 quotes for purchases above USD 10K</w:t>
      </w:r>
    </w:p>
    <w:p>
      <w:pPr>
        <w:pStyle w:val="ListParagraph"/>
        <w:numPr>
          <w:ilvl w:val="0"/>
          <w:numId w:val="1"/>
        </w:numPr>
        <w:spacing w:after="80"/>
      </w:pPr>
      <w:r>
        <w:rPr>
          <w:sz w:val="22"/>
          <w:szCs w:val="22"/>
        </w:rPr>
        <w:t xml:space="preserve">Step 5: Finance approves PO per the Financial Authority Matrix (Finance_Policy.docx Section 2.2)</w:t>
      </w:r>
    </w:p>
    <w:p>
      <w:pPr>
        <w:pStyle w:val="ListParagraph"/>
        <w:numPr>
          <w:ilvl w:val="0"/>
          <w:numId w:val="1"/>
        </w:numPr>
        <w:spacing w:after="80"/>
      </w:pPr>
      <w:r>
        <w:rPr>
          <w:sz w:val="22"/>
          <w:szCs w:val="22"/>
        </w:rPr>
        <w:t xml:space="preserve">Step 6: Legal reviews contract terms for SaaS tools above USD 50K or any tool with DPA requirements</w:t>
      </w:r>
    </w:p>
    <w:p>
      <w:pPr>
        <w:pStyle w:val="ListParagraph"/>
        <w:numPr>
          <w:ilvl w:val="0"/>
          <w:numId w:val="1"/>
        </w:numPr>
        <w:spacing w:after="80"/>
      </w:pPr>
      <w:r>
        <w:rPr>
          <w:sz w:val="22"/>
          <w:szCs w:val="22"/>
        </w:rPr>
        <w:t xml:space="preserve">Step 7: Purchase order raised in NetSuite; delivery/provisioning tracked in ServiceNow</w:t>
      </w:r>
    </w:p>
    <w:p>
      <w:pPr>
        <w:spacing w:after="120" w:line="276"/>
      </w:pPr>
      <w:r>
        <w:rPr>
          <w:sz w:val="22"/>
          <w:szCs w:val="22"/>
        </w:rPr>
        <w:t xml:space="preserve">No employee may procure IT goods or services on a personal or corporate card and expense them without first completing Steps 1–4 above. This is to ensure security review, license optimization, and budget compliance. Violations are reported to Finance and the employee's manager.</w:t>
      </w:r>
    </w:p>
    <w:p>
      <w:pPr>
        <w:pStyle w:val="Heading2"/>
        <w:spacing w:after="150" w:before="300"/>
      </w:pPr>
      <w:r>
        <w:t xml:space="preserve">15.2 SaaS Renewal Management</w:t>
      </w:r>
    </w:p>
    <w:p>
      <w:pPr>
        <w:spacing w:after="120" w:line="276"/>
      </w:pPr>
      <w:r>
        <w:rPr>
          <w:sz w:val="22"/>
          <w:szCs w:val="22"/>
        </w:rPr>
        <w:t xml:space="preserve">The IT Procurement Lead maintains a SaaS Renewal Calendar in ServiceNow with all contract renewal dates. Reviews begin 90 days before renewal for contracts above USD 50K and 30 days before for contracts below. Renewals above the manager's FAM authority follow the approval process in Finance_Policy.docx Section 2. Auto-renewal clauses must be flagged for Director+ review at least 60 days before they activate.</w:t>
      </w:r>
    </w:p>
    <w:p>
      <w:r>
        <w:br w:type="page"/>
      </w:r>
    </w:p>
    <w:p>
      <w:pPr>
        <w:pStyle w:val="Heading1"/>
        <w:spacing w:after="200" w:before="400"/>
      </w:pPr>
      <w:r>
        <w:t xml:space="preserve">16. Data Governance &amp; Architecture Standards</w:t>
      </w:r>
    </w:p>
    <w:p>
      <w:pPr>
        <w:pStyle w:val="Heading2"/>
        <w:spacing w:after="150" w:before="300"/>
      </w:pPr>
      <w:r>
        <w:t xml:space="preserve">16.1 Data Classification (IT Implementation)</w:t>
      </w:r>
    </w:p>
    <w:p>
      <w:pPr>
        <w:spacing w:after="120" w:line="276"/>
      </w:pPr>
      <w:r>
        <w:rPr>
          <w:sz w:val="22"/>
          <w:szCs w:val="22"/>
        </w:rPr>
        <w:t xml:space="preserve">The four-tier data classification (Restricted, Confidential, Internal, Public) defined in Company Policy (OAT-CP-001) Section 8 is implemented in IT systems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600"/>
        <w:gridCol w:w="1800"/>
        <w:gridCol w:w="1560"/>
      </w:tblGrid>
      <w:tr>
        <w:tc>
          <w:tcPr>
            <w:tcW w:type="dxa" w:w="1600"/>
            <w:shd w:fill="145A32" w:color="145A32" w:val="clear"/>
          </w:tcPr>
          <w:p>
            <w:pPr>
              <w:spacing w:after="60"/>
            </w:pPr>
            <w:r>
              <w:rPr>
                <w:b/>
                <w:bCs/>
                <w:color w:val="FFFFFF"/>
                <w:sz w:val="20"/>
                <w:szCs w:val="20"/>
              </w:rPr>
              <w:t xml:space="preserve">Classification</w:t>
            </w:r>
          </w:p>
        </w:tc>
        <w:tc>
          <w:tcPr>
            <w:tcW w:type="dxa" w:w="1800"/>
            <w:shd w:fill="145A32" w:color="145A32" w:val="clear"/>
          </w:tcPr>
          <w:p>
            <w:pPr>
              <w:spacing w:after="60"/>
            </w:pPr>
            <w:r>
              <w:rPr>
                <w:b/>
                <w:bCs/>
                <w:color w:val="FFFFFF"/>
                <w:sz w:val="20"/>
                <w:szCs w:val="20"/>
              </w:rPr>
              <w:t xml:space="preserve">Encryption at Rest</w:t>
            </w:r>
          </w:p>
        </w:tc>
        <w:tc>
          <w:tcPr>
            <w:tcW w:type="dxa" w:w="2000"/>
            <w:shd w:fill="145A32" w:color="145A32" w:val="clear"/>
          </w:tcPr>
          <w:p>
            <w:pPr>
              <w:spacing w:after="60"/>
            </w:pPr>
            <w:r>
              <w:rPr>
                <w:b/>
                <w:bCs/>
                <w:color w:val="FFFFFF"/>
                <w:sz w:val="20"/>
                <w:szCs w:val="20"/>
              </w:rPr>
              <w:t xml:space="preserve">Encryption in Transit</w:t>
            </w:r>
          </w:p>
        </w:tc>
        <w:tc>
          <w:tcPr>
            <w:tcW w:type="dxa" w:w="2600"/>
            <w:shd w:fill="145A32" w:color="145A32" w:val="clear"/>
          </w:tcPr>
          <w:p>
            <w:pPr>
              <w:spacing w:after="60"/>
            </w:pPr>
            <w:r>
              <w:rPr>
                <w:b/>
                <w:bCs/>
                <w:color w:val="FFFFFF"/>
                <w:sz w:val="20"/>
                <w:szCs w:val="20"/>
              </w:rPr>
              <w:t xml:space="preserve">Access Control</w:t>
            </w:r>
          </w:p>
        </w:tc>
        <w:tc>
          <w:tcPr>
            <w:tcW w:type="dxa" w:w="1800"/>
            <w:shd w:fill="145A32" w:color="145A32" w:val="clear"/>
          </w:tcPr>
          <w:p>
            <w:pPr>
              <w:spacing w:after="60"/>
            </w:pPr>
            <w:r>
              <w:rPr>
                <w:b/>
                <w:bCs/>
                <w:color w:val="FFFFFF"/>
                <w:sz w:val="20"/>
                <w:szCs w:val="20"/>
              </w:rPr>
              <w:t xml:space="preserve">Logging</w:t>
            </w:r>
          </w:p>
        </w:tc>
        <w:tc>
          <w:tcPr>
            <w:tcW w:type="dxa" w:w="1560"/>
            <w:shd w:fill="145A32" w:color="145A32" w:val="clear"/>
          </w:tcPr>
          <w:p>
            <w:pPr>
              <w:spacing w:after="60"/>
            </w:pPr>
            <w:r>
              <w:rPr>
                <w:b/>
                <w:bCs/>
                <w:color w:val="FFFFFF"/>
                <w:sz w:val="20"/>
                <w:szCs w:val="20"/>
              </w:rPr>
              <w:t xml:space="preserve">Backup</w:t>
            </w:r>
          </w:p>
        </w:tc>
      </w:tr>
      <w:tr>
        <w:tc>
          <w:tcPr>
            <w:tcW w:type="dxa" w:w="1600"/>
            <w:shd w:fill="E9F7EF" w:color="E9F7EF" w:val="clear"/>
          </w:tcPr>
          <w:p>
            <w:pPr>
              <w:spacing w:after="60"/>
            </w:pPr>
            <w:r>
              <w:rPr>
                <w:sz w:val="20"/>
                <w:szCs w:val="20"/>
              </w:rPr>
              <w:t xml:space="preserve">Restricted</w:t>
            </w:r>
          </w:p>
        </w:tc>
        <w:tc>
          <w:tcPr>
            <w:tcW w:type="dxa" w:w="1800"/>
            <w:shd w:fill="E9F7EF" w:color="E9F7EF" w:val="clear"/>
          </w:tcPr>
          <w:p>
            <w:pPr>
              <w:spacing w:after="60"/>
            </w:pPr>
            <w:r>
              <w:rPr>
                <w:sz w:val="20"/>
                <w:szCs w:val="20"/>
              </w:rPr>
              <w:t xml:space="preserve">AES-256 (AWS KMS CMK); database-level encryption</w:t>
            </w:r>
          </w:p>
        </w:tc>
        <w:tc>
          <w:tcPr>
            <w:tcW w:type="dxa" w:w="2000"/>
            <w:shd w:fill="E9F7EF" w:color="E9F7EF" w:val="clear"/>
          </w:tcPr>
          <w:p>
            <w:pPr>
              <w:spacing w:after="60"/>
            </w:pPr>
            <w:r>
              <w:rPr>
                <w:sz w:val="20"/>
                <w:szCs w:val="20"/>
              </w:rPr>
              <w:t xml:space="preserve">TLS 1.2 minimum; TLS 1.3 preferred</w:t>
            </w:r>
          </w:p>
        </w:tc>
        <w:tc>
          <w:tcPr>
            <w:tcW w:type="dxa" w:w="2600"/>
            <w:shd w:fill="E9F7EF" w:color="E9F7EF" w:val="clear"/>
          </w:tcPr>
          <w:p>
            <w:pPr>
              <w:spacing w:after="60"/>
            </w:pPr>
            <w:r>
              <w:rPr>
                <w:sz w:val="20"/>
                <w:szCs w:val="20"/>
              </w:rPr>
              <w:t xml:space="preserve">IAM role-based; need-to-know; quarterly access review; PAM for admin access</w:t>
            </w:r>
          </w:p>
        </w:tc>
        <w:tc>
          <w:tcPr>
            <w:tcW w:type="dxa" w:w="1800"/>
            <w:shd w:fill="E9F7EF" w:color="E9F7EF" w:val="clear"/>
          </w:tcPr>
          <w:p>
            <w:pPr>
              <w:spacing w:after="60"/>
            </w:pPr>
            <w:r>
              <w:rPr>
                <w:sz w:val="20"/>
                <w:szCs w:val="20"/>
              </w:rPr>
              <w:t xml:space="preserve">All access logged; anomaly detection; 1-year retention</w:t>
            </w:r>
          </w:p>
        </w:tc>
        <w:tc>
          <w:tcPr>
            <w:tcW w:type="dxa" w:w="1560"/>
            <w:shd w:fill="E9F7EF" w:color="E9F7EF" w:val="clear"/>
          </w:tcPr>
          <w:p>
            <w:pPr>
              <w:spacing w:after="60"/>
            </w:pPr>
            <w:r>
              <w:rPr>
                <w:sz w:val="20"/>
                <w:szCs w:val="20"/>
              </w:rPr>
              <w:t xml:space="preserve">Immutable; cross-region; 90-day retention; daily test restore</w:t>
            </w:r>
          </w:p>
        </w:tc>
      </w:tr>
      <w:tr>
        <w:tc>
          <w:tcPr>
            <w:tcW w:type="dxa" w:w="1600"/>
            <w:shd w:fill="FFFFFF" w:color="FFFFFF" w:val="clear"/>
          </w:tcPr>
          <w:p>
            <w:pPr>
              <w:spacing w:after="60"/>
            </w:pPr>
            <w:r>
              <w:rPr>
                <w:sz w:val="20"/>
                <w:szCs w:val="20"/>
              </w:rPr>
              <w:t xml:space="preserve">Confidential</w:t>
            </w:r>
          </w:p>
        </w:tc>
        <w:tc>
          <w:tcPr>
            <w:tcW w:type="dxa" w:w="1800"/>
            <w:shd w:fill="FFFFFF" w:color="FFFFFF" w:val="clear"/>
          </w:tcPr>
          <w:p>
            <w:pPr>
              <w:spacing w:after="60"/>
            </w:pPr>
            <w:r>
              <w:rPr>
                <w:sz w:val="20"/>
                <w:szCs w:val="20"/>
              </w:rPr>
              <w:t xml:space="preserve">AES-256 (provider-managed KMS)</w:t>
            </w:r>
          </w:p>
        </w:tc>
        <w:tc>
          <w:tcPr>
            <w:tcW w:type="dxa" w:w="2000"/>
            <w:shd w:fill="FFFFFF" w:color="FFFFFF" w:val="clear"/>
          </w:tcPr>
          <w:p>
            <w:pPr>
              <w:spacing w:after="60"/>
            </w:pPr>
            <w:r>
              <w:rPr>
                <w:sz w:val="20"/>
                <w:szCs w:val="20"/>
              </w:rPr>
              <w:t xml:space="preserve">TLS 1.2 minimum</w:t>
            </w:r>
          </w:p>
        </w:tc>
        <w:tc>
          <w:tcPr>
            <w:tcW w:type="dxa" w:w="2600"/>
            <w:shd w:fill="FFFFFF" w:color="FFFFFF" w:val="clear"/>
          </w:tcPr>
          <w:p>
            <w:pPr>
              <w:spacing w:after="60"/>
            </w:pPr>
            <w:r>
              <w:rPr>
                <w:sz w:val="20"/>
                <w:szCs w:val="20"/>
              </w:rPr>
              <w:t xml:space="preserve">RBAC via Okta groups; bi-annual access review</w:t>
            </w:r>
          </w:p>
        </w:tc>
        <w:tc>
          <w:tcPr>
            <w:tcW w:type="dxa" w:w="1800"/>
            <w:shd w:fill="FFFFFF" w:color="FFFFFF" w:val="clear"/>
          </w:tcPr>
          <w:p>
            <w:pPr>
              <w:spacing w:after="60"/>
            </w:pPr>
            <w:r>
              <w:rPr>
                <w:sz w:val="20"/>
                <w:szCs w:val="20"/>
              </w:rPr>
              <w:t xml:space="preserve">Access logged; 90-day retention</w:t>
            </w:r>
          </w:p>
        </w:tc>
        <w:tc>
          <w:tcPr>
            <w:tcW w:type="dxa" w:w="1560"/>
            <w:shd w:fill="FFFFFF" w:color="FFFFFF" w:val="clear"/>
          </w:tcPr>
          <w:p>
            <w:pPr>
              <w:spacing w:after="60"/>
            </w:pPr>
            <w:r>
              <w:rPr>
                <w:sz w:val="20"/>
                <w:szCs w:val="20"/>
              </w:rPr>
              <w:t xml:space="preserve">Cross-region; 30-day retention</w:t>
            </w:r>
          </w:p>
        </w:tc>
      </w:tr>
      <w:tr>
        <w:tc>
          <w:tcPr>
            <w:tcW w:type="dxa" w:w="1600"/>
            <w:shd w:fill="E9F7EF" w:color="E9F7EF" w:val="clear"/>
          </w:tcPr>
          <w:p>
            <w:pPr>
              <w:spacing w:after="60"/>
            </w:pPr>
            <w:r>
              <w:rPr>
                <w:sz w:val="20"/>
                <w:szCs w:val="20"/>
              </w:rPr>
              <w:t xml:space="preserve">Internal</w:t>
            </w:r>
          </w:p>
        </w:tc>
        <w:tc>
          <w:tcPr>
            <w:tcW w:type="dxa" w:w="1800"/>
            <w:shd w:fill="E9F7EF" w:color="E9F7EF" w:val="clear"/>
          </w:tcPr>
          <w:p>
            <w:pPr>
              <w:spacing w:after="60"/>
            </w:pPr>
            <w:r>
              <w:rPr>
                <w:sz w:val="20"/>
                <w:szCs w:val="20"/>
              </w:rPr>
              <w:t xml:space="preserve">Standard cloud provider encryption (AES-256)</w:t>
            </w:r>
          </w:p>
        </w:tc>
        <w:tc>
          <w:tcPr>
            <w:tcW w:type="dxa" w:w="2000"/>
            <w:shd w:fill="E9F7EF" w:color="E9F7EF" w:val="clear"/>
          </w:tcPr>
          <w:p>
            <w:pPr>
              <w:spacing w:after="60"/>
            </w:pPr>
            <w:r>
              <w:rPr>
                <w:sz w:val="20"/>
                <w:szCs w:val="20"/>
              </w:rPr>
              <w:t xml:space="preserve">TLS 1.2 minimum</w:t>
            </w:r>
          </w:p>
        </w:tc>
        <w:tc>
          <w:tcPr>
            <w:tcW w:type="dxa" w:w="2600"/>
            <w:shd w:fill="E9F7EF" w:color="E9F7EF" w:val="clear"/>
          </w:tcPr>
          <w:p>
            <w:pPr>
              <w:spacing w:after="60"/>
            </w:pPr>
            <w:r>
              <w:rPr>
                <w:sz w:val="20"/>
                <w:szCs w:val="20"/>
              </w:rPr>
              <w:t xml:space="preserve">Okta SSO authenticated users</w:t>
            </w:r>
          </w:p>
        </w:tc>
        <w:tc>
          <w:tcPr>
            <w:tcW w:type="dxa" w:w="1800"/>
            <w:shd w:fill="E9F7EF" w:color="E9F7EF" w:val="clear"/>
          </w:tcPr>
          <w:p>
            <w:pPr>
              <w:spacing w:after="60"/>
            </w:pPr>
            <w:r>
              <w:rPr>
                <w:sz w:val="20"/>
                <w:szCs w:val="20"/>
              </w:rPr>
              <w:t xml:space="preserve">Standard audit logs; 30-day retention</w:t>
            </w:r>
          </w:p>
        </w:tc>
        <w:tc>
          <w:tcPr>
            <w:tcW w:type="dxa" w:w="1560"/>
            <w:shd w:fill="E9F7EF" w:color="E9F7EF" w:val="clear"/>
          </w:tcPr>
          <w:p>
            <w:pPr>
              <w:spacing w:after="60"/>
            </w:pPr>
            <w:r>
              <w:rPr>
                <w:sz w:val="20"/>
                <w:szCs w:val="20"/>
              </w:rPr>
              <w:t xml:space="preserve">Same-region; 14-day retention</w:t>
            </w:r>
          </w:p>
        </w:tc>
      </w:tr>
      <w:tr>
        <w:tc>
          <w:tcPr>
            <w:tcW w:type="dxa" w:w="1600"/>
            <w:shd w:fill="FFFFFF" w:color="FFFFFF" w:val="clear"/>
          </w:tcPr>
          <w:p>
            <w:pPr>
              <w:spacing w:after="60"/>
            </w:pPr>
            <w:r>
              <w:rPr>
                <w:sz w:val="20"/>
                <w:szCs w:val="20"/>
              </w:rPr>
              <w:t xml:space="preserve">Public</w:t>
            </w:r>
          </w:p>
        </w:tc>
        <w:tc>
          <w:tcPr>
            <w:tcW w:type="dxa" w:w="1800"/>
            <w:shd w:fill="FFFFFF" w:color="FFFFFF" w:val="clear"/>
          </w:tcPr>
          <w:p>
            <w:pPr>
              <w:spacing w:after="60"/>
            </w:pPr>
            <w:r>
              <w:rPr>
                <w:sz w:val="20"/>
                <w:szCs w:val="20"/>
              </w:rPr>
              <w:t xml:space="preserve">N/A (public data)</w:t>
            </w:r>
          </w:p>
        </w:tc>
        <w:tc>
          <w:tcPr>
            <w:tcW w:type="dxa" w:w="2000"/>
            <w:shd w:fill="FFFFFF" w:color="FFFFFF" w:val="clear"/>
          </w:tcPr>
          <w:p>
            <w:pPr>
              <w:spacing w:after="60"/>
            </w:pPr>
            <w:r>
              <w:rPr>
                <w:sz w:val="20"/>
                <w:szCs w:val="20"/>
              </w:rPr>
              <w:t xml:space="preserve">HTTPS/TLS for integrity</w:t>
            </w:r>
          </w:p>
        </w:tc>
        <w:tc>
          <w:tcPr>
            <w:tcW w:type="dxa" w:w="2600"/>
            <w:shd w:fill="FFFFFF" w:color="FFFFFF" w:val="clear"/>
          </w:tcPr>
          <w:p>
            <w:pPr>
              <w:spacing w:after="60"/>
            </w:pPr>
            <w:r>
              <w:rPr>
                <w:sz w:val="20"/>
                <w:szCs w:val="20"/>
              </w:rPr>
              <w:t xml:space="preserve">Public; no authentication required</w:t>
            </w:r>
          </w:p>
        </w:tc>
        <w:tc>
          <w:tcPr>
            <w:tcW w:type="dxa" w:w="1800"/>
            <w:shd w:fill="FFFFFF" w:color="FFFFFF" w:val="clear"/>
          </w:tcPr>
          <w:p>
            <w:pPr>
              <w:spacing w:after="60"/>
            </w:pPr>
            <w:r>
              <w:rPr>
                <w:sz w:val="20"/>
                <w:szCs w:val="20"/>
              </w:rPr>
              <w:t xml:space="preserve">Standard web server logs</w:t>
            </w:r>
          </w:p>
        </w:tc>
        <w:tc>
          <w:tcPr>
            <w:tcW w:type="dxa" w:w="1560"/>
            <w:shd w:fill="FFFFFF" w:color="FFFFFF" w:val="clear"/>
          </w:tcPr>
          <w:p>
            <w:pPr>
              <w:spacing w:after="60"/>
            </w:pPr>
            <w:r>
              <w:rPr>
                <w:sz w:val="20"/>
                <w:szCs w:val="20"/>
              </w:rPr>
              <w:t xml:space="preserve">Standard; 7-day retention</w:t>
            </w:r>
          </w:p>
        </w:tc>
      </w:tr>
    </w:tbl>
    <w:p>
      <w:pPr>
        <w:spacing w:after="80"/>
      </w:pPr>
      <w:r>
        <w:t xml:space="preserve"/>
      </w:r>
    </w:p>
    <w:p>
      <w:pPr>
        <w:pStyle w:val="Heading2"/>
        <w:spacing w:after="150" w:before="300"/>
      </w:pPr>
      <w:r>
        <w:t xml:space="preserve">16.2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shd w:fill="145A32" w:color="145A32" w:val="clear"/>
          </w:tcPr>
          <w:p>
            <w:pPr>
              <w:spacing w:after="60"/>
            </w:pPr>
            <w:r>
              <w:rPr>
                <w:b/>
                <w:bCs/>
                <w:color w:val="FFFFFF"/>
                <w:sz w:val="20"/>
                <w:szCs w:val="20"/>
              </w:rPr>
              <w:t xml:space="preserve">Data Type</w:t>
            </w:r>
          </w:p>
        </w:tc>
        <w:tc>
          <w:tcPr>
            <w:tcW w:type="dxa" w:w="2600"/>
            <w:shd w:fill="145A32" w:color="145A32" w:val="clear"/>
          </w:tcPr>
          <w:p>
            <w:pPr>
              <w:spacing w:after="60"/>
            </w:pPr>
            <w:r>
              <w:rPr>
                <w:b/>
                <w:bCs/>
                <w:color w:val="FFFFFF"/>
                <w:sz w:val="20"/>
                <w:szCs w:val="20"/>
              </w:rPr>
              <w:t xml:space="preserve">Permitted Storage Regions</w:t>
            </w:r>
          </w:p>
        </w:tc>
        <w:tc>
          <w:tcPr>
            <w:tcW w:type="dxa" w:w="2200"/>
            <w:shd w:fill="145A32" w:color="145A32" w:val="clear"/>
          </w:tcPr>
          <w:p>
            <w:pPr>
              <w:spacing w:after="60"/>
            </w:pPr>
            <w:r>
              <w:rPr>
                <w:b/>
                <w:bCs/>
                <w:color w:val="FFFFFF"/>
                <w:sz w:val="20"/>
                <w:szCs w:val="20"/>
              </w:rPr>
              <w:t xml:space="preserve">Prohibited Regions</w:t>
            </w:r>
          </w:p>
        </w:tc>
        <w:tc>
          <w:tcPr>
            <w:tcW w:type="dxa" w:w="1960"/>
            <w:shd w:fill="145A32" w:color="145A32" w:val="clear"/>
          </w:tcPr>
          <w:p>
            <w:pPr>
              <w:spacing w:after="60"/>
            </w:pPr>
            <w:r>
              <w:rPr>
                <w:b/>
                <w:bCs/>
                <w:color w:val="FFFFFF"/>
                <w:sz w:val="20"/>
                <w:szCs w:val="20"/>
              </w:rPr>
              <w:t xml:space="preserve">Rationale</w:t>
            </w:r>
          </w:p>
        </w:tc>
      </w:tr>
      <w:tr>
        <w:tc>
          <w:tcPr>
            <w:tcW w:type="dxa" w:w="2600"/>
            <w:shd w:fill="E9F7EF" w:color="E9F7EF" w:val="clear"/>
          </w:tcPr>
          <w:p>
            <w:pPr>
              <w:spacing w:after="60"/>
            </w:pPr>
            <w:r>
              <w:rPr>
                <w:sz w:val="20"/>
                <w:szCs w:val="20"/>
              </w:rPr>
              <w:t xml:space="preserve">EU/UK employee personal data (GDPR)</w:t>
            </w:r>
          </w:p>
        </w:tc>
        <w:tc>
          <w:tcPr>
            <w:tcW w:type="dxa" w:w="2600"/>
            <w:shd w:fill="E9F7EF" w:color="E9F7EF" w:val="clear"/>
          </w:tcPr>
          <w:p>
            <w:pPr>
              <w:spacing w:after="60"/>
            </w:pPr>
            <w:r>
              <w:rPr>
                <w:sz w:val="20"/>
                <w:szCs w:val="20"/>
              </w:rPr>
              <w:t xml:space="preserve">AWS eu-west-1 (Ireland); AWS eu-west-2 (London)</w:t>
            </w:r>
          </w:p>
        </w:tc>
        <w:tc>
          <w:tcPr>
            <w:tcW w:type="dxa" w:w="2200"/>
            <w:shd w:fill="E9F7EF" w:color="E9F7EF" w:val="clear"/>
          </w:tcPr>
          <w:p>
            <w:pPr>
              <w:spacing w:after="60"/>
            </w:pPr>
            <w:r>
              <w:rPr>
                <w:sz w:val="20"/>
                <w:szCs w:val="20"/>
              </w:rPr>
              <w:t xml:space="preserve">Outside EU/UK without SCCs in place</w:t>
            </w:r>
          </w:p>
        </w:tc>
        <w:tc>
          <w:tcPr>
            <w:tcW w:type="dxa" w:w="1960"/>
            <w:shd w:fill="E9F7EF" w:color="E9F7EF" w:val="clear"/>
          </w:tcPr>
          <w:p>
            <w:pPr>
              <w:spacing w:after="60"/>
            </w:pPr>
            <w:r>
              <w:rPr>
                <w:sz w:val="20"/>
                <w:szCs w:val="20"/>
              </w:rPr>
              <w:t xml:space="preserve">GDPR data residency preference; customer contractual requirements</w:t>
            </w:r>
          </w:p>
        </w:tc>
      </w:tr>
      <w:tr>
        <w:tc>
          <w:tcPr>
            <w:tcW w:type="dxa" w:w="2600"/>
            <w:shd w:fill="FFFFFF" w:color="FFFFFF" w:val="clear"/>
          </w:tcPr>
          <w:p>
            <w:pPr>
              <w:spacing w:after="60"/>
            </w:pPr>
            <w:r>
              <w:rPr>
                <w:sz w:val="20"/>
                <w:szCs w:val="20"/>
              </w:rPr>
              <w:t xml:space="preserve">India employee and customer data</w:t>
            </w:r>
          </w:p>
        </w:tc>
        <w:tc>
          <w:tcPr>
            <w:tcW w:type="dxa" w:w="2600"/>
            <w:shd w:fill="FFFFFF" w:color="FFFFFF" w:val="clear"/>
          </w:tcPr>
          <w:p>
            <w:pPr>
              <w:spacing w:after="60"/>
            </w:pPr>
            <w:r>
              <w:rPr>
                <w:sz w:val="20"/>
                <w:szCs w:val="20"/>
              </w:rPr>
              <w:t xml:space="preserve">AWS ap-south-1 (Mumbai)</w:t>
            </w:r>
          </w:p>
        </w:tc>
        <w:tc>
          <w:tcPr>
            <w:tcW w:type="dxa" w:w="2200"/>
            <w:shd w:fill="FFFFFF" w:color="FFFFFF" w:val="clear"/>
          </w:tcPr>
          <w:p>
            <w:pPr>
              <w:spacing w:after="60"/>
            </w:pPr>
            <w:r>
              <w:rPr>
                <w:sz w:val="20"/>
                <w:szCs w:val="20"/>
              </w:rPr>
              <w:t xml:space="preserve">Outside India for data subject to DPDP Act</w:t>
            </w:r>
          </w:p>
        </w:tc>
        <w:tc>
          <w:tcPr>
            <w:tcW w:type="dxa" w:w="1960"/>
            <w:shd w:fill="FFFFFF" w:color="FFFFFF" w:val="clear"/>
          </w:tcPr>
          <w:p>
            <w:pPr>
              <w:spacing w:after="60"/>
            </w:pPr>
            <w:r>
              <w:rPr>
                <w:sz w:val="20"/>
                <w:szCs w:val="20"/>
              </w:rPr>
              <w:t xml:space="preserve">India Digital Personal Data Protection Act 2023</w:t>
            </w:r>
          </w:p>
        </w:tc>
      </w:tr>
      <w:tr>
        <w:tc>
          <w:tcPr>
            <w:tcW w:type="dxa" w:w="2600"/>
            <w:shd w:fill="E9F7EF" w:color="E9F7EF" w:val="clear"/>
          </w:tcPr>
          <w:p>
            <w:pPr>
              <w:spacing w:after="60"/>
            </w:pPr>
            <w:r>
              <w:rPr>
                <w:sz w:val="20"/>
                <w:szCs w:val="20"/>
              </w:rPr>
              <w:t xml:space="preserve">Germany employee data</w:t>
            </w:r>
          </w:p>
        </w:tc>
        <w:tc>
          <w:tcPr>
            <w:tcW w:type="dxa" w:w="2600"/>
            <w:shd w:fill="E9F7EF" w:color="E9F7EF" w:val="clear"/>
          </w:tcPr>
          <w:p>
            <w:pPr>
              <w:spacing w:after="60"/>
            </w:pPr>
            <w:r>
              <w:rPr>
                <w:sz w:val="20"/>
                <w:szCs w:val="20"/>
              </w:rPr>
              <w:t xml:space="preserve">AWS eu-west-1 (Ireland) or eu-central-1 (Frankfurt)</w:t>
            </w:r>
          </w:p>
        </w:tc>
        <w:tc>
          <w:tcPr>
            <w:tcW w:type="dxa" w:w="2200"/>
            <w:shd w:fill="E9F7EF" w:color="E9F7EF" w:val="clear"/>
          </w:tcPr>
          <w:p>
            <w:pPr>
              <w:spacing w:after="60"/>
            </w:pPr>
            <w:r>
              <w:rPr>
                <w:sz w:val="20"/>
                <w:szCs w:val="20"/>
              </w:rPr>
              <w:t xml:space="preserve">Outside EU</w:t>
            </w:r>
          </w:p>
        </w:tc>
        <w:tc>
          <w:tcPr>
            <w:tcW w:type="dxa" w:w="1960"/>
            <w:shd w:fill="E9F7EF" w:color="E9F7EF" w:val="clear"/>
          </w:tcPr>
          <w:p>
            <w:pPr>
              <w:spacing w:after="60"/>
            </w:pPr>
            <w:r>
              <w:rPr>
                <w:sz w:val="20"/>
                <w:szCs w:val="20"/>
              </w:rPr>
              <w:t xml:space="preserve">GDPR + BDSG requirements</w:t>
            </w:r>
          </w:p>
        </w:tc>
      </w:tr>
      <w:tr>
        <w:tc>
          <w:tcPr>
            <w:tcW w:type="dxa" w:w="2600"/>
            <w:shd w:fill="FFFFFF" w:color="FFFFFF" w:val="clear"/>
          </w:tcPr>
          <w:p>
            <w:pPr>
              <w:spacing w:after="60"/>
            </w:pPr>
            <w:r>
              <w:rPr>
                <w:sz w:val="20"/>
                <w:szCs w:val="20"/>
              </w:rPr>
              <w:t xml:space="preserve">USA customer data (general)</w:t>
            </w:r>
          </w:p>
        </w:tc>
        <w:tc>
          <w:tcPr>
            <w:tcW w:type="dxa" w:w="2600"/>
            <w:shd w:fill="FFFFFF" w:color="FFFFFF" w:val="clear"/>
          </w:tcPr>
          <w:p>
            <w:pPr>
              <w:spacing w:after="60"/>
            </w:pPr>
            <w:r>
              <w:rPr>
                <w:sz w:val="20"/>
                <w:szCs w:val="20"/>
              </w:rPr>
              <w:t xml:space="preserve">AWS us-east-1; us-west-2</w:t>
            </w:r>
          </w:p>
        </w:tc>
        <w:tc>
          <w:tcPr>
            <w:tcW w:type="dxa" w:w="2200"/>
            <w:shd w:fill="FFFFFF" w:color="FFFFFF" w:val="clear"/>
          </w:tcPr>
          <w:p>
            <w:pPr>
              <w:spacing w:after="60"/>
            </w:pPr>
            <w:r>
              <w:rPr>
                <w:sz w:val="20"/>
                <w:szCs w:val="20"/>
              </w:rPr>
              <w:t xml:space="preserve">Restricted countries per export controls</w:t>
            </w:r>
          </w:p>
        </w:tc>
        <w:tc>
          <w:tcPr>
            <w:tcW w:type="dxa" w:w="1960"/>
            <w:shd w:fill="FFFFFF" w:color="FFFFFF" w:val="clear"/>
          </w:tcPr>
          <w:p>
            <w:pPr>
              <w:spacing w:after="60"/>
            </w:pPr>
            <w:r>
              <w:rPr>
                <w:sz w:val="20"/>
                <w:szCs w:val="20"/>
              </w:rPr>
              <w:t xml:space="preserve">Data sovereignty; customer contracts</w:t>
            </w:r>
          </w:p>
        </w:tc>
      </w:tr>
      <w:tr>
        <w:tc>
          <w:tcPr>
            <w:tcW w:type="dxa" w:w="2600"/>
            <w:shd w:fill="E9F7EF" w:color="E9F7EF" w:val="clear"/>
          </w:tcPr>
          <w:p>
            <w:pPr>
              <w:spacing w:after="60"/>
            </w:pPr>
            <w:r>
              <w:rPr>
                <w:sz w:val="20"/>
                <w:szCs w:val="20"/>
              </w:rPr>
              <w:t xml:space="preserve">Healthcare (PHI) — USA customers</w:t>
            </w:r>
          </w:p>
        </w:tc>
        <w:tc>
          <w:tcPr>
            <w:tcW w:type="dxa" w:w="2600"/>
            <w:shd w:fill="E9F7EF" w:color="E9F7EF" w:val="clear"/>
          </w:tcPr>
          <w:p>
            <w:pPr>
              <w:spacing w:after="60"/>
            </w:pPr>
            <w:r>
              <w:rPr>
                <w:sz w:val="20"/>
                <w:szCs w:val="20"/>
              </w:rPr>
              <w:t xml:space="preserve">AWS us-east-1 (BAA in place)</w:t>
            </w:r>
          </w:p>
        </w:tc>
        <w:tc>
          <w:tcPr>
            <w:tcW w:type="dxa" w:w="2200"/>
            <w:shd w:fill="E9F7EF" w:color="E9F7EF" w:val="clear"/>
          </w:tcPr>
          <w:p>
            <w:pPr>
              <w:spacing w:after="60"/>
            </w:pPr>
            <w:r>
              <w:rPr>
                <w:sz w:val="20"/>
                <w:szCs w:val="20"/>
              </w:rPr>
              <w:t xml:space="preserve">Any region without active BAA</w:t>
            </w:r>
          </w:p>
        </w:tc>
        <w:tc>
          <w:tcPr>
            <w:tcW w:type="dxa" w:w="1960"/>
            <w:shd w:fill="E9F7EF" w:color="E9F7EF" w:val="clear"/>
          </w:tcPr>
          <w:p>
            <w:pPr>
              <w:spacing w:after="60"/>
            </w:pPr>
            <w:r>
              <w:rPr>
                <w:sz w:val="20"/>
                <w:szCs w:val="20"/>
              </w:rPr>
              <w:t xml:space="preserve">HIPAA Business Associate Agreement requirement</w:t>
            </w:r>
          </w:p>
        </w:tc>
      </w:tr>
    </w:tbl>
    <w:p>
      <w:pPr>
        <w:spacing w:after="80"/>
      </w:pPr>
      <w:r>
        <w:t xml:space="preserve"/>
      </w:r>
    </w:p>
    <w:p>
      <w:r>
        <w:br w:type="page"/>
      </w:r>
    </w:p>
    <w:p>
      <w:pPr>
        <w:pStyle w:val="Heading1"/>
        <w:spacing w:after="200" w:before="400"/>
      </w:pPr>
      <w:r>
        <w:t xml:space="preserve">17. Monitoring, Logging &amp; Observability</w:t>
      </w:r>
    </w:p>
    <w:p>
      <w:pPr>
        <w:pStyle w:val="Heading2"/>
        <w:spacing w:after="150" w:before="300"/>
      </w:pPr>
      <w:r>
        <w:t xml:space="preserve">17.1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shd w:fill="145A32" w:color="145A32" w:val="clear"/>
          </w:tcPr>
          <w:p>
            <w:pPr>
              <w:spacing w:after="60"/>
            </w:pPr>
            <w:r>
              <w:rPr>
                <w:b/>
                <w:bCs/>
                <w:color w:val="FFFFFF"/>
                <w:sz w:val="20"/>
                <w:szCs w:val="20"/>
              </w:rPr>
              <w:t xml:space="preserve">Signal Type</w:t>
            </w:r>
          </w:p>
        </w:tc>
        <w:tc>
          <w:tcPr>
            <w:tcW w:type="dxa" w:w="2400"/>
            <w:shd w:fill="145A32" w:color="145A32" w:val="clear"/>
          </w:tcPr>
          <w:p>
            <w:pPr>
              <w:spacing w:after="60"/>
            </w:pPr>
            <w:r>
              <w:rPr>
                <w:b/>
                <w:bCs/>
                <w:color w:val="FFFFFF"/>
                <w:sz w:val="20"/>
                <w:szCs w:val="20"/>
              </w:rPr>
              <w:t xml:space="preserve">Tool</w:t>
            </w:r>
          </w:p>
        </w:tc>
        <w:tc>
          <w:tcPr>
            <w:tcW w:type="dxa" w:w="2200"/>
            <w:shd w:fill="145A32" w:color="145A32" w:val="clear"/>
          </w:tcPr>
          <w:p>
            <w:pPr>
              <w:spacing w:after="60"/>
            </w:pPr>
            <w:r>
              <w:rPr>
                <w:b/>
                <w:bCs/>
                <w:color w:val="FFFFFF"/>
                <w:sz w:val="20"/>
                <w:szCs w:val="20"/>
              </w:rPr>
              <w:t xml:space="preserve">Retention</w:t>
            </w:r>
          </w:p>
        </w:tc>
        <w:tc>
          <w:tcPr>
            <w:tcW w:type="dxa" w:w="2360"/>
            <w:shd w:fill="145A32" w:color="145A32" w:val="clear"/>
          </w:tcPr>
          <w:p>
            <w:pPr>
              <w:spacing w:after="60"/>
            </w:pPr>
            <w:r>
              <w:rPr>
                <w:b/>
                <w:bCs/>
                <w:color w:val="FFFFFF"/>
                <w:sz w:val="20"/>
                <w:szCs w:val="20"/>
              </w:rPr>
              <w:t xml:space="preserve">Owner</w:t>
            </w:r>
          </w:p>
        </w:tc>
      </w:tr>
      <w:tr>
        <w:tc>
          <w:tcPr>
            <w:tcW w:type="dxa" w:w="2400"/>
            <w:shd w:fill="E9F7EF" w:color="E9F7EF" w:val="clear"/>
          </w:tcPr>
          <w:p>
            <w:pPr>
              <w:spacing w:after="60"/>
            </w:pPr>
            <w:r>
              <w:rPr>
                <w:sz w:val="20"/>
                <w:szCs w:val="20"/>
              </w:rPr>
              <w:t xml:space="preserve">Infrastructure metrics (CPU, memory, network, disk)</w:t>
            </w:r>
          </w:p>
        </w:tc>
        <w:tc>
          <w:tcPr>
            <w:tcW w:type="dxa" w:w="2400"/>
            <w:shd w:fill="E9F7EF" w:color="E9F7EF" w:val="clear"/>
          </w:tcPr>
          <w:p>
            <w:pPr>
              <w:spacing w:after="60"/>
            </w:pPr>
            <w:r>
              <w:rPr>
                <w:sz w:val="20"/>
                <w:szCs w:val="20"/>
              </w:rPr>
              <w:t xml:space="preserve">Datadog (agent-based)</w:t>
            </w:r>
          </w:p>
        </w:tc>
        <w:tc>
          <w:tcPr>
            <w:tcW w:type="dxa" w:w="2200"/>
            <w:shd w:fill="E9F7EF" w:color="E9F7EF" w:val="clear"/>
          </w:tcPr>
          <w:p>
            <w:pPr>
              <w:spacing w:after="60"/>
            </w:pPr>
            <w:r>
              <w:rPr>
                <w:sz w:val="20"/>
                <w:szCs w:val="20"/>
              </w:rPr>
              <w:t xml:space="preserve">13 months</w:t>
            </w:r>
          </w:p>
        </w:tc>
        <w:tc>
          <w:tcPr>
            <w:tcW w:type="dxa" w:w="2360"/>
            <w:shd w:fill="E9F7EF" w:color="E9F7EF" w:val="clear"/>
          </w:tcPr>
          <w:p>
            <w:pPr>
              <w:spacing w:after="60"/>
            </w:pPr>
            <w:r>
              <w:rPr>
                <w:sz w:val="20"/>
                <w:szCs w:val="20"/>
              </w:rPr>
              <w:t xml:space="preserve">Platform Engineering</w:t>
            </w:r>
          </w:p>
        </w:tc>
      </w:tr>
      <w:tr>
        <w:tc>
          <w:tcPr>
            <w:tcW w:type="dxa" w:w="2400"/>
            <w:shd w:fill="FFFFFF" w:color="FFFFFF" w:val="clear"/>
          </w:tcPr>
          <w:p>
            <w:pPr>
              <w:spacing w:after="60"/>
            </w:pPr>
            <w:r>
              <w:rPr>
                <w:sz w:val="20"/>
                <w:szCs w:val="20"/>
              </w:rPr>
              <w:t xml:space="preserve">Application performance monitoring (APM)</w:t>
            </w:r>
          </w:p>
        </w:tc>
        <w:tc>
          <w:tcPr>
            <w:tcW w:type="dxa" w:w="2400"/>
            <w:shd w:fill="FFFFFF" w:color="FFFFFF" w:val="clear"/>
          </w:tcPr>
          <w:p>
            <w:pPr>
              <w:spacing w:after="60"/>
            </w:pPr>
            <w:r>
              <w:rPr>
                <w:sz w:val="20"/>
                <w:szCs w:val="20"/>
              </w:rPr>
              <w:t xml:space="preserve">Datadog APM + distributed tracing</w:t>
            </w:r>
          </w:p>
        </w:tc>
        <w:tc>
          <w:tcPr>
            <w:tcW w:type="dxa" w:w="2200"/>
            <w:shd w:fill="FFFFFF" w:color="FFFFFF" w:val="clear"/>
          </w:tcPr>
          <w:p>
            <w:pPr>
              <w:spacing w:after="60"/>
            </w:pPr>
            <w:r>
              <w:rPr>
                <w:sz w:val="20"/>
                <w:szCs w:val="20"/>
              </w:rPr>
              <w:t xml:space="preserve">13 months</w:t>
            </w:r>
          </w:p>
        </w:tc>
        <w:tc>
          <w:tcPr>
            <w:tcW w:type="dxa" w:w="2360"/>
            <w:shd w:fill="FFFFFF" w:color="FFFFFF" w:val="clear"/>
          </w:tcPr>
          <w:p>
            <w:pPr>
              <w:spacing w:after="60"/>
            </w:pPr>
            <w:r>
              <w:rPr>
                <w:sz w:val="20"/>
                <w:szCs w:val="20"/>
              </w:rPr>
              <w:t xml:space="preserve">Engineering teams</w:t>
            </w:r>
          </w:p>
        </w:tc>
      </w:tr>
      <w:tr>
        <w:tc>
          <w:tcPr>
            <w:tcW w:type="dxa" w:w="2400"/>
            <w:shd w:fill="E9F7EF" w:color="E9F7EF" w:val="clear"/>
          </w:tcPr>
          <w:p>
            <w:pPr>
              <w:spacing w:after="60"/>
            </w:pPr>
            <w:r>
              <w:rPr>
                <w:sz w:val="20"/>
                <w:szCs w:val="20"/>
              </w:rPr>
              <w:t xml:space="preserve">Log management (application and infrastructure)</w:t>
            </w:r>
          </w:p>
        </w:tc>
        <w:tc>
          <w:tcPr>
            <w:tcW w:type="dxa" w:w="2400"/>
            <w:shd w:fill="E9F7EF" w:color="E9F7EF" w:val="clear"/>
          </w:tcPr>
          <w:p>
            <w:pPr>
              <w:spacing w:after="60"/>
            </w:pPr>
            <w:r>
              <w:rPr>
                <w:sz w:val="20"/>
                <w:szCs w:val="20"/>
              </w:rPr>
              <w:t xml:space="preserve">Datadog Log Management + Splunk (security logs)</w:t>
            </w:r>
          </w:p>
        </w:tc>
        <w:tc>
          <w:tcPr>
            <w:tcW w:type="dxa" w:w="2200"/>
            <w:shd w:fill="E9F7EF" w:color="E9F7EF" w:val="clear"/>
          </w:tcPr>
          <w:p>
            <w:pPr>
              <w:spacing w:after="60"/>
            </w:pPr>
            <w:r>
              <w:rPr>
                <w:sz w:val="20"/>
                <w:szCs w:val="20"/>
              </w:rPr>
              <w:t xml:space="preserve">Application logs: 90 days hot; 1 year archive; Security logs: 1 year hot; 3 years archive</w:t>
            </w:r>
          </w:p>
        </w:tc>
        <w:tc>
          <w:tcPr>
            <w:tcW w:type="dxa" w:w="2360"/>
            <w:shd w:fill="E9F7EF" w:color="E9F7EF" w:val="clear"/>
          </w:tcPr>
          <w:p>
            <w:pPr>
              <w:spacing w:after="60"/>
            </w:pPr>
            <w:r>
              <w:rPr>
                <w:sz w:val="20"/>
                <w:szCs w:val="20"/>
              </w:rPr>
              <w:t xml:space="preserve">Engineering / Security</w:t>
            </w:r>
          </w:p>
        </w:tc>
      </w:tr>
      <w:tr>
        <w:tc>
          <w:tcPr>
            <w:tcW w:type="dxa" w:w="2400"/>
            <w:shd w:fill="FFFFFF" w:color="FFFFFF" w:val="clear"/>
          </w:tcPr>
          <w:p>
            <w:pPr>
              <w:spacing w:after="60"/>
            </w:pPr>
            <w:r>
              <w:rPr>
                <w:sz w:val="20"/>
                <w:szCs w:val="20"/>
              </w:rPr>
              <w:t xml:space="preserve">Error tracking</w:t>
            </w:r>
          </w:p>
        </w:tc>
        <w:tc>
          <w:tcPr>
            <w:tcW w:type="dxa" w:w="2400"/>
            <w:shd w:fill="FFFFFF" w:color="FFFFFF" w:val="clear"/>
          </w:tcPr>
          <w:p>
            <w:pPr>
              <w:spacing w:after="60"/>
            </w:pPr>
            <w:r>
              <w:rPr>
                <w:sz w:val="20"/>
                <w:szCs w:val="20"/>
              </w:rPr>
              <w:t xml:space="preserve">Sentry</w:t>
            </w:r>
          </w:p>
        </w:tc>
        <w:tc>
          <w:tcPr>
            <w:tcW w:type="dxa" w:w="2200"/>
            <w:shd w:fill="FFFFFF" w:color="FFFFFF" w:val="clear"/>
          </w:tcPr>
          <w:p>
            <w:pPr>
              <w:spacing w:after="60"/>
            </w:pPr>
            <w:r>
              <w:rPr>
                <w:sz w:val="20"/>
                <w:szCs w:val="20"/>
              </w:rPr>
              <w:t xml:space="preserve">90 days</w:t>
            </w:r>
          </w:p>
        </w:tc>
        <w:tc>
          <w:tcPr>
            <w:tcW w:type="dxa" w:w="2360"/>
            <w:shd w:fill="FFFFFF" w:color="FFFFFF" w:val="clear"/>
          </w:tcPr>
          <w:p>
            <w:pPr>
              <w:spacing w:after="60"/>
            </w:pPr>
            <w:r>
              <w:rPr>
                <w:sz w:val="20"/>
                <w:szCs w:val="20"/>
              </w:rPr>
              <w:t xml:space="preserve">Engineering teams</w:t>
            </w:r>
          </w:p>
        </w:tc>
      </w:tr>
      <w:tr>
        <w:tc>
          <w:tcPr>
            <w:tcW w:type="dxa" w:w="2400"/>
            <w:shd w:fill="E9F7EF" w:color="E9F7EF" w:val="clear"/>
          </w:tcPr>
          <w:p>
            <w:pPr>
              <w:spacing w:after="60"/>
            </w:pPr>
            <w:r>
              <w:rPr>
                <w:sz w:val="20"/>
                <w:szCs w:val="20"/>
              </w:rPr>
              <w:t xml:space="preserve">Uptime monitoring (external)</w:t>
            </w:r>
          </w:p>
        </w:tc>
        <w:tc>
          <w:tcPr>
            <w:tcW w:type="dxa" w:w="2400"/>
            <w:shd w:fill="E9F7EF" w:color="E9F7EF" w:val="clear"/>
          </w:tcPr>
          <w:p>
            <w:pPr>
              <w:spacing w:after="60"/>
            </w:pPr>
            <w:r>
              <w:rPr>
                <w:sz w:val="20"/>
                <w:szCs w:val="20"/>
              </w:rPr>
              <w:t xml:space="preserve">Pingdom + Datadog Synthetics</w:t>
            </w:r>
          </w:p>
        </w:tc>
        <w:tc>
          <w:tcPr>
            <w:tcW w:type="dxa" w:w="2200"/>
            <w:shd w:fill="E9F7EF" w:color="E9F7EF" w:val="clear"/>
          </w:tcPr>
          <w:p>
            <w:pPr>
              <w:spacing w:after="60"/>
            </w:pPr>
            <w:r>
              <w:rPr>
                <w:sz w:val="20"/>
                <w:szCs w:val="20"/>
              </w:rPr>
              <w:t xml:space="preserve">12 months</w:t>
            </w:r>
          </w:p>
        </w:tc>
        <w:tc>
          <w:tcPr>
            <w:tcW w:type="dxa" w:w="2360"/>
            <w:shd w:fill="E9F7EF" w:color="E9F7EF" w:val="clear"/>
          </w:tcPr>
          <w:p>
            <w:pPr>
              <w:spacing w:after="60"/>
            </w:pPr>
            <w:r>
              <w:rPr>
                <w:sz w:val="20"/>
                <w:szCs w:val="20"/>
              </w:rPr>
              <w:t xml:space="preserve">Platform Engineering</w:t>
            </w:r>
          </w:p>
        </w:tc>
      </w:tr>
      <w:tr>
        <w:tc>
          <w:tcPr>
            <w:tcW w:type="dxa" w:w="2400"/>
            <w:shd w:fill="FFFFFF" w:color="FFFFFF" w:val="clear"/>
          </w:tcPr>
          <w:p>
            <w:pPr>
              <w:spacing w:after="60"/>
            </w:pPr>
            <w:r>
              <w:rPr>
                <w:sz w:val="20"/>
                <w:szCs w:val="20"/>
              </w:rPr>
              <w:t xml:space="preserve">Cloud cost monitoring</w:t>
            </w:r>
          </w:p>
        </w:tc>
        <w:tc>
          <w:tcPr>
            <w:tcW w:type="dxa" w:w="2400"/>
            <w:shd w:fill="FFFFFF" w:color="FFFFFF" w:val="clear"/>
          </w:tcPr>
          <w:p>
            <w:pPr>
              <w:spacing w:after="60"/>
            </w:pPr>
            <w:r>
              <w:rPr>
                <w:sz w:val="20"/>
                <w:szCs w:val="20"/>
              </w:rPr>
              <w:t xml:space="preserve">Apptio Cloudability</w:t>
            </w:r>
          </w:p>
        </w:tc>
        <w:tc>
          <w:tcPr>
            <w:tcW w:type="dxa" w:w="2200"/>
            <w:shd w:fill="FFFFFF" w:color="FFFFFF" w:val="clear"/>
          </w:tcPr>
          <w:p>
            <w:pPr>
              <w:spacing w:after="60"/>
            </w:pPr>
            <w:r>
              <w:rPr>
                <w:sz w:val="20"/>
                <w:szCs w:val="20"/>
              </w:rPr>
              <w:t xml:space="preserve">24 months</w:t>
            </w:r>
          </w:p>
        </w:tc>
        <w:tc>
          <w:tcPr>
            <w:tcW w:type="dxa" w:w="2360"/>
            <w:shd w:fill="FFFFFF" w:color="FFFFFF" w:val="clear"/>
          </w:tcPr>
          <w:p>
            <w:pPr>
              <w:spacing w:after="60"/>
            </w:pPr>
            <w:r>
              <w:rPr>
                <w:sz w:val="20"/>
                <w:szCs w:val="20"/>
              </w:rPr>
              <w:t xml:space="preserve">FinOps / Finance</w:t>
            </w:r>
          </w:p>
        </w:tc>
      </w:tr>
      <w:tr>
        <w:tc>
          <w:tcPr>
            <w:tcW w:type="dxa" w:w="2400"/>
            <w:shd w:fill="E9F7EF" w:color="E9F7EF" w:val="clear"/>
          </w:tcPr>
          <w:p>
            <w:pPr>
              <w:spacing w:after="60"/>
            </w:pPr>
            <w:r>
              <w:rPr>
                <w:sz w:val="20"/>
                <w:szCs w:val="20"/>
              </w:rPr>
              <w:t xml:space="preserve">SIEM (security event management)</w:t>
            </w:r>
          </w:p>
        </w:tc>
        <w:tc>
          <w:tcPr>
            <w:tcW w:type="dxa" w:w="2400"/>
            <w:shd w:fill="E9F7EF" w:color="E9F7EF" w:val="clear"/>
          </w:tcPr>
          <w:p>
            <w:pPr>
              <w:spacing w:after="60"/>
            </w:pPr>
            <w:r>
              <w:rPr>
                <w:sz w:val="20"/>
                <w:szCs w:val="20"/>
              </w:rPr>
              <w:t xml:space="preserve">Splunk Enterprise Security</w:t>
            </w:r>
          </w:p>
        </w:tc>
        <w:tc>
          <w:tcPr>
            <w:tcW w:type="dxa" w:w="2200"/>
            <w:shd w:fill="E9F7EF" w:color="E9F7EF" w:val="clear"/>
          </w:tcPr>
          <w:p>
            <w:pPr>
              <w:spacing w:after="60"/>
            </w:pPr>
            <w:r>
              <w:rPr>
                <w:sz w:val="20"/>
                <w:szCs w:val="20"/>
              </w:rPr>
              <w:t xml:space="preserve">3 years (security logs)</w:t>
            </w:r>
          </w:p>
        </w:tc>
        <w:tc>
          <w:tcPr>
            <w:tcW w:type="dxa" w:w="2360"/>
            <w:shd w:fill="E9F7EF" w:color="E9F7EF" w:val="clear"/>
          </w:tcPr>
          <w:p>
            <w:pPr>
              <w:spacing w:after="60"/>
            </w:pPr>
            <w:r>
              <w:rPr>
                <w:sz w:val="20"/>
                <w:szCs w:val="20"/>
              </w:rPr>
              <w:t xml:space="preserve">Security Operations Center (SOC)</w:t>
            </w:r>
          </w:p>
        </w:tc>
      </w:tr>
      <w:tr>
        <w:tc>
          <w:tcPr>
            <w:tcW w:type="dxa" w:w="2400"/>
            <w:shd w:fill="FFFFFF" w:color="FFFFFF" w:val="clear"/>
          </w:tcPr>
          <w:p>
            <w:pPr>
              <w:spacing w:after="60"/>
            </w:pPr>
            <w:r>
              <w:rPr>
                <w:sz w:val="20"/>
                <w:szCs w:val="20"/>
              </w:rPr>
              <w:t xml:space="preserve">Vulnerability management</w:t>
            </w:r>
          </w:p>
        </w:tc>
        <w:tc>
          <w:tcPr>
            <w:tcW w:type="dxa" w:w="2400"/>
            <w:shd w:fill="FFFFFF" w:color="FFFFFF" w:val="clear"/>
          </w:tcPr>
          <w:p>
            <w:pPr>
              <w:spacing w:after="60"/>
            </w:pPr>
            <w:r>
              <w:rPr>
                <w:sz w:val="20"/>
                <w:szCs w:val="20"/>
              </w:rPr>
              <w:t xml:space="preserve">Snyk + Wiz (cloud)</w:t>
            </w:r>
          </w:p>
        </w:tc>
        <w:tc>
          <w:tcPr>
            <w:tcW w:type="dxa" w:w="2200"/>
            <w:shd w:fill="FFFFFF" w:color="FFFFFF" w:val="clear"/>
          </w:tcPr>
          <w:p>
            <w:pPr>
              <w:spacing w:after="60"/>
            </w:pPr>
            <w:r>
              <w:rPr>
                <w:sz w:val="20"/>
                <w:szCs w:val="20"/>
              </w:rPr>
              <w:t xml:space="preserve">Current state + 12 months history</w:t>
            </w:r>
          </w:p>
        </w:tc>
        <w:tc>
          <w:tcPr>
            <w:tcW w:type="dxa" w:w="2360"/>
            <w:shd w:fill="FFFFFF" w:color="FFFFFF" w:val="clear"/>
          </w:tcPr>
          <w:p>
            <w:pPr>
              <w:spacing w:after="60"/>
            </w:pPr>
            <w:r>
              <w:rPr>
                <w:sz w:val="20"/>
                <w:szCs w:val="20"/>
              </w:rPr>
              <w:t xml:space="preserve">DevSecOps</w:t>
            </w:r>
          </w:p>
        </w:tc>
      </w:tr>
      <w:tr>
        <w:tc>
          <w:tcPr>
            <w:tcW w:type="dxa" w:w="2400"/>
            <w:shd w:fill="E9F7EF" w:color="E9F7EF" w:val="clear"/>
          </w:tcPr>
          <w:p>
            <w:pPr>
              <w:spacing w:after="60"/>
            </w:pPr>
            <w:r>
              <w:rPr>
                <w:sz w:val="20"/>
                <w:szCs w:val="20"/>
              </w:rPr>
              <w:t xml:space="preserve">Alert routing and on-call</w:t>
            </w:r>
          </w:p>
        </w:tc>
        <w:tc>
          <w:tcPr>
            <w:tcW w:type="dxa" w:w="2400"/>
            <w:shd w:fill="E9F7EF" w:color="E9F7EF" w:val="clear"/>
          </w:tcPr>
          <w:p>
            <w:pPr>
              <w:spacing w:after="60"/>
            </w:pPr>
            <w:r>
              <w:rPr>
                <w:sz w:val="20"/>
                <w:szCs w:val="20"/>
              </w:rPr>
              <w:t xml:space="preserve">PagerDuty</w:t>
            </w:r>
          </w:p>
        </w:tc>
        <w:tc>
          <w:tcPr>
            <w:tcW w:type="dxa" w:w="2200"/>
            <w:shd w:fill="E9F7EF" w:color="E9F7EF" w:val="clear"/>
          </w:tcPr>
          <w:p>
            <w:pPr>
              <w:spacing w:after="60"/>
            </w:pPr>
            <w:r>
              <w:rPr>
                <w:sz w:val="20"/>
                <w:szCs w:val="20"/>
              </w:rPr>
              <w:t xml:space="preserve">12 months</w:t>
            </w:r>
          </w:p>
        </w:tc>
        <w:tc>
          <w:tcPr>
            <w:tcW w:type="dxa" w:w="2360"/>
            <w:shd w:fill="E9F7EF" w:color="E9F7EF" w:val="clear"/>
          </w:tcPr>
          <w:p>
            <w:pPr>
              <w:spacing w:after="60"/>
            </w:pPr>
            <w:r>
              <w:rPr>
                <w:sz w:val="20"/>
                <w:szCs w:val="20"/>
              </w:rPr>
              <w:t xml:space="preserve">Engineering / IT Ops</w:t>
            </w:r>
          </w:p>
        </w:tc>
      </w:tr>
    </w:tbl>
    <w:p>
      <w:pPr>
        <w:spacing w:after="80"/>
      </w:pPr>
      <w:r>
        <w:t xml:space="preserve"/>
      </w:r>
    </w:p>
    <w:p>
      <w:pPr>
        <w:pStyle w:val="Heading2"/>
        <w:spacing w:after="150" w:before="300"/>
      </w:pPr>
      <w:r>
        <w:t xml:space="preserve">17.2 Alerting Standards</w:t>
      </w:r>
    </w:p>
    <w:p>
      <w:pPr>
        <w:spacing w:after="120" w:line="276"/>
      </w:pPr>
      <w:r>
        <w:rPr>
          <w:sz w:val="22"/>
          <w:szCs w:val="22"/>
        </w:rPr>
        <w:t xml:space="preserve">All production systems must have the following alerts configured in Datadog and routing to PagerDuty:</w:t>
      </w:r>
    </w:p>
    <w:p>
      <w:pPr>
        <w:pStyle w:val="ListParagraph"/>
        <w:numPr>
          <w:ilvl w:val="0"/>
          <w:numId w:val="1"/>
        </w:numPr>
        <w:spacing w:after="80"/>
      </w:pPr>
      <w:r>
        <w:rPr>
          <w:sz w:val="22"/>
          <w:szCs w:val="22"/>
        </w:rPr>
        <w:t xml:space="preserve">Availability: Error rate &gt; 1% over 5 minutes → P1 page; error rate &gt; 0.5% over 5 minutes → P2 page</w:t>
      </w:r>
    </w:p>
    <w:p>
      <w:pPr>
        <w:pStyle w:val="ListParagraph"/>
        <w:numPr>
          <w:ilvl w:val="0"/>
          <w:numId w:val="1"/>
        </w:numPr>
        <w:spacing w:after="80"/>
      </w:pPr>
      <w:r>
        <w:rPr>
          <w:sz w:val="22"/>
          <w:szCs w:val="22"/>
        </w:rPr>
        <w:t xml:space="preserve">Latency: P99 API response time &gt; SLA threshold (defined per service in the Service Level Objective catalog) → P2 page</w:t>
      </w:r>
    </w:p>
    <w:p>
      <w:pPr>
        <w:pStyle w:val="ListParagraph"/>
        <w:numPr>
          <w:ilvl w:val="0"/>
          <w:numId w:val="1"/>
        </w:numPr>
        <w:spacing w:after="80"/>
      </w:pPr>
      <w:r>
        <w:rPr>
          <w:sz w:val="22"/>
          <w:szCs w:val="22"/>
        </w:rPr>
        <w:t xml:space="preserve">Infrastructure: CPU &gt; 90% for 10 minutes; Disk &gt; 85% filled; Memory &gt; 95% → P2 page</w:t>
      </w:r>
    </w:p>
    <w:p>
      <w:pPr>
        <w:pStyle w:val="ListParagraph"/>
        <w:numPr>
          <w:ilvl w:val="0"/>
          <w:numId w:val="1"/>
        </w:numPr>
        <w:spacing w:after="80"/>
      </w:pPr>
      <w:r>
        <w:rPr>
          <w:sz w:val="22"/>
          <w:szCs w:val="22"/>
        </w:rPr>
        <w:t xml:space="preserve">Security: GuardDuty High/Critical finding → immediate SOC alert; failed login threshold exceeded → SOC alert</w:t>
      </w:r>
    </w:p>
    <w:p>
      <w:pPr>
        <w:pStyle w:val="ListParagraph"/>
        <w:numPr>
          <w:ilvl w:val="0"/>
          <w:numId w:val="1"/>
        </w:numPr>
        <w:spacing w:after="80"/>
      </w:pPr>
      <w:r>
        <w:rPr>
          <w:sz w:val="22"/>
          <w:szCs w:val="22"/>
        </w:rPr>
        <w:t xml:space="preserve">Business metrics: Significant drop in key business metrics (signups, revenue events) must have anomaly detection alerts configured by the owning engineering team</w:t>
      </w:r>
    </w:p>
    <w:p>
      <w:pPr>
        <w:pStyle w:val="Heading2"/>
        <w:spacing w:after="150" w:before="300"/>
      </w:pPr>
      <w:r>
        <w:t xml:space="preserve">17.3 Log Standards</w:t>
      </w:r>
    </w:p>
    <w:p>
      <w:pPr>
        <w:spacing w:after="120" w:line="276"/>
      </w:pPr>
      <w:r>
        <w:rPr>
          <w:sz w:val="22"/>
          <w:szCs w:val="22"/>
        </w:rPr>
        <w:t xml:space="preserve">All application logs must follow the structured JSON log format standard:</w:t>
      </w:r>
    </w:p>
    <w:p>
      <w:pPr>
        <w:pStyle w:val="ListParagraph"/>
        <w:numPr>
          <w:ilvl w:val="0"/>
          <w:numId w:val="1"/>
        </w:numPr>
        <w:spacing w:after="80"/>
      </w:pPr>
      <w:r>
        <w:rPr>
          <w:sz w:val="22"/>
          <w:szCs w:val="22"/>
        </w:rPr>
        <w:t xml:space="preserve">Required fields: timestamp (ISO 8601), level (INFO/WARN/ERROR/FATAL), service_name, trace_id, span_id, user_id (if applicable, pseudonymized), message</w:t>
      </w:r>
    </w:p>
    <w:p>
      <w:pPr>
        <w:pStyle w:val="ListParagraph"/>
        <w:numPr>
          <w:ilvl w:val="0"/>
          <w:numId w:val="1"/>
        </w:numPr>
        <w:spacing w:after="80"/>
      </w:pPr>
      <w:r>
        <w:rPr>
          <w:sz w:val="22"/>
          <w:szCs w:val="22"/>
        </w:rPr>
        <w:t xml:space="preserve">Prohibited in logs: Passwords, API keys, full credit card numbers, full SSNs, unmasked PII (use pseudonymization tokens)</w:t>
      </w:r>
    </w:p>
    <w:p>
      <w:pPr>
        <w:pStyle w:val="ListParagraph"/>
        <w:numPr>
          <w:ilvl w:val="0"/>
          <w:numId w:val="1"/>
        </w:numPr>
        <w:spacing w:after="80"/>
      </w:pPr>
      <w:r>
        <w:rPr>
          <w:sz w:val="22"/>
          <w:szCs w:val="22"/>
        </w:rPr>
        <w:t xml:space="preserve">Log enrichment: Datadog agents add host, environment, region, and version tags automatically</w:t>
      </w:r>
    </w:p>
    <w:p>
      <w:r>
        <w:br w:type="page"/>
      </w:r>
    </w:p>
    <w:p>
      <w:pPr>
        <w:pStyle w:val="Heading1"/>
        <w:spacing w:after="200" w:before="400"/>
      </w:pPr>
      <w:r>
        <w:t xml:space="preserve">18. IT Compliance &amp; Audit</w:t>
      </w:r>
    </w:p>
    <w:p>
      <w:pPr>
        <w:pStyle w:val="Heading2"/>
        <w:spacing w:after="150" w:before="300"/>
      </w:pPr>
      <w:r>
        <w:t xml:space="preserve">18.1 IT Compliance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shd w:fill="145A32" w:color="145A32" w:val="clear"/>
          </w:tcPr>
          <w:p>
            <w:pPr>
              <w:spacing w:after="60"/>
            </w:pPr>
            <w:r>
              <w:rPr>
                <w:b/>
                <w:bCs/>
                <w:color w:val="FFFFFF"/>
                <w:sz w:val="20"/>
                <w:szCs w:val="20"/>
              </w:rPr>
              <w:t xml:space="preserve">Framework</w:t>
            </w:r>
          </w:p>
        </w:tc>
        <w:tc>
          <w:tcPr>
            <w:tcW w:type="dxa" w:w="2200"/>
            <w:shd w:fill="145A32" w:color="145A32" w:val="clear"/>
          </w:tcPr>
          <w:p>
            <w:pPr>
              <w:spacing w:after="60"/>
            </w:pPr>
            <w:r>
              <w:rPr>
                <w:b/>
                <w:bCs/>
                <w:color w:val="FFFFFF"/>
                <w:sz w:val="20"/>
                <w:szCs w:val="20"/>
              </w:rPr>
              <w:t xml:space="preserve">Scope</w:t>
            </w:r>
          </w:p>
        </w:tc>
        <w:tc>
          <w:tcPr>
            <w:tcW w:type="dxa" w:w="3000"/>
            <w:shd w:fill="145A32" w:color="145A32" w:val="clear"/>
          </w:tcPr>
          <w:p>
            <w:pPr>
              <w:spacing w:after="60"/>
            </w:pPr>
            <w:r>
              <w:rPr>
                <w:b/>
                <w:bCs/>
                <w:color w:val="FFFFFF"/>
                <w:sz w:val="20"/>
                <w:szCs w:val="20"/>
              </w:rPr>
              <w:t xml:space="preserve">IT-Specific Controls</w:t>
            </w:r>
          </w:p>
        </w:tc>
        <w:tc>
          <w:tcPr>
            <w:tcW w:type="dxa" w:w="2360"/>
            <w:shd w:fill="145A32" w:color="145A32" w:val="clear"/>
          </w:tcPr>
          <w:p>
            <w:pPr>
              <w:spacing w:after="60"/>
            </w:pPr>
            <w:r>
              <w:rPr>
                <w:b/>
                <w:bCs/>
                <w:color w:val="FFFFFF"/>
                <w:sz w:val="20"/>
                <w:szCs w:val="20"/>
              </w:rPr>
              <w:t xml:space="preserve">Audit Frequency</w:t>
            </w:r>
          </w:p>
        </w:tc>
      </w:tr>
      <w:tr>
        <w:tc>
          <w:tcPr>
            <w:tcW w:type="dxa" w:w="1800"/>
            <w:shd w:fill="E9F7EF" w:color="E9F7EF" w:val="clear"/>
          </w:tcPr>
          <w:p>
            <w:pPr>
              <w:spacing w:after="60"/>
            </w:pPr>
            <w:r>
              <w:rPr>
                <w:sz w:val="20"/>
                <w:szCs w:val="20"/>
              </w:rPr>
              <w:t xml:space="preserve">SOC 2 Type II</w:t>
            </w:r>
          </w:p>
        </w:tc>
        <w:tc>
          <w:tcPr>
            <w:tcW w:type="dxa" w:w="2200"/>
            <w:shd w:fill="E9F7EF" w:color="E9F7EF" w:val="clear"/>
          </w:tcPr>
          <w:p>
            <w:pPr>
              <w:spacing w:after="60"/>
            </w:pPr>
            <w:r>
              <w:rPr>
                <w:sz w:val="20"/>
                <w:szCs w:val="20"/>
              </w:rPr>
              <w:t xml:space="preserve">Security, Availability, Confidentiality, Processing Integrity</w:t>
            </w:r>
          </w:p>
        </w:tc>
        <w:tc>
          <w:tcPr>
            <w:tcW w:type="dxa" w:w="3000"/>
            <w:shd w:fill="E9F7EF" w:color="E9F7EF" w:val="clear"/>
          </w:tcPr>
          <w:p>
            <w:pPr>
              <w:spacing w:after="60"/>
            </w:pPr>
            <w:r>
              <w:rPr>
                <w:sz w:val="20"/>
                <w:szCs w:val="20"/>
              </w:rPr>
              <w:t xml:space="preserve">Access controls, change management, incident response, availability monitoring, backup and recovery, vulnerability management</w:t>
            </w:r>
          </w:p>
        </w:tc>
        <w:tc>
          <w:tcPr>
            <w:tcW w:type="dxa" w:w="2360"/>
            <w:shd w:fill="E9F7EF" w:color="E9F7EF" w:val="clear"/>
          </w:tcPr>
          <w:p>
            <w:pPr>
              <w:spacing w:after="60"/>
            </w:pPr>
            <w:r>
              <w:rPr>
                <w:sz w:val="20"/>
                <w:szCs w:val="20"/>
              </w:rPr>
              <w:t xml:space="preserve">Annual (Deloitte); period Jan 1 – Dec 31</w:t>
            </w:r>
          </w:p>
        </w:tc>
      </w:tr>
      <w:tr>
        <w:tc>
          <w:tcPr>
            <w:tcW w:type="dxa" w:w="1800"/>
            <w:shd w:fill="FFFFFF" w:color="FFFFFF" w:val="clear"/>
          </w:tcPr>
          <w:p>
            <w:pPr>
              <w:spacing w:after="60"/>
            </w:pPr>
            <w:r>
              <w:rPr>
                <w:sz w:val="20"/>
                <w:szCs w:val="20"/>
              </w:rPr>
              <w:t xml:space="preserve">ISO 27001:2022</w:t>
            </w:r>
          </w:p>
        </w:tc>
        <w:tc>
          <w:tcPr>
            <w:tcW w:type="dxa" w:w="2200"/>
            <w:shd w:fill="FFFFFF" w:color="FFFFFF" w:val="clear"/>
          </w:tcPr>
          <w:p>
            <w:pPr>
              <w:spacing w:after="60"/>
            </w:pPr>
            <w:r>
              <w:rPr>
                <w:sz w:val="20"/>
                <w:szCs w:val="20"/>
              </w:rPr>
              <w:t xml:space="preserve">ISMS — all information assets</w:t>
            </w:r>
          </w:p>
        </w:tc>
        <w:tc>
          <w:tcPr>
            <w:tcW w:type="dxa" w:w="3000"/>
            <w:shd w:fill="FFFFFF" w:color="FFFFFF" w:val="clear"/>
          </w:tcPr>
          <w:p>
            <w:pPr>
              <w:spacing w:after="60"/>
            </w:pPr>
            <w:r>
              <w:rPr>
                <w:sz w:val="20"/>
                <w:szCs w:val="20"/>
              </w:rPr>
              <w:t xml:space="preserve">All 93 controls in Annex A; IT-specific: asset management, access control, cryptography, operations, communications, acquisition, incident management</w:t>
            </w:r>
          </w:p>
        </w:tc>
        <w:tc>
          <w:tcPr>
            <w:tcW w:type="dxa" w:w="2360"/>
            <w:shd w:fill="FFFFFF" w:color="FFFFFF" w:val="clear"/>
          </w:tcPr>
          <w:p>
            <w:pPr>
              <w:spacing w:after="60"/>
            </w:pPr>
            <w:r>
              <w:rPr>
                <w:sz w:val="20"/>
                <w:szCs w:val="20"/>
              </w:rPr>
              <w:t xml:space="preserve">Annual certification audit (BSI Group); bi-annual surveillance audits</w:t>
            </w:r>
          </w:p>
        </w:tc>
      </w:tr>
      <w:tr>
        <w:tc>
          <w:tcPr>
            <w:tcW w:type="dxa" w:w="1800"/>
            <w:shd w:fill="E9F7EF" w:color="E9F7EF" w:val="clear"/>
          </w:tcPr>
          <w:p>
            <w:pPr>
              <w:spacing w:after="60"/>
            </w:pPr>
            <w:r>
              <w:rPr>
                <w:sz w:val="20"/>
                <w:szCs w:val="20"/>
              </w:rPr>
              <w:t xml:space="preserve">GDPR / UK GDPR</w:t>
            </w:r>
          </w:p>
        </w:tc>
        <w:tc>
          <w:tcPr>
            <w:tcW w:type="dxa" w:w="2200"/>
            <w:shd w:fill="E9F7EF" w:color="E9F7EF" w:val="clear"/>
          </w:tcPr>
          <w:p>
            <w:pPr>
              <w:spacing w:after="60"/>
            </w:pPr>
            <w:r>
              <w:rPr>
                <w:sz w:val="20"/>
                <w:szCs w:val="20"/>
              </w:rPr>
              <w:t xml:space="preserve">Personal data of EU/UK individuals</w:t>
            </w:r>
          </w:p>
        </w:tc>
        <w:tc>
          <w:tcPr>
            <w:tcW w:type="dxa" w:w="3000"/>
            <w:shd w:fill="E9F7EF" w:color="E9F7EF" w:val="clear"/>
          </w:tcPr>
          <w:p>
            <w:pPr>
              <w:spacing w:after="60"/>
            </w:pPr>
            <w:r>
              <w:rPr>
                <w:sz w:val="20"/>
                <w:szCs w:val="20"/>
              </w:rPr>
              <w:t xml:space="preserve">Data flow mapping, DPIA for high-risk processing, encryption, pseudonymization, breach notification within 72 hours to supervisory authority</w:t>
            </w:r>
          </w:p>
        </w:tc>
        <w:tc>
          <w:tcPr>
            <w:tcW w:type="dxa" w:w="2360"/>
            <w:shd w:fill="E9F7EF" w:color="E9F7EF" w:val="clear"/>
          </w:tcPr>
          <w:p>
            <w:pPr>
              <w:spacing w:after="60"/>
            </w:pPr>
            <w:r>
              <w:rPr>
                <w:sz w:val="20"/>
                <w:szCs w:val="20"/>
              </w:rPr>
              <w:t xml:space="preserve">Annual internal review; DPIA for new processing activities</w:t>
            </w:r>
          </w:p>
        </w:tc>
      </w:tr>
      <w:tr>
        <w:tc>
          <w:tcPr>
            <w:tcW w:type="dxa" w:w="1800"/>
            <w:shd w:fill="FFFFFF" w:color="FFFFFF" w:val="clear"/>
          </w:tcPr>
          <w:p>
            <w:pPr>
              <w:spacing w:after="60"/>
            </w:pPr>
            <w:r>
              <w:rPr>
                <w:sz w:val="20"/>
                <w:szCs w:val="20"/>
              </w:rPr>
              <w:t xml:space="preserve">HIPAA (where applicable)</w:t>
            </w:r>
          </w:p>
        </w:tc>
        <w:tc>
          <w:tcPr>
            <w:tcW w:type="dxa" w:w="2200"/>
            <w:shd w:fill="FFFFFF" w:color="FFFFFF" w:val="clear"/>
          </w:tcPr>
          <w:p>
            <w:pPr>
              <w:spacing w:after="60"/>
            </w:pPr>
            <w:r>
              <w:rPr>
                <w:sz w:val="20"/>
                <w:szCs w:val="20"/>
              </w:rPr>
              <w:t xml:space="preserve">PHI in US healthcare customer environments</w:t>
            </w:r>
          </w:p>
        </w:tc>
        <w:tc>
          <w:tcPr>
            <w:tcW w:type="dxa" w:w="3000"/>
            <w:shd w:fill="FFFFFF" w:color="FFFFFF" w:val="clear"/>
          </w:tcPr>
          <w:p>
            <w:pPr>
              <w:spacing w:after="60"/>
            </w:pPr>
            <w:r>
              <w:rPr>
                <w:sz w:val="20"/>
                <w:szCs w:val="20"/>
              </w:rPr>
              <w:t xml:space="preserve">Technical safeguards: encryption, access controls, audit controls, integrity controls, transmission security</w:t>
            </w:r>
          </w:p>
        </w:tc>
        <w:tc>
          <w:tcPr>
            <w:tcW w:type="dxa" w:w="2360"/>
            <w:shd w:fill="FFFFFF" w:color="FFFFFF" w:val="clear"/>
          </w:tcPr>
          <w:p>
            <w:pPr>
              <w:spacing w:after="60"/>
            </w:pPr>
            <w:r>
              <w:rPr>
                <w:sz w:val="20"/>
                <w:szCs w:val="20"/>
              </w:rPr>
              <w:t xml:space="preserve">Annual BAA review; penetration test of PHI-handling systems</w:t>
            </w:r>
          </w:p>
        </w:tc>
      </w:tr>
      <w:tr>
        <w:tc>
          <w:tcPr>
            <w:tcW w:type="dxa" w:w="1800"/>
            <w:shd w:fill="E9F7EF" w:color="E9F7EF" w:val="clear"/>
          </w:tcPr>
          <w:p>
            <w:pPr>
              <w:spacing w:after="60"/>
            </w:pPr>
            <w:r>
              <w:rPr>
                <w:sz w:val="20"/>
                <w:szCs w:val="20"/>
              </w:rPr>
              <w:t xml:space="preserve">PCI-DSS (if applicable)</w:t>
            </w:r>
          </w:p>
        </w:tc>
        <w:tc>
          <w:tcPr>
            <w:tcW w:type="dxa" w:w="2200"/>
            <w:shd w:fill="E9F7EF" w:color="E9F7EF" w:val="clear"/>
          </w:tcPr>
          <w:p>
            <w:pPr>
              <w:spacing w:after="60"/>
            </w:pPr>
            <w:r>
              <w:rPr>
                <w:sz w:val="20"/>
                <w:szCs w:val="20"/>
              </w:rPr>
              <w:t xml:space="preserve">Cardholder data — currently not applicable; payment processed via Stripe</w:t>
            </w:r>
          </w:p>
        </w:tc>
        <w:tc>
          <w:tcPr>
            <w:tcW w:type="dxa" w:w="3000"/>
            <w:shd w:fill="E9F7EF" w:color="E9F7EF" w:val="clear"/>
          </w:tcPr>
          <w:p>
            <w:pPr>
              <w:spacing w:after="60"/>
            </w:pPr>
            <w:r>
              <w:rPr>
                <w:sz w:val="20"/>
                <w:szCs w:val="20"/>
              </w:rPr>
              <w:t xml:space="preserve">N/A currently; if in scope: network segmentation, quarterly scans, annual penetration test</w:t>
            </w:r>
          </w:p>
        </w:tc>
        <w:tc>
          <w:tcPr>
            <w:tcW w:type="dxa" w:w="2360"/>
            <w:shd w:fill="E9F7EF" w:color="E9F7EF" w:val="clear"/>
          </w:tcPr>
          <w:p>
            <w:pPr>
              <w:spacing w:after="60"/>
            </w:pPr>
            <w:r>
              <w:rPr>
                <w:sz w:val="20"/>
                <w:szCs w:val="20"/>
              </w:rPr>
              <w:t xml:space="preserve">N/A (Stripe handles PCI compliance)</w:t>
            </w:r>
          </w:p>
        </w:tc>
      </w:tr>
    </w:tbl>
    <w:p>
      <w:pPr>
        <w:spacing w:after="80"/>
      </w:pPr>
      <w:r>
        <w:t xml:space="preserve"/>
      </w:r>
    </w:p>
    <w:p>
      <w:pPr>
        <w:pStyle w:val="Heading2"/>
        <w:spacing w:after="150" w:before="300"/>
      </w:pPr>
      <w:r>
        <w:t xml:space="preserve">18.2 IT Audit Activities</w:t>
      </w:r>
    </w:p>
    <w:p>
      <w:pPr>
        <w:spacing w:after="120" w:line="276"/>
      </w:pPr>
      <w:r>
        <w:rPr>
          <w:sz w:val="22"/>
          <w:szCs w:val="22"/>
        </w:rPr>
        <w:t xml:space="preserve">The IT team supports internal and external audit activities:</w:t>
      </w:r>
    </w:p>
    <w:p>
      <w:pPr>
        <w:pStyle w:val="ListParagraph"/>
        <w:numPr>
          <w:ilvl w:val="0"/>
          <w:numId w:val="1"/>
        </w:numPr>
        <w:spacing w:after="80"/>
      </w:pPr>
      <w:r>
        <w:rPr>
          <w:sz w:val="22"/>
          <w:szCs w:val="22"/>
        </w:rPr>
        <w:t xml:space="preserve">SOC 2 evidence collection: DevSecOps maintains an evidence vault (SharePoint) with screenshots, exports, and configurations demonstrating each control; updated quarterly</w:t>
      </w:r>
    </w:p>
    <w:p>
      <w:pPr>
        <w:pStyle w:val="ListParagraph"/>
        <w:numPr>
          <w:ilvl w:val="0"/>
          <w:numId w:val="1"/>
        </w:numPr>
        <w:spacing w:after="80"/>
      </w:pPr>
      <w:r>
        <w:rPr>
          <w:sz w:val="22"/>
          <w:szCs w:val="22"/>
        </w:rPr>
        <w:t xml:space="preserve">ISO 27001 internal audit: Annual internal audit conducted by the CISO and an independent IT team member against all 93 Annex A controls; findings remediated before external audit</w:t>
      </w:r>
    </w:p>
    <w:p>
      <w:pPr>
        <w:pStyle w:val="ListParagraph"/>
        <w:numPr>
          <w:ilvl w:val="0"/>
          <w:numId w:val="1"/>
        </w:numPr>
        <w:spacing w:after="80"/>
      </w:pPr>
      <w:r>
        <w:rPr>
          <w:sz w:val="22"/>
          <w:szCs w:val="22"/>
        </w:rPr>
        <w:t xml:space="preserve">Penetration testing: Annual full-scope penetration test by a CREST-accredited third party; results reviewed by CISO and CTO; Critical and High findings remediated within SLA (Section 8.2)</w:t>
      </w:r>
    </w:p>
    <w:p>
      <w:pPr>
        <w:pStyle w:val="ListParagraph"/>
        <w:numPr>
          <w:ilvl w:val="0"/>
          <w:numId w:val="1"/>
        </w:numPr>
        <w:spacing w:after="80"/>
      </w:pPr>
      <w:r>
        <w:rPr>
          <w:sz w:val="22"/>
          <w:szCs w:val="22"/>
        </w:rPr>
        <w:t xml:space="preserve">Vulnerability scanning: Continuous automated scanning via Wiz (cloud) and Snyk (code/containers); weekly reports to Engineering leads and CISO</w:t>
      </w:r>
    </w:p>
    <w:p>
      <w:r>
        <w:br w:type="page"/>
      </w:r>
    </w:p>
    <w:p>
      <w:pPr>
        <w:pStyle w:val="Heading1"/>
        <w:spacing w:after="200" w:before="400"/>
      </w:pPr>
      <w:r>
        <w:t xml:space="preserve">19. AI / ML Infrastructure Policy</w:t>
      </w:r>
    </w:p>
    <w:p>
      <w:pPr>
        <w:pStyle w:val="Heading2"/>
        <w:spacing w:after="150" w:before="300"/>
      </w:pPr>
      <w:r>
        <w:t xml:space="preserve">19.1 AI Infrastructure Overview</w:t>
      </w:r>
    </w:p>
    <w:p>
      <w:pPr>
        <w:spacing w:after="120" w:line="276"/>
      </w:pPr>
      <w:r>
        <w:rPr>
          <w:sz w:val="22"/>
          <w:szCs w:val="22"/>
        </w:rPr>
        <w:t xml:space="preserve">OptiAgent Technologies operates both its own AI/ML infrastructure and relies on third-party LLM API providers. The AI Platform team (Head of AI Engineering) owns the AI infrastructure policy, with oversight from the CISO on security and the Chief AI Officer on model governance. This section covers infrastructure and operations; for end-user AI usage, see Company Policy (OAT-CP-001) Section 12.</w:t>
      </w:r>
    </w:p>
    <w:p>
      <w:pPr>
        <w:pStyle w:val="Heading2"/>
        <w:spacing w:after="150" w:before="300"/>
      </w:pPr>
      <w:r>
        <w:t xml:space="preserve">19.2 LLM API Provider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gridCol w:w="2160"/>
      </w:tblGrid>
      <w:tr>
        <w:tc>
          <w:tcPr>
            <w:tcW w:type="dxa" w:w="2200"/>
            <w:shd w:fill="145A32" w:color="145A32" w:val="clear"/>
          </w:tcPr>
          <w:p>
            <w:pPr>
              <w:spacing w:after="60"/>
            </w:pPr>
            <w:r>
              <w:rPr>
                <w:b/>
                <w:bCs/>
                <w:color w:val="FFFFFF"/>
                <w:sz w:val="20"/>
                <w:szCs w:val="20"/>
              </w:rPr>
              <w:t xml:space="preserve">Provider</w:t>
            </w:r>
          </w:p>
        </w:tc>
        <w:tc>
          <w:tcPr>
            <w:tcW w:type="dxa" w:w="2400"/>
            <w:shd w:fill="145A32" w:color="145A32" w:val="clear"/>
          </w:tcPr>
          <w:p>
            <w:pPr>
              <w:spacing w:after="60"/>
            </w:pPr>
            <w:r>
              <w:rPr>
                <w:b/>
                <w:bCs/>
                <w:color w:val="FFFFFF"/>
                <w:sz w:val="20"/>
                <w:szCs w:val="20"/>
              </w:rPr>
              <w:t xml:space="preserve">Use Case</w:t>
            </w:r>
          </w:p>
        </w:tc>
        <w:tc>
          <w:tcPr>
            <w:tcW w:type="dxa" w:w="2400"/>
            <w:shd w:fill="145A32" w:color="145A32" w:val="clear"/>
          </w:tcPr>
          <w:p>
            <w:pPr>
              <w:spacing w:after="60"/>
            </w:pPr>
            <w:r>
              <w:rPr>
                <w:b/>
                <w:bCs/>
                <w:color w:val="FFFFFF"/>
                <w:sz w:val="20"/>
                <w:szCs w:val="20"/>
              </w:rPr>
              <w:t xml:space="preserve">Data Classification Permitted</w:t>
            </w:r>
          </w:p>
        </w:tc>
        <w:tc>
          <w:tcPr>
            <w:tcW w:type="dxa" w:w="2200"/>
            <w:shd w:fill="145A32" w:color="145A32" w:val="clear"/>
          </w:tcPr>
          <w:p>
            <w:pPr>
              <w:spacing w:after="60"/>
            </w:pPr>
            <w:r>
              <w:rPr>
                <w:b/>
                <w:bCs/>
                <w:color w:val="FFFFFF"/>
                <w:sz w:val="20"/>
                <w:szCs w:val="20"/>
              </w:rPr>
              <w:t xml:space="preserve">Access Control</w:t>
            </w:r>
          </w:p>
        </w:tc>
        <w:tc>
          <w:tcPr>
            <w:tcW w:type="dxa" w:w="2160"/>
            <w:shd w:fill="145A32" w:color="145A32" w:val="clear"/>
          </w:tcPr>
          <w:p>
            <w:pPr>
              <w:spacing w:after="60"/>
            </w:pPr>
            <w:r>
              <w:rPr>
                <w:b/>
                <w:bCs/>
                <w:color w:val="FFFFFF"/>
                <w:sz w:val="20"/>
                <w:szCs w:val="20"/>
              </w:rPr>
              <w:t xml:space="preserve">Cost Control</w:t>
            </w:r>
          </w:p>
        </w:tc>
      </w:tr>
      <w:tr>
        <w:tc>
          <w:tcPr>
            <w:tcW w:type="dxa" w:w="2200"/>
            <w:shd w:fill="E9F7EF" w:color="E9F7EF" w:val="clear"/>
          </w:tcPr>
          <w:p>
            <w:pPr>
              <w:spacing w:after="60"/>
            </w:pPr>
            <w:r>
              <w:rPr>
                <w:sz w:val="20"/>
                <w:szCs w:val="20"/>
              </w:rPr>
              <w:t xml:space="preserve">OpenAI API (GPT-4, GPT-4o)</w:t>
            </w:r>
          </w:p>
        </w:tc>
        <w:tc>
          <w:tcPr>
            <w:tcW w:type="dxa" w:w="2400"/>
            <w:shd w:fill="E9F7EF" w:color="E9F7EF" w:val="clear"/>
          </w:tcPr>
          <w:p>
            <w:pPr>
              <w:spacing w:after="60"/>
            </w:pPr>
            <w:r>
              <w:rPr>
                <w:sz w:val="20"/>
                <w:szCs w:val="20"/>
              </w:rPr>
              <w:t xml:space="preserve">Customer-facing product features; internal experimentation</w:t>
            </w:r>
          </w:p>
        </w:tc>
        <w:tc>
          <w:tcPr>
            <w:tcW w:type="dxa" w:w="2400"/>
            <w:shd w:fill="E9F7EF" w:color="E9F7EF" w:val="clear"/>
          </w:tcPr>
          <w:p>
            <w:pPr>
              <w:spacing w:after="60"/>
            </w:pPr>
            <w:r>
              <w:rPr>
                <w:sz w:val="20"/>
                <w:szCs w:val="20"/>
              </w:rPr>
              <w:t xml:space="preserve">Confidential data with DPA in place; NO Restricted PII or PHI without explicit Legal approval</w:t>
            </w:r>
          </w:p>
        </w:tc>
        <w:tc>
          <w:tcPr>
            <w:tcW w:type="dxa" w:w="2200"/>
            <w:shd w:fill="E9F7EF" w:color="E9F7EF" w:val="clear"/>
          </w:tcPr>
          <w:p>
            <w:pPr>
              <w:spacing w:after="60"/>
            </w:pPr>
            <w:r>
              <w:rPr>
                <w:sz w:val="20"/>
                <w:szCs w:val="20"/>
              </w:rPr>
              <w:t xml:space="preserve">API keys in AWS Secrets Manager; per-team key rotation quarterly; rate limits enforced</w:t>
            </w:r>
          </w:p>
        </w:tc>
        <w:tc>
          <w:tcPr>
            <w:tcW w:type="dxa" w:w="2160"/>
            <w:shd w:fill="E9F7EF" w:color="E9F7EF" w:val="clear"/>
          </w:tcPr>
          <w:p>
            <w:pPr>
              <w:spacing w:after="60"/>
            </w:pPr>
            <w:r>
              <w:rPr>
                <w:sz w:val="20"/>
                <w:szCs w:val="20"/>
              </w:rPr>
              <w:t xml:space="preserve">Monthly spend alerts; budget caps per team enforced via API gateway</w:t>
            </w:r>
          </w:p>
        </w:tc>
      </w:tr>
      <w:tr>
        <w:tc>
          <w:tcPr>
            <w:tcW w:type="dxa" w:w="2200"/>
            <w:shd w:fill="FFFFFF" w:color="FFFFFF" w:val="clear"/>
          </w:tcPr>
          <w:p>
            <w:pPr>
              <w:spacing w:after="60"/>
            </w:pPr>
            <w:r>
              <w:rPr>
                <w:sz w:val="20"/>
                <w:szCs w:val="20"/>
              </w:rPr>
              <w:t xml:space="preserve">Anthropic API (Claude)</w:t>
            </w:r>
          </w:p>
        </w:tc>
        <w:tc>
          <w:tcPr>
            <w:tcW w:type="dxa" w:w="2400"/>
            <w:shd w:fill="FFFFFF" w:color="FFFFFF" w:val="clear"/>
          </w:tcPr>
          <w:p>
            <w:pPr>
              <w:spacing w:after="60"/>
            </w:pPr>
            <w:r>
              <w:rPr>
                <w:sz w:val="20"/>
                <w:szCs w:val="20"/>
              </w:rPr>
              <w:t xml:space="preserve">Product features; long-context tasks; code review agents</w:t>
            </w:r>
          </w:p>
        </w:tc>
        <w:tc>
          <w:tcPr>
            <w:tcW w:type="dxa" w:w="2400"/>
            <w:shd w:fill="FFFFFF" w:color="FFFFFF" w:val="clear"/>
          </w:tcPr>
          <w:p>
            <w:pPr>
              <w:spacing w:after="60"/>
            </w:pPr>
            <w:r>
              <w:rPr>
                <w:sz w:val="20"/>
                <w:szCs w:val="20"/>
              </w:rPr>
              <w:t xml:space="preserve">Confidential data with DPA; same Restricted/PHI restrictions apply</w:t>
            </w:r>
          </w:p>
        </w:tc>
        <w:tc>
          <w:tcPr>
            <w:tcW w:type="dxa" w:w="2200"/>
            <w:shd w:fill="FFFFFF" w:color="FFFFFF" w:val="clear"/>
          </w:tcPr>
          <w:p>
            <w:pPr>
              <w:spacing w:after="60"/>
            </w:pPr>
            <w:r>
              <w:rPr>
                <w:sz w:val="20"/>
                <w:szCs w:val="20"/>
              </w:rPr>
              <w:t xml:space="preserve">API keys in Vault; team-level keys; quarterly rotation</w:t>
            </w:r>
          </w:p>
        </w:tc>
        <w:tc>
          <w:tcPr>
            <w:tcW w:type="dxa" w:w="2160"/>
            <w:shd w:fill="FFFFFF" w:color="FFFFFF" w:val="clear"/>
          </w:tcPr>
          <w:p>
            <w:pPr>
              <w:spacing w:after="60"/>
            </w:pPr>
            <w:r>
              <w:rPr>
                <w:sz w:val="20"/>
                <w:szCs w:val="20"/>
              </w:rPr>
              <w:t xml:space="preserve">Budget cap alerts in Datadog</w:t>
            </w:r>
          </w:p>
        </w:tc>
      </w:tr>
      <w:tr>
        <w:tc>
          <w:tcPr>
            <w:tcW w:type="dxa" w:w="2200"/>
            <w:shd w:fill="E9F7EF" w:color="E9F7EF" w:val="clear"/>
          </w:tcPr>
          <w:p>
            <w:pPr>
              <w:spacing w:after="60"/>
            </w:pPr>
            <w:r>
              <w:rPr>
                <w:sz w:val="20"/>
                <w:szCs w:val="20"/>
              </w:rPr>
              <w:t xml:space="preserve">Google Vertex AI (Gemini)</w:t>
            </w:r>
          </w:p>
        </w:tc>
        <w:tc>
          <w:tcPr>
            <w:tcW w:type="dxa" w:w="2400"/>
            <w:shd w:fill="E9F7EF" w:color="E9F7EF" w:val="clear"/>
          </w:tcPr>
          <w:p>
            <w:pPr>
              <w:spacing w:after="60"/>
            </w:pPr>
            <w:r>
              <w:rPr>
                <w:sz w:val="20"/>
                <w:szCs w:val="20"/>
              </w:rPr>
              <w:t xml:space="preserve">Multimodal features; GCP-native workloads</w:t>
            </w:r>
          </w:p>
        </w:tc>
        <w:tc>
          <w:tcPr>
            <w:tcW w:type="dxa" w:w="2400"/>
            <w:shd w:fill="E9F7EF" w:color="E9F7EF" w:val="clear"/>
          </w:tcPr>
          <w:p>
            <w:pPr>
              <w:spacing w:after="60"/>
            </w:pPr>
            <w:r>
              <w:rPr>
                <w:sz w:val="20"/>
                <w:szCs w:val="20"/>
              </w:rPr>
              <w:t xml:space="preserve">Confidential; GCP DPA in place</w:t>
            </w:r>
          </w:p>
        </w:tc>
        <w:tc>
          <w:tcPr>
            <w:tcW w:type="dxa" w:w="2200"/>
            <w:shd w:fill="E9F7EF" w:color="E9F7EF" w:val="clear"/>
          </w:tcPr>
          <w:p>
            <w:pPr>
              <w:spacing w:after="60"/>
            </w:pPr>
            <w:r>
              <w:rPr>
                <w:sz w:val="20"/>
                <w:szCs w:val="20"/>
              </w:rPr>
              <w:t xml:space="preserve">Service account with Workload Identity Federation; no downloaded keys</w:t>
            </w:r>
          </w:p>
        </w:tc>
        <w:tc>
          <w:tcPr>
            <w:tcW w:type="dxa" w:w="2160"/>
            <w:shd w:fill="E9F7EF" w:color="E9F7EF" w:val="clear"/>
          </w:tcPr>
          <w:p>
            <w:pPr>
              <w:spacing w:after="60"/>
            </w:pPr>
            <w:r>
              <w:rPr>
                <w:sz w:val="20"/>
                <w:szCs w:val="20"/>
              </w:rPr>
              <w:t xml:space="preserve">GCP budget alerts</w:t>
            </w:r>
          </w:p>
        </w:tc>
      </w:tr>
      <w:tr>
        <w:tc>
          <w:tcPr>
            <w:tcW w:type="dxa" w:w="2200"/>
            <w:shd w:fill="FFFFFF" w:color="FFFFFF" w:val="clear"/>
          </w:tcPr>
          <w:p>
            <w:pPr>
              <w:spacing w:after="60"/>
            </w:pPr>
            <w:r>
              <w:rPr>
                <w:sz w:val="20"/>
                <w:szCs w:val="20"/>
              </w:rPr>
              <w:t xml:space="preserve">Internal Fine-tuned Models</w:t>
            </w:r>
          </w:p>
        </w:tc>
        <w:tc>
          <w:tcPr>
            <w:tcW w:type="dxa" w:w="2400"/>
            <w:shd w:fill="FFFFFF" w:color="FFFFFF" w:val="clear"/>
          </w:tcPr>
          <w:p>
            <w:pPr>
              <w:spacing w:after="60"/>
            </w:pPr>
            <w:r>
              <w:rPr>
                <w:sz w:val="20"/>
                <w:szCs w:val="20"/>
              </w:rPr>
              <w:t xml:space="preserve">Domain-specific tasks; customer-specific models</w:t>
            </w:r>
          </w:p>
        </w:tc>
        <w:tc>
          <w:tcPr>
            <w:tcW w:type="dxa" w:w="2400"/>
            <w:shd w:fill="FFFFFF" w:color="FFFFFF" w:val="clear"/>
          </w:tcPr>
          <w:p>
            <w:pPr>
              <w:spacing w:after="60"/>
            </w:pPr>
            <w:r>
              <w:rPr>
                <w:sz w:val="20"/>
                <w:szCs w:val="20"/>
              </w:rPr>
              <w:t xml:space="preserve">All classification tiers permitted (data remains within OptiAgent infra)</w:t>
            </w:r>
          </w:p>
        </w:tc>
        <w:tc>
          <w:tcPr>
            <w:tcW w:type="dxa" w:w="2200"/>
            <w:shd w:fill="FFFFFF" w:color="FFFFFF" w:val="clear"/>
          </w:tcPr>
          <w:p>
            <w:pPr>
              <w:spacing w:after="60"/>
            </w:pPr>
            <w:r>
              <w:rPr>
                <w:sz w:val="20"/>
                <w:szCs w:val="20"/>
              </w:rPr>
              <w:t xml:space="preserve">IAM roles; model endpoints within private VPC; no public internet exposure</w:t>
            </w:r>
          </w:p>
        </w:tc>
        <w:tc>
          <w:tcPr>
            <w:tcW w:type="dxa" w:w="2160"/>
            <w:shd w:fill="FFFFFF" w:color="FFFFFF" w:val="clear"/>
          </w:tcPr>
          <w:p>
            <w:pPr>
              <w:spacing w:after="60"/>
            </w:pPr>
            <w:r>
              <w:rPr>
                <w:sz w:val="20"/>
                <w:szCs w:val="20"/>
              </w:rPr>
              <w:t xml:space="preserve">Capacity planning via GPU utilization monitoring</w:t>
            </w:r>
          </w:p>
        </w:tc>
      </w:tr>
      <w:tr>
        <w:tc>
          <w:tcPr>
            <w:tcW w:type="dxa" w:w="2200"/>
            <w:shd w:fill="E9F7EF" w:color="E9F7EF" w:val="clear"/>
          </w:tcPr>
          <w:p>
            <w:pPr>
              <w:spacing w:after="60"/>
            </w:pPr>
            <w:r>
              <w:rPr>
                <w:sz w:val="20"/>
                <w:szCs w:val="20"/>
              </w:rPr>
              <w:t xml:space="preserve">Hugging Face (self-hosted)</w:t>
            </w:r>
          </w:p>
        </w:tc>
        <w:tc>
          <w:tcPr>
            <w:tcW w:type="dxa" w:w="2400"/>
            <w:shd w:fill="E9F7EF" w:color="E9F7EF" w:val="clear"/>
          </w:tcPr>
          <w:p>
            <w:pPr>
              <w:spacing w:after="60"/>
            </w:pPr>
            <w:r>
              <w:rPr>
                <w:sz w:val="20"/>
                <w:szCs w:val="20"/>
              </w:rPr>
              <w:t xml:space="preserve">Open-source model experimentation; on-premise inference</w:t>
            </w:r>
          </w:p>
        </w:tc>
        <w:tc>
          <w:tcPr>
            <w:tcW w:type="dxa" w:w="2400"/>
            <w:shd w:fill="E9F7EF" w:color="E9F7EF" w:val="clear"/>
          </w:tcPr>
          <w:p>
            <w:pPr>
              <w:spacing w:after="60"/>
            </w:pPr>
            <w:r>
              <w:rPr>
                <w:sz w:val="20"/>
                <w:szCs w:val="20"/>
              </w:rPr>
              <w:t xml:space="preserve">All tiers permitted (self-hosted)</w:t>
            </w:r>
          </w:p>
        </w:tc>
        <w:tc>
          <w:tcPr>
            <w:tcW w:type="dxa" w:w="2200"/>
            <w:shd w:fill="E9F7EF" w:color="E9F7EF" w:val="clear"/>
          </w:tcPr>
          <w:p>
            <w:pPr>
              <w:spacing w:after="60"/>
            </w:pPr>
            <w:r>
              <w:rPr>
                <w:sz w:val="20"/>
                <w:szCs w:val="20"/>
              </w:rPr>
              <w:t xml:space="preserve">Internal network only; Okta SSO for model registry access</w:t>
            </w:r>
          </w:p>
        </w:tc>
        <w:tc>
          <w:tcPr>
            <w:tcW w:type="dxa" w:w="2160"/>
            <w:shd w:fill="E9F7EF" w:color="E9F7EF" w:val="clear"/>
          </w:tcPr>
          <w:p>
            <w:pPr>
              <w:spacing w:after="60"/>
            </w:pPr>
            <w:r>
              <w:rPr>
                <w:sz w:val="20"/>
                <w:szCs w:val="20"/>
              </w:rPr>
              <w:t xml:space="preserve">GPU cost monitoring via Datadog</w:t>
            </w:r>
          </w:p>
        </w:tc>
      </w:tr>
    </w:tbl>
    <w:p>
      <w:pPr>
        <w:spacing w:after="80"/>
      </w:pPr>
      <w:r>
        <w:t xml:space="preserve"/>
      </w:r>
    </w:p>
    <w:p>
      <w:pPr>
        <w:pStyle w:val="Heading2"/>
        <w:spacing w:after="150" w:before="300"/>
      </w:pPr>
      <w:r>
        <w:t xml:space="preserve">19.3 Training Data Governance</w:t>
      </w:r>
    </w:p>
    <w:p>
      <w:pPr>
        <w:spacing w:after="120" w:line="276"/>
      </w:pPr>
      <w:r>
        <w:rPr>
          <w:sz w:val="22"/>
          <w:szCs w:val="22"/>
        </w:rPr>
        <w:t xml:space="preserve">All data used to train or fine-tune AI/ML models at OptiAgent must comply with:</w:t>
      </w:r>
    </w:p>
    <w:p>
      <w:pPr>
        <w:pStyle w:val="ListParagraph"/>
        <w:numPr>
          <w:ilvl w:val="0"/>
          <w:numId w:val="1"/>
        </w:numPr>
        <w:spacing w:after="80"/>
      </w:pPr>
      <w:r>
        <w:rPr>
          <w:sz w:val="22"/>
          <w:szCs w:val="22"/>
        </w:rPr>
        <w:t xml:space="preserve">Legal basis: Training on customer data requires explicit customer consent or a legitimate interest assessment approved by Legal and Privacy</w:t>
      </w:r>
    </w:p>
    <w:p>
      <w:pPr>
        <w:pStyle w:val="ListParagraph"/>
        <w:numPr>
          <w:ilvl w:val="0"/>
          <w:numId w:val="1"/>
        </w:numPr>
        <w:spacing w:after="80"/>
      </w:pPr>
      <w:r>
        <w:rPr>
          <w:sz w:val="22"/>
          <w:szCs w:val="22"/>
        </w:rPr>
        <w:t xml:space="preserve">PII minimization: PII must be removed or pseudonymized from training datasets using approved tools before model training</w:t>
      </w:r>
    </w:p>
    <w:p>
      <w:pPr>
        <w:pStyle w:val="ListParagraph"/>
        <w:numPr>
          <w:ilvl w:val="0"/>
          <w:numId w:val="1"/>
        </w:numPr>
        <w:spacing w:after="80"/>
      </w:pPr>
      <w:r>
        <w:rPr>
          <w:sz w:val="22"/>
          <w:szCs w:val="22"/>
        </w:rPr>
        <w:t xml:space="preserve">Data provenance: All training datasets must have documented provenance (source, license, collection method) in the MLflow experiment registry</w:t>
      </w:r>
    </w:p>
    <w:p>
      <w:pPr>
        <w:pStyle w:val="ListParagraph"/>
        <w:numPr>
          <w:ilvl w:val="0"/>
          <w:numId w:val="1"/>
        </w:numPr>
        <w:spacing w:after="80"/>
      </w:pPr>
      <w:r>
        <w:rPr>
          <w:sz w:val="22"/>
          <w:szCs w:val="22"/>
        </w:rPr>
        <w:t xml:space="preserve">Bias and fairness evaluation: All models deployed to production must pass a bias and fairness evaluation; results documented and approved by the AI Ethics team (ai.ethics@optiagent.com)</w:t>
      </w:r>
    </w:p>
    <w:p>
      <w:pPr>
        <w:pStyle w:val="ListParagraph"/>
        <w:numPr>
          <w:ilvl w:val="0"/>
          <w:numId w:val="1"/>
        </w:numPr>
        <w:spacing w:after="80"/>
      </w:pPr>
      <w:r>
        <w:rPr>
          <w:sz w:val="22"/>
          <w:szCs w:val="22"/>
        </w:rPr>
        <w:t xml:space="preserve">Model versioning: All model versions (including training data hash, hyperparameters, and evaluation metrics) are tracked in MLflow and stored in S3</w:t>
      </w:r>
    </w:p>
    <w:p>
      <w:pPr>
        <w:pStyle w:val="ListParagraph"/>
        <w:numPr>
          <w:ilvl w:val="0"/>
          <w:numId w:val="1"/>
        </w:numPr>
        <w:spacing w:after="80"/>
      </w:pPr>
      <w:r>
        <w:rPr>
          <w:sz w:val="22"/>
          <w:szCs w:val="22"/>
        </w:rPr>
        <w:t xml:space="preserve">Training data retention: Training datasets are retained for 5 years (regulatory requirement) per the Records Retention policy in Company Policy OAT-CP-001 Section 14</w:t>
      </w:r>
    </w:p>
    <w:p>
      <w:pPr>
        <w:pStyle w:val="Heading2"/>
        <w:spacing w:after="150" w:before="300"/>
      </w:pPr>
      <w:r>
        <w:t xml:space="preserve">19.4 Model Deployment Standards</w:t>
      </w:r>
    </w:p>
    <w:p>
      <w:pPr>
        <w:spacing w:after="120" w:line="276"/>
      </w:pPr>
      <w:r>
        <w:rPr>
          <w:sz w:val="22"/>
          <w:szCs w:val="22"/>
        </w:rPr>
        <w:t xml:space="preserve">AI models deployed to production must comply with:</w:t>
      </w:r>
    </w:p>
    <w:p>
      <w:pPr>
        <w:pStyle w:val="ListParagraph"/>
        <w:numPr>
          <w:ilvl w:val="0"/>
          <w:numId w:val="1"/>
        </w:numPr>
        <w:spacing w:after="80"/>
      </w:pPr>
      <w:r>
        <w:rPr>
          <w:sz w:val="22"/>
          <w:szCs w:val="22"/>
        </w:rPr>
        <w:t xml:space="preserve">Security review: Model endpoints reviewed by DevSecOps before production deployment</w:t>
      </w:r>
    </w:p>
    <w:p>
      <w:pPr>
        <w:pStyle w:val="ListParagraph"/>
        <w:numPr>
          <w:ilvl w:val="0"/>
          <w:numId w:val="1"/>
        </w:numPr>
        <w:spacing w:after="80"/>
      </w:pPr>
      <w:r>
        <w:rPr>
          <w:sz w:val="22"/>
          <w:szCs w:val="22"/>
        </w:rPr>
        <w:t xml:space="preserve">Prompt injection testing: All LLM-powered endpoints undergo adversarial prompt injection testing before launch</w:t>
      </w:r>
    </w:p>
    <w:p>
      <w:pPr>
        <w:pStyle w:val="ListParagraph"/>
        <w:numPr>
          <w:ilvl w:val="0"/>
          <w:numId w:val="1"/>
        </w:numPr>
        <w:spacing w:after="80"/>
      </w:pPr>
      <w:r>
        <w:rPr>
          <w:sz w:val="22"/>
          <w:szCs w:val="22"/>
        </w:rPr>
        <w:t xml:space="preserve">Output filtering: Production LLM endpoints must implement content filtering for harmful outputs (hate speech, CSAM, self-harm); Perspective API or equivalent required</w:t>
      </w:r>
    </w:p>
    <w:p>
      <w:pPr>
        <w:pStyle w:val="ListParagraph"/>
        <w:numPr>
          <w:ilvl w:val="0"/>
          <w:numId w:val="1"/>
        </w:numPr>
        <w:spacing w:after="80"/>
      </w:pPr>
      <w:r>
        <w:rPr>
          <w:sz w:val="22"/>
          <w:szCs w:val="22"/>
        </w:rPr>
        <w:t xml:space="preserve">Rate limiting: All LLM API endpoints must be rate-limited to prevent abuse and cost overruns</w:t>
      </w:r>
    </w:p>
    <w:p>
      <w:pPr>
        <w:pStyle w:val="ListParagraph"/>
        <w:numPr>
          <w:ilvl w:val="0"/>
          <w:numId w:val="1"/>
        </w:numPr>
        <w:spacing w:after="80"/>
      </w:pPr>
      <w:r>
        <w:rPr>
          <w:sz w:val="22"/>
          <w:szCs w:val="22"/>
        </w:rPr>
        <w:t xml:space="preserve">Human-in-the-loop: High-stakes AI decisions (credit decisions, employment decisions, medical decisions) require a human review step per the AI Usage Policy (Company Policy Section 12.4)</w:t>
      </w:r>
    </w:p>
    <w:p>
      <w:r>
        <w:br w:type="page"/>
      </w:r>
    </w:p>
    <w:p>
      <w:pPr>
        <w:pStyle w:val="Heading1"/>
        <w:spacing w:after="200" w:before="400"/>
      </w:pPr>
      <w:r>
        <w:t xml:space="preserve">20. Glossary &amp; Key Contacts</w:t>
      </w:r>
    </w:p>
    <w:p>
      <w:pPr>
        <w:pStyle w:val="Heading2"/>
        <w:spacing w:after="150" w:before="300"/>
      </w:pPr>
      <w:r>
        <w:t xml:space="preserve">20.1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45A32" w:color="145A32" w:val="clear"/>
          </w:tcPr>
          <w:p>
            <w:pPr>
              <w:spacing w:after="60"/>
            </w:pPr>
            <w:r>
              <w:rPr>
                <w:b/>
                <w:bCs/>
                <w:color w:val="FFFFFF"/>
                <w:sz w:val="20"/>
                <w:szCs w:val="20"/>
              </w:rPr>
              <w:t xml:space="preserve">Term</w:t>
            </w:r>
          </w:p>
        </w:tc>
        <w:tc>
          <w:tcPr>
            <w:tcW w:type="dxa" w:w="7560"/>
            <w:shd w:fill="145A32" w:color="145A32" w:val="clear"/>
          </w:tcPr>
          <w:p>
            <w:pPr>
              <w:spacing w:after="60"/>
            </w:pPr>
            <w:r>
              <w:rPr>
                <w:b/>
                <w:bCs/>
                <w:color w:val="FFFFFF"/>
                <w:sz w:val="20"/>
                <w:szCs w:val="20"/>
              </w:rPr>
              <w:t xml:space="preserve">Definition</w:t>
            </w:r>
          </w:p>
        </w:tc>
      </w:tr>
      <w:tr>
        <w:tc>
          <w:tcPr>
            <w:tcW w:type="dxa" w:w="1800"/>
            <w:shd w:fill="E9F7EF" w:color="E9F7EF" w:val="clear"/>
          </w:tcPr>
          <w:p>
            <w:pPr>
              <w:spacing w:after="60"/>
            </w:pPr>
            <w:r>
              <w:rPr>
                <w:sz w:val="20"/>
                <w:szCs w:val="20"/>
              </w:rPr>
              <w:t xml:space="preserve">APM</w:t>
            </w:r>
          </w:p>
        </w:tc>
        <w:tc>
          <w:tcPr>
            <w:tcW w:type="dxa" w:w="7560"/>
            <w:shd w:fill="E9F7EF" w:color="E9F7EF" w:val="clear"/>
          </w:tcPr>
          <w:p>
            <w:pPr>
              <w:spacing w:after="60"/>
            </w:pPr>
            <w:r>
              <w:rPr>
                <w:sz w:val="20"/>
                <w:szCs w:val="20"/>
              </w:rPr>
              <w:t xml:space="preserve">Application Performance Monitoring — real-time monitoring of application latency, throughput, and error rates</w:t>
            </w:r>
          </w:p>
        </w:tc>
      </w:tr>
      <w:tr>
        <w:tc>
          <w:tcPr>
            <w:tcW w:type="dxa" w:w="1800"/>
            <w:shd w:fill="FFFFFF" w:color="FFFFFF" w:val="clear"/>
          </w:tcPr>
          <w:p>
            <w:pPr>
              <w:spacing w:after="60"/>
            </w:pPr>
            <w:r>
              <w:rPr>
                <w:sz w:val="20"/>
                <w:szCs w:val="20"/>
              </w:rPr>
              <w:t xml:space="preserve">CAB</w:t>
            </w:r>
          </w:p>
        </w:tc>
        <w:tc>
          <w:tcPr>
            <w:tcW w:type="dxa" w:w="7560"/>
            <w:shd w:fill="FFFFFF" w:color="FFFFFF" w:val="clear"/>
          </w:tcPr>
          <w:p>
            <w:pPr>
              <w:spacing w:after="60"/>
            </w:pPr>
            <w:r>
              <w:rPr>
                <w:sz w:val="20"/>
                <w:szCs w:val="20"/>
              </w:rPr>
              <w:t xml:space="preserve">Change Advisory Board — cross-functional team that reviews and approves Normal Major IT changes</w:t>
            </w:r>
          </w:p>
        </w:tc>
      </w:tr>
      <w:tr>
        <w:tc>
          <w:tcPr>
            <w:tcW w:type="dxa" w:w="1800"/>
            <w:shd w:fill="E9F7EF" w:color="E9F7EF" w:val="clear"/>
          </w:tcPr>
          <w:p>
            <w:pPr>
              <w:spacing w:after="60"/>
            </w:pPr>
            <w:r>
              <w:rPr>
                <w:sz w:val="20"/>
                <w:szCs w:val="20"/>
              </w:rPr>
              <w:t xml:space="preserve">CAIQ</w:t>
            </w:r>
          </w:p>
        </w:tc>
        <w:tc>
          <w:tcPr>
            <w:tcW w:type="dxa" w:w="7560"/>
            <w:shd w:fill="E9F7EF" w:color="E9F7EF" w:val="clear"/>
          </w:tcPr>
          <w:p>
            <w:pPr>
              <w:spacing w:after="60"/>
            </w:pPr>
            <w:r>
              <w:rPr>
                <w:sz w:val="20"/>
                <w:szCs w:val="20"/>
              </w:rPr>
              <w:t xml:space="preserve">Consensus Assessment Initiative Questionnaire — cloud security assessment framework by CSA</w:t>
            </w:r>
          </w:p>
        </w:tc>
      </w:tr>
      <w:tr>
        <w:tc>
          <w:tcPr>
            <w:tcW w:type="dxa" w:w="1800"/>
            <w:shd w:fill="FFFFFF" w:color="FFFFFF" w:val="clear"/>
          </w:tcPr>
          <w:p>
            <w:pPr>
              <w:spacing w:after="60"/>
            </w:pPr>
            <w:r>
              <w:rPr>
                <w:sz w:val="20"/>
                <w:szCs w:val="20"/>
              </w:rPr>
              <w:t xml:space="preserve">CREST</w:t>
            </w:r>
          </w:p>
        </w:tc>
        <w:tc>
          <w:tcPr>
            <w:tcW w:type="dxa" w:w="7560"/>
            <w:shd w:fill="FFFFFF" w:color="FFFFFF" w:val="clear"/>
          </w:tcPr>
          <w:p>
            <w:pPr>
              <w:spacing w:after="60"/>
            </w:pPr>
            <w:r>
              <w:rPr>
                <w:sz w:val="20"/>
                <w:szCs w:val="20"/>
              </w:rPr>
              <w:t xml:space="preserve">Council of Registered Ethical Security Testers — accreditation body for penetration testing firms</w:t>
            </w:r>
          </w:p>
        </w:tc>
      </w:tr>
      <w:tr>
        <w:tc>
          <w:tcPr>
            <w:tcW w:type="dxa" w:w="1800"/>
            <w:shd w:fill="E9F7EF" w:color="E9F7EF" w:val="clear"/>
          </w:tcPr>
          <w:p>
            <w:pPr>
              <w:spacing w:after="60"/>
            </w:pPr>
            <w:r>
              <w:rPr>
                <w:sz w:val="20"/>
                <w:szCs w:val="20"/>
              </w:rPr>
              <w:t xml:space="preserve">CVSS</w:t>
            </w:r>
          </w:p>
        </w:tc>
        <w:tc>
          <w:tcPr>
            <w:tcW w:type="dxa" w:w="7560"/>
            <w:shd w:fill="E9F7EF" w:color="E9F7EF" w:val="clear"/>
          </w:tcPr>
          <w:p>
            <w:pPr>
              <w:spacing w:after="60"/>
            </w:pPr>
            <w:r>
              <w:rPr>
                <w:sz w:val="20"/>
                <w:szCs w:val="20"/>
              </w:rPr>
              <w:t xml:space="preserve">Common Vulnerability Scoring System — standardized framework for rating security vulnerability severity (0–10)</w:t>
            </w:r>
          </w:p>
        </w:tc>
      </w:tr>
      <w:tr>
        <w:tc>
          <w:tcPr>
            <w:tcW w:type="dxa" w:w="1800"/>
            <w:shd w:fill="FFFFFF" w:color="FFFFFF" w:val="clear"/>
          </w:tcPr>
          <w:p>
            <w:pPr>
              <w:spacing w:after="60"/>
            </w:pPr>
            <w:r>
              <w:rPr>
                <w:sz w:val="20"/>
                <w:szCs w:val="20"/>
              </w:rPr>
              <w:t xml:space="preserve">DAST</w:t>
            </w:r>
          </w:p>
        </w:tc>
        <w:tc>
          <w:tcPr>
            <w:tcW w:type="dxa" w:w="7560"/>
            <w:shd w:fill="FFFFFF" w:color="FFFFFF" w:val="clear"/>
          </w:tcPr>
          <w:p>
            <w:pPr>
              <w:spacing w:after="60"/>
            </w:pPr>
            <w:r>
              <w:rPr>
                <w:sz w:val="20"/>
                <w:szCs w:val="20"/>
              </w:rPr>
              <w:t xml:space="preserve">Dynamic Application Security Testing — automated security testing of running applications</w:t>
            </w:r>
          </w:p>
        </w:tc>
      </w:tr>
      <w:tr>
        <w:tc>
          <w:tcPr>
            <w:tcW w:type="dxa" w:w="1800"/>
            <w:shd w:fill="E9F7EF" w:color="E9F7EF" w:val="clear"/>
          </w:tcPr>
          <w:p>
            <w:pPr>
              <w:spacing w:after="60"/>
            </w:pPr>
            <w:r>
              <w:rPr>
                <w:sz w:val="20"/>
                <w:szCs w:val="20"/>
              </w:rPr>
              <w:t xml:space="preserve">DPA</w:t>
            </w:r>
          </w:p>
        </w:tc>
        <w:tc>
          <w:tcPr>
            <w:tcW w:type="dxa" w:w="7560"/>
            <w:shd w:fill="E9F7EF" w:color="E9F7EF" w:val="clear"/>
          </w:tcPr>
          <w:p>
            <w:pPr>
              <w:spacing w:after="60"/>
            </w:pPr>
            <w:r>
              <w:rPr>
                <w:sz w:val="20"/>
                <w:szCs w:val="20"/>
              </w:rPr>
              <w:t xml:space="preserve">Data Processing Agreement — contract governing how a vendor processes personal data on behalf of OptiAgent</w:t>
            </w:r>
          </w:p>
        </w:tc>
      </w:tr>
      <w:tr>
        <w:tc>
          <w:tcPr>
            <w:tcW w:type="dxa" w:w="1800"/>
            <w:shd w:fill="FFFFFF" w:color="FFFFFF" w:val="clear"/>
          </w:tcPr>
          <w:p>
            <w:pPr>
              <w:spacing w:after="60"/>
            </w:pPr>
            <w:r>
              <w:rPr>
                <w:sz w:val="20"/>
                <w:szCs w:val="20"/>
              </w:rPr>
              <w:t xml:space="preserve">EDR</w:t>
            </w:r>
          </w:p>
        </w:tc>
        <w:tc>
          <w:tcPr>
            <w:tcW w:type="dxa" w:w="7560"/>
            <w:shd w:fill="FFFFFF" w:color="FFFFFF" w:val="clear"/>
          </w:tcPr>
          <w:p>
            <w:pPr>
              <w:spacing w:after="60"/>
            </w:pPr>
            <w:r>
              <w:rPr>
                <w:sz w:val="20"/>
                <w:szCs w:val="20"/>
              </w:rPr>
              <w:t xml:space="preserve">Endpoint Detection and Response — advanced endpoint security that detects and responds to threats</w:t>
            </w:r>
          </w:p>
        </w:tc>
      </w:tr>
      <w:tr>
        <w:tc>
          <w:tcPr>
            <w:tcW w:type="dxa" w:w="1800"/>
            <w:shd w:fill="E9F7EF" w:color="E9F7EF" w:val="clear"/>
          </w:tcPr>
          <w:p>
            <w:pPr>
              <w:spacing w:after="60"/>
            </w:pPr>
            <w:r>
              <w:rPr>
                <w:sz w:val="20"/>
                <w:szCs w:val="20"/>
              </w:rPr>
              <w:t xml:space="preserve">FIDO2</w:t>
            </w:r>
          </w:p>
        </w:tc>
        <w:tc>
          <w:tcPr>
            <w:tcW w:type="dxa" w:w="7560"/>
            <w:shd w:fill="E9F7EF" w:color="E9F7EF" w:val="clear"/>
          </w:tcPr>
          <w:p>
            <w:pPr>
              <w:spacing w:after="60"/>
            </w:pPr>
            <w:r>
              <w:rPr>
                <w:sz w:val="20"/>
                <w:szCs w:val="20"/>
              </w:rPr>
              <w:t xml:space="preserve">Fast Identity Online 2 — open standard for hardware-based passwordless and phishing-resistant authentication</w:t>
            </w:r>
          </w:p>
        </w:tc>
      </w:tr>
      <w:tr>
        <w:tc>
          <w:tcPr>
            <w:tcW w:type="dxa" w:w="1800"/>
            <w:shd w:fill="FFFFFF" w:color="FFFFFF" w:val="clear"/>
          </w:tcPr>
          <w:p>
            <w:pPr>
              <w:spacing w:after="60"/>
            </w:pPr>
            <w:r>
              <w:rPr>
                <w:sz w:val="20"/>
                <w:szCs w:val="20"/>
              </w:rPr>
              <w:t xml:space="preserve">IaC</w:t>
            </w:r>
          </w:p>
        </w:tc>
        <w:tc>
          <w:tcPr>
            <w:tcW w:type="dxa" w:w="7560"/>
            <w:shd w:fill="FFFFFF" w:color="FFFFFF" w:val="clear"/>
          </w:tcPr>
          <w:p>
            <w:pPr>
              <w:spacing w:after="60"/>
            </w:pPr>
            <w:r>
              <w:rPr>
                <w:sz w:val="20"/>
                <w:szCs w:val="20"/>
              </w:rPr>
              <w:t xml:space="preserve">Infrastructure as Code — managing infrastructure through machine-readable configuration files (Terraform, CloudFormation)</w:t>
            </w:r>
          </w:p>
        </w:tc>
      </w:tr>
      <w:tr>
        <w:tc>
          <w:tcPr>
            <w:tcW w:type="dxa" w:w="1800"/>
            <w:shd w:fill="E9F7EF" w:color="E9F7EF" w:val="clear"/>
          </w:tcPr>
          <w:p>
            <w:pPr>
              <w:spacing w:after="60"/>
            </w:pPr>
            <w:r>
              <w:rPr>
                <w:sz w:val="20"/>
                <w:szCs w:val="20"/>
              </w:rPr>
              <w:t xml:space="preserve">IdP</w:t>
            </w:r>
          </w:p>
        </w:tc>
        <w:tc>
          <w:tcPr>
            <w:tcW w:type="dxa" w:w="7560"/>
            <w:shd w:fill="E9F7EF" w:color="E9F7EF" w:val="clear"/>
          </w:tcPr>
          <w:p>
            <w:pPr>
              <w:spacing w:after="60"/>
            </w:pPr>
            <w:r>
              <w:rPr>
                <w:sz w:val="20"/>
                <w:szCs w:val="20"/>
              </w:rPr>
              <w:t xml:space="preserve">Identity Provider — system that manages digital identities and provides authentication (Okta at OptiAgent)</w:t>
            </w:r>
          </w:p>
        </w:tc>
      </w:tr>
      <w:tr>
        <w:tc>
          <w:tcPr>
            <w:tcW w:type="dxa" w:w="1800"/>
            <w:shd w:fill="FFFFFF" w:color="FFFFFF" w:val="clear"/>
          </w:tcPr>
          <w:p>
            <w:pPr>
              <w:spacing w:after="60"/>
            </w:pPr>
            <w:r>
              <w:rPr>
                <w:sz w:val="20"/>
                <w:szCs w:val="20"/>
              </w:rPr>
              <w:t xml:space="preserve">ITSM</w:t>
            </w:r>
          </w:p>
        </w:tc>
        <w:tc>
          <w:tcPr>
            <w:tcW w:type="dxa" w:w="7560"/>
            <w:shd w:fill="FFFFFF" w:color="FFFFFF" w:val="clear"/>
          </w:tcPr>
          <w:p>
            <w:pPr>
              <w:spacing w:after="60"/>
            </w:pPr>
            <w:r>
              <w:rPr>
                <w:sz w:val="20"/>
                <w:szCs w:val="20"/>
              </w:rPr>
              <w:t xml:space="preserve">IT Service Management — framework for managing IT services (OptiAgent uses ServiceNow)</w:t>
            </w:r>
          </w:p>
        </w:tc>
      </w:tr>
      <w:tr>
        <w:tc>
          <w:tcPr>
            <w:tcW w:type="dxa" w:w="1800"/>
            <w:shd w:fill="E9F7EF" w:color="E9F7EF" w:val="clear"/>
          </w:tcPr>
          <w:p>
            <w:pPr>
              <w:spacing w:after="60"/>
            </w:pPr>
            <w:r>
              <w:rPr>
                <w:sz w:val="20"/>
                <w:szCs w:val="20"/>
              </w:rPr>
              <w:t xml:space="preserve">KEDB</w:t>
            </w:r>
          </w:p>
        </w:tc>
        <w:tc>
          <w:tcPr>
            <w:tcW w:type="dxa" w:w="7560"/>
            <w:shd w:fill="E9F7EF" w:color="E9F7EF" w:val="clear"/>
          </w:tcPr>
          <w:p>
            <w:pPr>
              <w:spacing w:after="60"/>
            </w:pPr>
            <w:r>
              <w:rPr>
                <w:sz w:val="20"/>
                <w:szCs w:val="20"/>
              </w:rPr>
              <w:t xml:space="preserve">Known Error Database — catalogue of known problems with documented workarounds</w:t>
            </w:r>
          </w:p>
        </w:tc>
      </w:tr>
      <w:tr>
        <w:tc>
          <w:tcPr>
            <w:tcW w:type="dxa" w:w="1800"/>
            <w:shd w:fill="FFFFFF" w:color="FFFFFF" w:val="clear"/>
          </w:tcPr>
          <w:p>
            <w:pPr>
              <w:spacing w:after="60"/>
            </w:pPr>
            <w:r>
              <w:rPr>
                <w:sz w:val="20"/>
                <w:szCs w:val="20"/>
              </w:rPr>
              <w:t xml:space="preserve">MIM</w:t>
            </w:r>
          </w:p>
        </w:tc>
        <w:tc>
          <w:tcPr>
            <w:tcW w:type="dxa" w:w="7560"/>
            <w:shd w:fill="FFFFFF" w:color="FFFFFF" w:val="clear"/>
          </w:tcPr>
          <w:p>
            <w:pPr>
              <w:spacing w:after="60"/>
            </w:pPr>
            <w:r>
              <w:rPr>
                <w:sz w:val="20"/>
                <w:szCs w:val="20"/>
              </w:rPr>
              <w:t xml:space="preserve">Major Incident Manager — role responsible for coordinating P1 incident response</w:t>
            </w:r>
          </w:p>
        </w:tc>
      </w:tr>
      <w:tr>
        <w:tc>
          <w:tcPr>
            <w:tcW w:type="dxa" w:w="1800"/>
            <w:shd w:fill="E9F7EF" w:color="E9F7EF" w:val="clear"/>
          </w:tcPr>
          <w:p>
            <w:pPr>
              <w:spacing w:after="60"/>
            </w:pPr>
            <w:r>
              <w:rPr>
                <w:sz w:val="20"/>
                <w:szCs w:val="20"/>
              </w:rPr>
              <w:t xml:space="preserve">MTTR</w:t>
            </w:r>
          </w:p>
        </w:tc>
        <w:tc>
          <w:tcPr>
            <w:tcW w:type="dxa" w:w="7560"/>
            <w:shd w:fill="E9F7EF" w:color="E9F7EF" w:val="clear"/>
          </w:tcPr>
          <w:p>
            <w:pPr>
              <w:spacing w:after="60"/>
            </w:pPr>
            <w:r>
              <w:rPr>
                <w:sz w:val="20"/>
                <w:szCs w:val="20"/>
              </w:rPr>
              <w:t xml:space="preserve">Mean Time To Resolve — average time from incident detection to resolution; key operational metric</w:t>
            </w:r>
          </w:p>
        </w:tc>
      </w:tr>
      <w:tr>
        <w:tc>
          <w:tcPr>
            <w:tcW w:type="dxa" w:w="1800"/>
            <w:shd w:fill="FFFFFF" w:color="FFFFFF" w:val="clear"/>
          </w:tcPr>
          <w:p>
            <w:pPr>
              <w:spacing w:after="60"/>
            </w:pPr>
            <w:r>
              <w:rPr>
                <w:sz w:val="20"/>
                <w:szCs w:val="20"/>
              </w:rPr>
              <w:t xml:space="preserve">PAM</w:t>
            </w:r>
          </w:p>
        </w:tc>
        <w:tc>
          <w:tcPr>
            <w:tcW w:type="dxa" w:w="7560"/>
            <w:shd w:fill="FFFFFF" w:color="FFFFFF" w:val="clear"/>
          </w:tcPr>
          <w:p>
            <w:pPr>
              <w:spacing w:after="60"/>
            </w:pPr>
            <w:r>
              <w:rPr>
                <w:sz w:val="20"/>
                <w:szCs w:val="20"/>
              </w:rPr>
              <w:t xml:space="preserve">Privileged Access Management — controls and monitors privileged (admin) account access (CyberArk at OptiAgent)</w:t>
            </w:r>
          </w:p>
        </w:tc>
      </w:tr>
      <w:tr>
        <w:tc>
          <w:tcPr>
            <w:tcW w:type="dxa" w:w="1800"/>
            <w:shd w:fill="E9F7EF" w:color="E9F7EF" w:val="clear"/>
          </w:tcPr>
          <w:p>
            <w:pPr>
              <w:spacing w:after="60"/>
            </w:pPr>
            <w:r>
              <w:rPr>
                <w:sz w:val="20"/>
                <w:szCs w:val="20"/>
              </w:rPr>
              <w:t xml:space="preserve">PIR</w:t>
            </w:r>
          </w:p>
        </w:tc>
        <w:tc>
          <w:tcPr>
            <w:tcW w:type="dxa" w:w="7560"/>
            <w:shd w:fill="E9F7EF" w:color="E9F7EF" w:val="clear"/>
          </w:tcPr>
          <w:p>
            <w:pPr>
              <w:spacing w:after="60"/>
            </w:pPr>
            <w:r>
              <w:rPr>
                <w:sz w:val="20"/>
                <w:szCs w:val="20"/>
              </w:rPr>
              <w:t xml:space="preserve">Post-Incident Review — structured document analysing the cause, impact, and lessons from a P1 incident</w:t>
            </w:r>
          </w:p>
        </w:tc>
      </w:tr>
      <w:tr>
        <w:tc>
          <w:tcPr>
            <w:tcW w:type="dxa" w:w="1800"/>
            <w:shd w:fill="FFFFFF" w:color="FFFFFF" w:val="clear"/>
          </w:tcPr>
          <w:p>
            <w:pPr>
              <w:spacing w:after="60"/>
            </w:pPr>
            <w:r>
              <w:rPr>
                <w:sz w:val="20"/>
                <w:szCs w:val="20"/>
              </w:rPr>
              <w:t xml:space="preserve">RPO</w:t>
            </w:r>
          </w:p>
        </w:tc>
        <w:tc>
          <w:tcPr>
            <w:tcW w:type="dxa" w:w="7560"/>
            <w:shd w:fill="FFFFFF" w:color="FFFFFF" w:val="clear"/>
          </w:tcPr>
          <w:p>
            <w:pPr>
              <w:spacing w:after="60"/>
            </w:pPr>
            <w:r>
              <w:rPr>
                <w:sz w:val="20"/>
                <w:szCs w:val="20"/>
              </w:rPr>
              <w:t xml:space="preserve">Recovery Point Objective — maximum acceptable amount of data loss (time) in a disaster scenario</w:t>
            </w:r>
          </w:p>
        </w:tc>
      </w:tr>
      <w:tr>
        <w:tc>
          <w:tcPr>
            <w:tcW w:type="dxa" w:w="1800"/>
            <w:shd w:fill="E9F7EF" w:color="E9F7EF" w:val="clear"/>
          </w:tcPr>
          <w:p>
            <w:pPr>
              <w:spacing w:after="60"/>
            </w:pPr>
            <w:r>
              <w:rPr>
                <w:sz w:val="20"/>
                <w:szCs w:val="20"/>
              </w:rPr>
              <w:t xml:space="preserve">RTO</w:t>
            </w:r>
          </w:p>
        </w:tc>
        <w:tc>
          <w:tcPr>
            <w:tcW w:type="dxa" w:w="7560"/>
            <w:shd w:fill="E9F7EF" w:color="E9F7EF" w:val="clear"/>
          </w:tcPr>
          <w:p>
            <w:pPr>
              <w:spacing w:after="60"/>
            </w:pPr>
            <w:r>
              <w:rPr>
                <w:sz w:val="20"/>
                <w:szCs w:val="20"/>
              </w:rPr>
              <w:t xml:space="preserve">Recovery Time Objective — maximum acceptable time to restore a system after a failure</w:t>
            </w:r>
          </w:p>
        </w:tc>
      </w:tr>
      <w:tr>
        <w:tc>
          <w:tcPr>
            <w:tcW w:type="dxa" w:w="1800"/>
            <w:shd w:fill="FFFFFF" w:color="FFFFFF" w:val="clear"/>
          </w:tcPr>
          <w:p>
            <w:pPr>
              <w:spacing w:after="60"/>
            </w:pPr>
            <w:r>
              <w:rPr>
                <w:sz w:val="20"/>
                <w:szCs w:val="20"/>
              </w:rPr>
              <w:t xml:space="preserve">SAST</w:t>
            </w:r>
          </w:p>
        </w:tc>
        <w:tc>
          <w:tcPr>
            <w:tcW w:type="dxa" w:w="7560"/>
            <w:shd w:fill="FFFFFF" w:color="FFFFFF" w:val="clear"/>
          </w:tcPr>
          <w:p>
            <w:pPr>
              <w:spacing w:after="60"/>
            </w:pPr>
            <w:r>
              <w:rPr>
                <w:sz w:val="20"/>
                <w:szCs w:val="20"/>
              </w:rPr>
              <w:t xml:space="preserve">Static Application Security Testing — code analysis for security vulnerabilities without executing the code</w:t>
            </w:r>
          </w:p>
        </w:tc>
      </w:tr>
      <w:tr>
        <w:tc>
          <w:tcPr>
            <w:tcW w:type="dxa" w:w="1800"/>
            <w:shd w:fill="E9F7EF" w:color="E9F7EF" w:val="clear"/>
          </w:tcPr>
          <w:p>
            <w:pPr>
              <w:spacing w:after="60"/>
            </w:pPr>
            <w:r>
              <w:rPr>
                <w:sz w:val="20"/>
                <w:szCs w:val="20"/>
              </w:rPr>
              <w:t xml:space="preserve">SBOM</w:t>
            </w:r>
          </w:p>
        </w:tc>
        <w:tc>
          <w:tcPr>
            <w:tcW w:type="dxa" w:w="7560"/>
            <w:shd w:fill="E9F7EF" w:color="E9F7EF" w:val="clear"/>
          </w:tcPr>
          <w:p>
            <w:pPr>
              <w:spacing w:after="60"/>
            </w:pPr>
            <w:r>
              <w:rPr>
                <w:sz w:val="20"/>
                <w:szCs w:val="20"/>
              </w:rPr>
              <w:t xml:space="preserve">Software Bill of Materials — inventory of all software components and dependencies in an application</w:t>
            </w:r>
          </w:p>
        </w:tc>
      </w:tr>
      <w:tr>
        <w:tc>
          <w:tcPr>
            <w:tcW w:type="dxa" w:w="1800"/>
            <w:shd w:fill="FFFFFF" w:color="FFFFFF" w:val="clear"/>
          </w:tcPr>
          <w:p>
            <w:pPr>
              <w:spacing w:after="60"/>
            </w:pPr>
            <w:r>
              <w:rPr>
                <w:sz w:val="20"/>
                <w:szCs w:val="20"/>
              </w:rPr>
              <w:t xml:space="preserve">SCIM</w:t>
            </w:r>
          </w:p>
        </w:tc>
        <w:tc>
          <w:tcPr>
            <w:tcW w:type="dxa" w:w="7560"/>
            <w:shd w:fill="FFFFFF" w:color="FFFFFF" w:val="clear"/>
          </w:tcPr>
          <w:p>
            <w:pPr>
              <w:spacing w:after="60"/>
            </w:pPr>
            <w:r>
              <w:rPr>
                <w:sz w:val="20"/>
                <w:szCs w:val="20"/>
              </w:rPr>
              <w:t xml:space="preserve">System for Cross-domain Identity Management — protocol for automating user provisioning between systems</w:t>
            </w:r>
          </w:p>
        </w:tc>
      </w:tr>
      <w:tr>
        <w:tc>
          <w:tcPr>
            <w:tcW w:type="dxa" w:w="1800"/>
            <w:shd w:fill="E9F7EF" w:color="E9F7EF" w:val="clear"/>
          </w:tcPr>
          <w:p>
            <w:pPr>
              <w:spacing w:after="60"/>
            </w:pPr>
            <w:r>
              <w:rPr>
                <w:sz w:val="20"/>
                <w:szCs w:val="20"/>
              </w:rPr>
              <w:t xml:space="preserve">SLA</w:t>
            </w:r>
          </w:p>
        </w:tc>
        <w:tc>
          <w:tcPr>
            <w:tcW w:type="dxa" w:w="7560"/>
            <w:shd w:fill="E9F7EF" w:color="E9F7EF" w:val="clear"/>
          </w:tcPr>
          <w:p>
            <w:pPr>
              <w:spacing w:after="60"/>
            </w:pPr>
            <w:r>
              <w:rPr>
                <w:sz w:val="20"/>
                <w:szCs w:val="20"/>
              </w:rPr>
              <w:t xml:space="preserve">Service Level Agreement — committed performance levels for IT services</w:t>
            </w:r>
          </w:p>
        </w:tc>
      </w:tr>
      <w:tr>
        <w:tc>
          <w:tcPr>
            <w:tcW w:type="dxa" w:w="1800"/>
            <w:shd w:fill="FFFFFF" w:color="FFFFFF" w:val="clear"/>
          </w:tcPr>
          <w:p>
            <w:pPr>
              <w:spacing w:after="60"/>
            </w:pPr>
            <w:r>
              <w:rPr>
                <w:sz w:val="20"/>
                <w:szCs w:val="20"/>
              </w:rPr>
              <w:t xml:space="preserve">ZTNA</w:t>
            </w:r>
          </w:p>
        </w:tc>
        <w:tc>
          <w:tcPr>
            <w:tcW w:type="dxa" w:w="7560"/>
            <w:shd w:fill="FFFFFF" w:color="FFFFFF" w:val="clear"/>
          </w:tcPr>
          <w:p>
            <w:pPr>
              <w:spacing w:after="60"/>
            </w:pPr>
            <w:r>
              <w:rPr>
                <w:sz w:val="20"/>
                <w:szCs w:val="20"/>
              </w:rPr>
              <w:t xml:space="preserve">Zero Trust Network Access — access model where no user or device is trusted by default regardless of network location</w:t>
            </w:r>
          </w:p>
        </w:tc>
      </w:tr>
    </w:tbl>
    <w:p>
      <w:pPr>
        <w:spacing w:after="80"/>
      </w:pPr>
      <w:r>
        <w:t xml:space="preserve"/>
      </w:r>
    </w:p>
    <w:p>
      <w:pPr>
        <w:pStyle w:val="Heading2"/>
        <w:spacing w:after="150" w:before="300"/>
      </w:pPr>
      <w:r>
        <w:t xml:space="preserve">20.2 Key IT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shd w:fill="145A32" w:color="145A32" w:val="clear"/>
          </w:tcPr>
          <w:p>
            <w:pPr>
              <w:spacing w:after="60"/>
            </w:pPr>
            <w:r>
              <w:rPr>
                <w:b/>
                <w:bCs/>
                <w:color w:val="FFFFFF"/>
                <w:sz w:val="20"/>
                <w:szCs w:val="20"/>
              </w:rPr>
              <w:t xml:space="preserve">Team / Role</w:t>
            </w:r>
          </w:p>
        </w:tc>
        <w:tc>
          <w:tcPr>
            <w:tcW w:type="dxa" w:w="3200"/>
            <w:shd w:fill="145A32" w:color="145A32" w:val="clear"/>
          </w:tcPr>
          <w:p>
            <w:pPr>
              <w:spacing w:after="60"/>
            </w:pPr>
            <w:r>
              <w:rPr>
                <w:b/>
                <w:bCs/>
                <w:color w:val="FFFFFF"/>
                <w:sz w:val="20"/>
                <w:szCs w:val="20"/>
              </w:rPr>
              <w:t xml:space="preserve">Contact</w:t>
            </w:r>
          </w:p>
        </w:tc>
        <w:tc>
          <w:tcPr>
            <w:tcW w:type="dxa" w:w="3760"/>
            <w:shd w:fill="145A32" w:color="145A32" w:val="clear"/>
          </w:tcPr>
          <w:p>
            <w:pPr>
              <w:spacing w:after="60"/>
            </w:pPr>
            <w:r>
              <w:rPr>
                <w:b/>
                <w:bCs/>
                <w:color w:val="FFFFFF"/>
                <w:sz w:val="20"/>
                <w:szCs w:val="20"/>
              </w:rPr>
              <w:t xml:space="preserve">Email</w:t>
            </w:r>
          </w:p>
        </w:tc>
      </w:tr>
      <w:tr>
        <w:tc>
          <w:tcPr>
            <w:tcW w:type="dxa" w:w="2400"/>
            <w:shd w:fill="E9F7EF" w:color="E9F7EF" w:val="clear"/>
          </w:tcPr>
          <w:p>
            <w:pPr>
              <w:spacing w:after="60"/>
            </w:pPr>
            <w:r>
              <w:rPr>
                <w:sz w:val="20"/>
                <w:szCs w:val="20"/>
              </w:rPr>
              <w:t xml:space="preserve">VP IT Operations</w:t>
            </w:r>
          </w:p>
        </w:tc>
        <w:tc>
          <w:tcPr>
            <w:tcW w:type="dxa" w:w="3200"/>
            <w:shd w:fill="E9F7EF" w:color="E9F7EF" w:val="clear"/>
          </w:tcPr>
          <w:p>
            <w:pPr>
              <w:spacing w:after="60"/>
            </w:pPr>
            <w:r>
              <w:rPr>
                <w:sz w:val="20"/>
                <w:szCs w:val="20"/>
              </w:rPr>
              <w:t xml:space="preserve">Sanjay Mehta</w:t>
            </w:r>
          </w:p>
        </w:tc>
        <w:tc>
          <w:tcPr>
            <w:tcW w:type="dxa" w:w="3760"/>
            <w:shd w:fill="E9F7EF" w:color="E9F7EF" w:val="clear"/>
          </w:tcPr>
          <w:p>
            <w:pPr>
              <w:spacing w:after="60"/>
            </w:pPr>
            <w:r>
              <w:rPr>
                <w:sz w:val="20"/>
                <w:szCs w:val="20"/>
              </w:rPr>
              <w:t xml:space="preserve">sanjay.mehta@optiagent.com</w:t>
            </w:r>
          </w:p>
        </w:tc>
      </w:tr>
      <w:tr>
        <w:tc>
          <w:tcPr>
            <w:tcW w:type="dxa" w:w="2400"/>
            <w:shd w:fill="FFFFFF" w:color="FFFFFF" w:val="clear"/>
          </w:tcPr>
          <w:p>
            <w:pPr>
              <w:spacing w:after="60"/>
            </w:pPr>
            <w:r>
              <w:rPr>
                <w:sz w:val="20"/>
                <w:szCs w:val="20"/>
              </w:rPr>
              <w:t xml:space="preserve">CISO</w:t>
            </w:r>
          </w:p>
        </w:tc>
        <w:tc>
          <w:tcPr>
            <w:tcW w:type="dxa" w:w="3200"/>
            <w:shd w:fill="FFFFFF" w:color="FFFFFF" w:val="clear"/>
          </w:tcPr>
          <w:p>
            <w:pPr>
              <w:spacing w:after="60"/>
            </w:pPr>
            <w:r>
              <w:rPr>
                <w:sz w:val="20"/>
                <w:szCs w:val="20"/>
              </w:rPr>
              <w:t xml:space="preserve">Raj Anand</w:t>
            </w:r>
          </w:p>
        </w:tc>
        <w:tc>
          <w:tcPr>
            <w:tcW w:type="dxa" w:w="3760"/>
            <w:shd w:fill="FFFFFF" w:color="FFFFFF" w:val="clear"/>
          </w:tcPr>
          <w:p>
            <w:pPr>
              <w:spacing w:after="60"/>
            </w:pPr>
            <w:r>
              <w:rPr>
                <w:sz w:val="20"/>
                <w:szCs w:val="20"/>
              </w:rPr>
              <w:t xml:space="preserve">raj.anand@optiagent.com</w:t>
            </w:r>
          </w:p>
        </w:tc>
      </w:tr>
      <w:tr>
        <w:tc>
          <w:tcPr>
            <w:tcW w:type="dxa" w:w="2400"/>
            <w:shd w:fill="E9F7EF" w:color="E9F7EF" w:val="clear"/>
          </w:tcPr>
          <w:p>
            <w:pPr>
              <w:spacing w:after="60"/>
            </w:pPr>
            <w:r>
              <w:rPr>
                <w:sz w:val="20"/>
                <w:szCs w:val="20"/>
              </w:rPr>
              <w:t xml:space="preserve">IT Helpdesk (General)</w:t>
            </w:r>
          </w:p>
        </w:tc>
        <w:tc>
          <w:tcPr>
            <w:tcW w:type="dxa" w:w="3200"/>
            <w:shd w:fill="E9F7EF" w:color="E9F7EF" w:val="clear"/>
          </w:tcPr>
          <w:p>
            <w:pPr>
              <w:spacing w:after="60"/>
            </w:pPr>
            <w:r>
              <w:rPr>
                <w:sz w:val="20"/>
                <w:szCs w:val="20"/>
              </w:rPr>
              <w:t xml:space="preserve">—</w:t>
            </w:r>
          </w:p>
        </w:tc>
        <w:tc>
          <w:tcPr>
            <w:tcW w:type="dxa" w:w="3760"/>
            <w:shd w:fill="E9F7EF" w:color="E9F7EF" w:val="clear"/>
          </w:tcPr>
          <w:p>
            <w:pPr>
              <w:spacing w:after="60"/>
            </w:pPr>
            <w:r>
              <w:rPr>
                <w:sz w:val="20"/>
                <w:szCs w:val="20"/>
              </w:rPr>
              <w:t xml:space="preserve">it.help@optiagent.com</w:t>
            </w:r>
          </w:p>
        </w:tc>
      </w:tr>
      <w:tr>
        <w:tc>
          <w:tcPr>
            <w:tcW w:type="dxa" w:w="2400"/>
            <w:shd w:fill="FFFFFF" w:color="FFFFFF" w:val="clear"/>
          </w:tcPr>
          <w:p>
            <w:pPr>
              <w:spacing w:after="60"/>
            </w:pPr>
            <w:r>
              <w:rPr>
                <w:sz w:val="20"/>
                <w:szCs w:val="20"/>
              </w:rPr>
              <w:t xml:space="preserve">IT Security / SOC</w:t>
            </w:r>
          </w:p>
        </w:tc>
        <w:tc>
          <w:tcPr>
            <w:tcW w:type="dxa" w:w="3200"/>
            <w:shd w:fill="FFFFFF" w:color="FFFFFF" w:val="clear"/>
          </w:tcPr>
          <w:p>
            <w:pPr>
              <w:spacing w:after="60"/>
            </w:pPr>
            <w:r>
              <w:rPr>
                <w:sz w:val="20"/>
                <w:szCs w:val="20"/>
              </w:rPr>
              <w:t xml:space="preserve">—</w:t>
            </w:r>
          </w:p>
        </w:tc>
        <w:tc>
          <w:tcPr>
            <w:tcW w:type="dxa" w:w="3760"/>
            <w:shd w:fill="FFFFFF" w:color="FFFFFF" w:val="clear"/>
          </w:tcPr>
          <w:p>
            <w:pPr>
              <w:spacing w:after="60"/>
            </w:pPr>
            <w:r>
              <w:rPr>
                <w:sz w:val="20"/>
                <w:szCs w:val="20"/>
              </w:rPr>
              <w:t xml:space="preserve">security@optiagent.com</w:t>
            </w:r>
          </w:p>
        </w:tc>
      </w:tr>
      <w:tr>
        <w:tc>
          <w:tcPr>
            <w:tcW w:type="dxa" w:w="2400"/>
            <w:shd w:fill="E9F7EF" w:color="E9F7EF" w:val="clear"/>
          </w:tcPr>
          <w:p>
            <w:pPr>
              <w:spacing w:after="60"/>
            </w:pPr>
            <w:r>
              <w:rPr>
                <w:sz w:val="20"/>
                <w:szCs w:val="20"/>
              </w:rPr>
              <w:t xml:space="preserve">Director, IT Infrastructure</w:t>
            </w:r>
          </w:p>
        </w:tc>
        <w:tc>
          <w:tcPr>
            <w:tcW w:type="dxa" w:w="3200"/>
            <w:shd w:fill="E9F7EF" w:color="E9F7EF" w:val="clear"/>
          </w:tcPr>
          <w:p>
            <w:pPr>
              <w:spacing w:after="60"/>
            </w:pPr>
            <w:r>
              <w:rPr>
                <w:sz w:val="20"/>
                <w:szCs w:val="20"/>
              </w:rPr>
              <w:t xml:space="preserve">Tomasz Kowalski</w:t>
            </w:r>
          </w:p>
        </w:tc>
        <w:tc>
          <w:tcPr>
            <w:tcW w:type="dxa" w:w="3760"/>
            <w:shd w:fill="E9F7EF" w:color="E9F7EF" w:val="clear"/>
          </w:tcPr>
          <w:p>
            <w:pPr>
              <w:spacing w:after="60"/>
            </w:pPr>
            <w:r>
              <w:rPr>
                <w:sz w:val="20"/>
                <w:szCs w:val="20"/>
              </w:rPr>
              <w:t xml:space="preserve">tomasz.kowalski@optiagent.com</w:t>
            </w:r>
          </w:p>
        </w:tc>
      </w:tr>
      <w:tr>
        <w:tc>
          <w:tcPr>
            <w:tcW w:type="dxa" w:w="2400"/>
            <w:shd w:fill="FFFFFF" w:color="FFFFFF" w:val="clear"/>
          </w:tcPr>
          <w:p>
            <w:pPr>
              <w:spacing w:after="60"/>
            </w:pPr>
            <w:r>
              <w:rPr>
                <w:sz w:val="20"/>
                <w:szCs w:val="20"/>
              </w:rPr>
              <w:t xml:space="preserve">Director, DevSecOps</w:t>
            </w:r>
          </w:p>
        </w:tc>
        <w:tc>
          <w:tcPr>
            <w:tcW w:type="dxa" w:w="3200"/>
            <w:shd w:fill="FFFFFF" w:color="FFFFFF" w:val="clear"/>
          </w:tcPr>
          <w:p>
            <w:pPr>
              <w:spacing w:after="60"/>
            </w:pPr>
            <w:r>
              <w:rPr>
                <w:sz w:val="20"/>
                <w:szCs w:val="20"/>
              </w:rPr>
              <w:t xml:space="preserve">Arjun Sharma</w:t>
            </w:r>
          </w:p>
        </w:tc>
        <w:tc>
          <w:tcPr>
            <w:tcW w:type="dxa" w:w="3760"/>
            <w:shd w:fill="FFFFFF" w:color="FFFFFF" w:val="clear"/>
          </w:tcPr>
          <w:p>
            <w:pPr>
              <w:spacing w:after="60"/>
            </w:pPr>
            <w:r>
              <w:rPr>
                <w:sz w:val="20"/>
                <w:szCs w:val="20"/>
              </w:rPr>
              <w:t xml:space="preserve">arjun.sharma@optiagent.com</w:t>
            </w:r>
          </w:p>
        </w:tc>
      </w:tr>
      <w:tr>
        <w:tc>
          <w:tcPr>
            <w:tcW w:type="dxa" w:w="2400"/>
            <w:shd w:fill="E9F7EF" w:color="E9F7EF" w:val="clear"/>
          </w:tcPr>
          <w:p>
            <w:pPr>
              <w:spacing w:after="60"/>
            </w:pPr>
            <w:r>
              <w:rPr>
                <w:sz w:val="20"/>
                <w:szCs w:val="20"/>
              </w:rPr>
              <w:t xml:space="preserve">IT Asset Management</w:t>
            </w:r>
          </w:p>
        </w:tc>
        <w:tc>
          <w:tcPr>
            <w:tcW w:type="dxa" w:w="3200"/>
            <w:shd w:fill="E9F7EF" w:color="E9F7EF" w:val="clear"/>
          </w:tcPr>
          <w:p>
            <w:pPr>
              <w:spacing w:after="60"/>
            </w:pPr>
            <w:r>
              <w:rPr>
                <w:sz w:val="20"/>
                <w:szCs w:val="20"/>
              </w:rPr>
              <w:t xml:space="preserve">Wei Zhang</w:t>
            </w:r>
          </w:p>
        </w:tc>
        <w:tc>
          <w:tcPr>
            <w:tcW w:type="dxa" w:w="3760"/>
            <w:shd w:fill="E9F7EF" w:color="E9F7EF" w:val="clear"/>
          </w:tcPr>
          <w:p>
            <w:pPr>
              <w:spacing w:after="60"/>
            </w:pPr>
            <w:r>
              <w:rPr>
                <w:sz w:val="20"/>
                <w:szCs w:val="20"/>
              </w:rPr>
              <w:t xml:space="preserve">wei.zhang@optiagent.com</w:t>
            </w:r>
          </w:p>
        </w:tc>
      </w:tr>
      <w:tr>
        <w:tc>
          <w:tcPr>
            <w:tcW w:type="dxa" w:w="2400"/>
            <w:shd w:fill="FFFFFF" w:color="FFFFFF" w:val="clear"/>
          </w:tcPr>
          <w:p>
            <w:pPr>
              <w:spacing w:after="60"/>
            </w:pPr>
            <w:r>
              <w:rPr>
                <w:sz w:val="20"/>
                <w:szCs w:val="20"/>
              </w:rPr>
              <w:t xml:space="preserve">IT Procurement</w:t>
            </w:r>
          </w:p>
        </w:tc>
        <w:tc>
          <w:tcPr>
            <w:tcW w:type="dxa" w:w="3200"/>
            <w:shd w:fill="FFFFFF" w:color="FFFFFF" w:val="clear"/>
          </w:tcPr>
          <w:p>
            <w:pPr>
              <w:spacing w:after="60"/>
            </w:pPr>
            <w:r>
              <w:rPr>
                <w:sz w:val="20"/>
                <w:szCs w:val="20"/>
              </w:rPr>
              <w:t xml:space="preserve">Fatima Al-Rashid</w:t>
            </w:r>
          </w:p>
        </w:tc>
        <w:tc>
          <w:tcPr>
            <w:tcW w:type="dxa" w:w="3760"/>
            <w:shd w:fill="FFFFFF" w:color="FFFFFF" w:val="clear"/>
          </w:tcPr>
          <w:p>
            <w:pPr>
              <w:spacing w:after="60"/>
            </w:pPr>
            <w:r>
              <w:rPr>
                <w:sz w:val="20"/>
                <w:szCs w:val="20"/>
              </w:rPr>
              <w:t xml:space="preserve">fatima.al-rashid@optiagent.com</w:t>
            </w:r>
          </w:p>
        </w:tc>
      </w:tr>
      <w:tr>
        <w:tc>
          <w:tcPr>
            <w:tcW w:type="dxa" w:w="2400"/>
            <w:shd w:fill="E9F7EF" w:color="E9F7EF" w:val="clear"/>
          </w:tcPr>
          <w:p>
            <w:pPr>
              <w:spacing w:after="60"/>
            </w:pPr>
            <w:r>
              <w:rPr>
                <w:sz w:val="20"/>
                <w:szCs w:val="20"/>
              </w:rPr>
              <w:t xml:space="preserve">AI Ethics</w:t>
            </w:r>
          </w:p>
        </w:tc>
        <w:tc>
          <w:tcPr>
            <w:tcW w:type="dxa" w:w="3200"/>
            <w:shd w:fill="E9F7EF" w:color="E9F7EF" w:val="clear"/>
          </w:tcPr>
          <w:p>
            <w:pPr>
              <w:spacing w:after="60"/>
            </w:pPr>
            <w:r>
              <w:rPr>
                <w:sz w:val="20"/>
                <w:szCs w:val="20"/>
              </w:rPr>
              <w:t xml:space="preserve">—</w:t>
            </w:r>
          </w:p>
        </w:tc>
        <w:tc>
          <w:tcPr>
            <w:tcW w:type="dxa" w:w="3760"/>
            <w:shd w:fill="E9F7EF" w:color="E9F7EF" w:val="clear"/>
          </w:tcPr>
          <w:p>
            <w:pPr>
              <w:spacing w:after="60"/>
            </w:pPr>
            <w:r>
              <w:rPr>
                <w:sz w:val="20"/>
                <w:szCs w:val="20"/>
              </w:rPr>
              <w:t xml:space="preserve">ai.ethics@optiagent.com</w:t>
            </w:r>
          </w:p>
        </w:tc>
      </w:tr>
      <w:tr>
        <w:tc>
          <w:tcPr>
            <w:tcW w:type="dxa" w:w="2400"/>
            <w:shd w:fill="FFFFFF" w:color="FFFFFF" w:val="clear"/>
          </w:tcPr>
          <w:p>
            <w:pPr>
              <w:spacing w:after="60"/>
            </w:pPr>
            <w:r>
              <w:rPr>
                <w:sz w:val="20"/>
                <w:szCs w:val="20"/>
              </w:rPr>
              <w:t xml:space="preserve">Privacy</w:t>
            </w:r>
          </w:p>
        </w:tc>
        <w:tc>
          <w:tcPr>
            <w:tcW w:type="dxa" w:w="3200"/>
            <w:shd w:fill="FFFFFF" w:color="FFFFFF" w:val="clear"/>
          </w:tcPr>
          <w:p>
            <w:pPr>
              <w:spacing w:after="60"/>
            </w:pPr>
            <w:r>
              <w:rPr>
                <w:sz w:val="20"/>
                <w:szCs w:val="20"/>
              </w:rPr>
              <w:t xml:space="preserve">—</w:t>
            </w:r>
          </w:p>
        </w:tc>
        <w:tc>
          <w:tcPr>
            <w:tcW w:type="dxa" w:w="3760"/>
            <w:shd w:fill="FFFFFF" w:color="FFFFFF" w:val="clear"/>
          </w:tcPr>
          <w:p>
            <w:pPr>
              <w:spacing w:after="60"/>
            </w:pPr>
            <w:r>
              <w:rPr>
                <w:sz w:val="20"/>
                <w:szCs w:val="20"/>
              </w:rPr>
              <w:t xml:space="preserve">privacy@optiagent.com</w:t>
            </w:r>
          </w:p>
        </w:tc>
      </w:tr>
      <w:tr>
        <w:tc>
          <w:tcPr>
            <w:tcW w:type="dxa" w:w="2400"/>
            <w:shd w:fill="E9F7EF" w:color="E9F7EF" w:val="clear"/>
          </w:tcPr>
          <w:p>
            <w:pPr>
              <w:spacing w:after="60"/>
            </w:pPr>
            <w:r>
              <w:rPr>
                <w:sz w:val="20"/>
                <w:szCs w:val="20"/>
              </w:rPr>
              <w:t xml:space="preserve">IT Status Page</w:t>
            </w:r>
          </w:p>
        </w:tc>
        <w:tc>
          <w:tcPr>
            <w:tcW w:type="dxa" w:w="3200"/>
            <w:shd w:fill="E9F7EF" w:color="E9F7EF" w:val="clear"/>
          </w:tcPr>
          <w:p>
            <w:pPr>
              <w:spacing w:after="60"/>
            </w:pPr>
            <w:r>
              <w:rPr>
                <w:sz w:val="20"/>
                <w:szCs w:val="20"/>
              </w:rPr>
              <w:t xml:space="preserve">—</w:t>
            </w:r>
          </w:p>
        </w:tc>
        <w:tc>
          <w:tcPr>
            <w:tcW w:type="dxa" w:w="3760"/>
            <w:shd w:fill="E9F7EF" w:color="E9F7EF" w:val="clear"/>
          </w:tcPr>
          <w:p>
            <w:pPr>
              <w:spacing w:after="60"/>
            </w:pPr>
            <w:r>
              <w:rPr>
                <w:sz w:val="20"/>
                <w:szCs w:val="20"/>
              </w:rPr>
              <w:t xml:space="preserve">status.optiagent.com</w:t>
            </w:r>
          </w:p>
        </w:tc>
      </w:tr>
      <w:tr>
        <w:tc>
          <w:tcPr>
            <w:tcW w:type="dxa" w:w="2400"/>
            <w:shd w:fill="FFFFFF" w:color="FFFFFF" w:val="clear"/>
          </w:tcPr>
          <w:p>
            <w:pPr>
              <w:spacing w:after="60"/>
            </w:pPr>
            <w:r>
              <w:rPr>
                <w:sz w:val="20"/>
                <w:szCs w:val="20"/>
              </w:rPr>
              <w:t xml:space="preserve">ServiceNow (IT Portal)</w:t>
            </w:r>
          </w:p>
        </w:tc>
        <w:tc>
          <w:tcPr>
            <w:tcW w:type="dxa" w:w="3200"/>
            <w:shd w:fill="FFFFFF" w:color="FFFFFF" w:val="clear"/>
          </w:tcPr>
          <w:p>
            <w:pPr>
              <w:spacing w:after="60"/>
            </w:pPr>
            <w:r>
              <w:rPr>
                <w:sz w:val="20"/>
                <w:szCs w:val="20"/>
              </w:rPr>
              <w:t xml:space="preserve">—</w:t>
            </w:r>
          </w:p>
        </w:tc>
        <w:tc>
          <w:tcPr>
            <w:tcW w:type="dxa" w:w="3760"/>
            <w:shd w:fill="FFFFFF" w:color="FFFFFF" w:val="clear"/>
          </w:tcPr>
          <w:p>
            <w:pPr>
              <w:spacing w:after="60"/>
            </w:pPr>
            <w:r>
              <w:rPr>
                <w:sz w:val="20"/>
                <w:szCs w:val="20"/>
              </w:rPr>
              <w:t xml:space="preserve">it.optiagent.com/helpdesk</w:t>
            </w:r>
          </w:p>
        </w:tc>
      </w:tr>
    </w:tbl>
    <w:p>
      <w:pPr>
        <w:spacing w:after="80"/>
      </w:pPr>
      <w:r>
        <w:t xml:space="preserve"/>
      </w:r>
    </w:p>
    <w:p>
      <w:pPr>
        <w:spacing w:after="80"/>
      </w:pPr>
      <w:r>
        <w:t xml:space="preserve"/>
      </w:r>
    </w:p>
    <w:p>
      <w:pPr>
        <w:spacing w:after="120" w:line="276"/>
      </w:pPr>
      <w:r>
        <w:rPr>
          <w:sz w:val="22"/>
          <w:szCs w:val="22"/>
        </w:rPr>
        <w:t xml:space="preserve">Document ID: OAT-IT-001 | Version: 4.0 | Effective: January 1, 2025</w:t>
      </w:r>
    </w:p>
    <w:p>
      <w:pPr>
        <w:spacing w:after="120" w:line="276"/>
      </w:pPr>
      <w:r>
        <w:rPr>
          <w:sz w:val="22"/>
          <w:szCs w:val="22"/>
        </w:rPr>
        <w:t xml:space="preserve">Approved by: Sanjay Mehta (VP IT Operations) | Raj Anand (CISO) | Alexandra Chen (CFO) | Priya Sharma (CPO)</w:t>
      </w:r>
    </w:p>
    <w:p>
      <w:pPr>
        <w:spacing w:after="120" w:line="276"/>
      </w:pPr>
      <w:r>
        <w:rPr>
          <w:sz w:val="22"/>
          <w:szCs w:val="22"/>
        </w:rPr>
        <w:t xml:space="preserve">Next Review: January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45A32"/>
      <w:sz w:val="32"/>
      <w:szCs w:val="32"/>
    </w:rPr>
  </w:style>
  <w:style w:type="paragraph" w:styleId="Heading2">
    <w:name w:val="Heading 2"/>
    <w:basedOn w:val="Normal"/>
    <w:next w:val="Normal"/>
    <w:qFormat/>
    <w:pPr>
      <w:spacing w:after="150" w:before="300"/>
    </w:pPr>
    <w:rPr>
      <w:b/>
      <w:bCs/>
      <w:color w:val="1E8449"/>
      <w:sz w:val="26"/>
      <w:szCs w:val="26"/>
    </w:rPr>
  </w:style>
  <w:style w:type="paragraph" w:styleId="Heading3">
    <w:name w:val="Heading 3"/>
    <w:basedOn w:val="Normal"/>
    <w:next w:val="Normal"/>
    <w:qFormat/>
    <w:pPr>
      <w:spacing w:after="100" w:before="200"/>
    </w:pPr>
    <w:rPr>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Governance Policy &amp; Standards</dc:title>
  <dc:creator>OptiAgent Technologies IT Operations</dc:creator>
  <cp:lastModifiedBy>Un-named</cp:lastModifiedBy>
  <cp:revision>1</cp:revision>
  <dcterms:created xsi:type="dcterms:W3CDTF">2026-07-11T15:57:28.109Z</dcterms:created>
  <dcterms:modified xsi:type="dcterms:W3CDTF">2026-07-11T15:57:28.141Z</dcterms:modified>
</cp:coreProperties>
</file>

<file path=docProps/custom.xml><?xml version="1.0" encoding="utf-8"?>
<Properties xmlns="http://schemas.openxmlformats.org/officeDocument/2006/custom-properties" xmlns:vt="http://schemas.openxmlformats.org/officeDocument/2006/docPropsVTypes"/>
</file>