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800"/>
        <w:jc w:val="center"/>
      </w:pPr>
      <w:r>
        <w:rPr>
          <w:b/>
          <w:bCs/>
          <w:color w:val="1A5276"/>
          <w:sz w:val="56"/>
          <w:szCs w:val="56"/>
        </w:rPr>
        <w:t xml:space="preserve">OPTIAGENT TECHNOLOGIES</w:t>
      </w:r>
    </w:p>
    <w:p>
      <w:pPr>
        <w:spacing w:after="200"/>
        <w:jc w:val="center"/>
      </w:pPr>
      <w:r>
        <w:rPr>
          <w:b/>
          <w:bCs/>
          <w:color w:val="2471A3"/>
          <w:sz w:val="38"/>
          <w:szCs w:val="38"/>
        </w:rPr>
        <w:t xml:space="preserve">FINANCE POLICY &amp; PROCEDURES MANUAL</w:t>
      </w:r>
    </w:p>
    <w:p>
      <w:pPr>
        <w:spacing w:after="150"/>
        <w:jc w:val="center"/>
      </w:pPr>
      <w:r>
        <w:rPr>
          <w:color w:val="555555"/>
          <w:sz w:val="22"/>
          <w:szCs w:val="22"/>
        </w:rPr>
        <w:t xml:space="preserve">Document ID: OAT-FP-001  |  Version: 3.1  |  Effective: January 1, 2025</w:t>
      </w:r>
    </w:p>
    <w:p>
      <w:pPr>
        <w:spacing w:after="150"/>
        <w:jc w:val="center"/>
      </w:pPr>
      <w:r>
        <w:rPr>
          <w:color w:val="555555"/>
          <w:sz w:val="22"/>
          <w:szCs w:val="22"/>
        </w:rPr>
        <w:t xml:space="preserve">Owner: Chief Financial Officer  |  finance.policy@optiagent.com</w:t>
      </w:r>
    </w:p>
    <w:p>
      <w:pPr>
        <w:jc w:val="center"/>
      </w:pPr>
      <w:r>
        <w:rPr>
          <w:i/>
          <w:iCs/>
          <w:color w:val="888888"/>
          <w:sz w:val="22"/>
          <w:szCs w:val="22"/>
        </w:rPr>
        <w:t xml:space="preserve">Classification: Confidential — Finance &amp; Management</w:t>
      </w:r>
    </w:p>
    <w:p>
      <w:r>
        <w:br w:type="page"/>
      </w:r>
    </w:p>
    <w:p>
      <w:pPr>
        <w:pStyle w:val="Heading1"/>
        <w:spacing w:after="200" w:before="400"/>
      </w:pPr>
      <w:r>
        <w:t xml:space="preserve">Table of Contents</w:t>
      </w:r>
    </w:p>
    <w:p>
      <w:pPr>
        <w:spacing w:after="120" w:line="276"/>
      </w:pPr>
      <w:r>
        <w:rPr>
          <w:sz w:val="22"/>
          <w:szCs w:val="22"/>
        </w:rPr>
        <w:t xml:space="preserve">1.  Purpose, Scope &amp; Governance</w:t>
      </w:r>
    </w:p>
    <w:p>
      <w:pPr>
        <w:spacing w:after="120" w:line="276"/>
      </w:pPr>
      <w:r>
        <w:rPr>
          <w:sz w:val="22"/>
          <w:szCs w:val="22"/>
        </w:rPr>
        <w:t xml:space="preserve">2.  Financial Authority Matrix</w:t>
      </w:r>
    </w:p>
    <w:p>
      <w:pPr>
        <w:spacing w:after="120" w:line="276"/>
      </w:pPr>
      <w:r>
        <w:rPr>
          <w:sz w:val="22"/>
          <w:szCs w:val="22"/>
        </w:rPr>
        <w:t xml:space="preserve">3.  Budget Management Policy</w:t>
      </w:r>
    </w:p>
    <w:p>
      <w:pPr>
        <w:spacing w:after="120" w:line="276"/>
      </w:pPr>
      <w:r>
        <w:rPr>
          <w:sz w:val="22"/>
          <w:szCs w:val="22"/>
        </w:rPr>
        <w:t xml:space="preserve">4.  Expense &amp; Reimbursement Policy</w:t>
      </w:r>
    </w:p>
    <w:p>
      <w:pPr>
        <w:spacing w:after="120" w:line="276"/>
      </w:pPr>
      <w:r>
        <w:rPr>
          <w:sz w:val="22"/>
          <w:szCs w:val="22"/>
        </w:rPr>
        <w:t xml:space="preserve">5.  Corporate Travel Policy</w:t>
      </w:r>
    </w:p>
    <w:p>
      <w:pPr>
        <w:spacing w:after="120" w:line="276"/>
      </w:pPr>
      <w:r>
        <w:rPr>
          <w:sz w:val="22"/>
          <w:szCs w:val="22"/>
        </w:rPr>
        <w:t xml:space="preserve">6.  Procurement &amp; Vendor Management Policy</w:t>
      </w:r>
    </w:p>
    <w:p>
      <w:pPr>
        <w:spacing w:after="120" w:line="276"/>
      </w:pPr>
      <w:r>
        <w:rPr>
          <w:sz w:val="22"/>
          <w:szCs w:val="22"/>
        </w:rPr>
        <w:t xml:space="preserve">7.  Accounts Payable Policy</w:t>
      </w:r>
    </w:p>
    <w:p>
      <w:pPr>
        <w:spacing w:after="120" w:line="276"/>
      </w:pPr>
      <w:r>
        <w:rPr>
          <w:sz w:val="22"/>
          <w:szCs w:val="22"/>
        </w:rPr>
        <w:t xml:space="preserve">8.  Accounts Receivable &amp; Revenue Recognition Policy</w:t>
      </w:r>
    </w:p>
    <w:p>
      <w:pPr>
        <w:spacing w:after="120" w:line="276"/>
      </w:pPr>
      <w:r>
        <w:rPr>
          <w:sz w:val="22"/>
          <w:szCs w:val="22"/>
        </w:rPr>
        <w:t xml:space="preserve">9.  Cash Management &amp; Treasury Policy</w:t>
      </w:r>
    </w:p>
    <w:p>
      <w:pPr>
        <w:spacing w:after="120" w:line="276"/>
      </w:pPr>
      <w:r>
        <w:rPr>
          <w:sz w:val="22"/>
          <w:szCs w:val="22"/>
        </w:rPr>
        <w:t xml:space="preserve">10. Capital Expenditure (CapEx) Policy</w:t>
      </w:r>
    </w:p>
    <w:p>
      <w:pPr>
        <w:spacing w:after="120" w:line="276"/>
      </w:pPr>
      <w:r>
        <w:rPr>
          <w:sz w:val="22"/>
          <w:szCs w:val="22"/>
        </w:rPr>
        <w:t xml:space="preserve">11. Fixed Asset Management</w:t>
      </w:r>
    </w:p>
    <w:p>
      <w:pPr>
        <w:spacing w:after="120" w:line="276"/>
      </w:pPr>
      <w:r>
        <w:rPr>
          <w:sz w:val="22"/>
          <w:szCs w:val="22"/>
        </w:rPr>
        <w:t xml:space="preserve">12. Payroll Policy</w:t>
      </w:r>
    </w:p>
    <w:p>
      <w:pPr>
        <w:spacing w:after="120" w:line="276"/>
      </w:pPr>
      <w:r>
        <w:rPr>
          <w:sz w:val="22"/>
          <w:szCs w:val="22"/>
        </w:rPr>
        <w:t xml:space="preserve">13. Tax Compliance Policy</w:t>
      </w:r>
    </w:p>
    <w:p>
      <w:pPr>
        <w:spacing w:after="120" w:line="276"/>
      </w:pPr>
      <w:r>
        <w:rPr>
          <w:sz w:val="22"/>
          <w:szCs w:val="22"/>
        </w:rPr>
        <w:t xml:space="preserve">14. Financial Reporting &amp; Close Process</w:t>
      </w:r>
    </w:p>
    <w:p>
      <w:pPr>
        <w:spacing w:after="120" w:line="276"/>
      </w:pPr>
      <w:r>
        <w:rPr>
          <w:sz w:val="22"/>
          <w:szCs w:val="22"/>
        </w:rPr>
        <w:t xml:space="preserve">15. Internal Controls Framework</w:t>
      </w:r>
    </w:p>
    <w:p>
      <w:pPr>
        <w:spacing w:after="120" w:line="276"/>
      </w:pPr>
      <w:r>
        <w:rPr>
          <w:sz w:val="22"/>
          <w:szCs w:val="22"/>
        </w:rPr>
        <w:t xml:space="preserve">16. Audit Policy</w:t>
      </w:r>
    </w:p>
    <w:p>
      <w:pPr>
        <w:spacing w:after="120" w:line="276"/>
      </w:pPr>
      <w:r>
        <w:rPr>
          <w:sz w:val="22"/>
          <w:szCs w:val="22"/>
        </w:rPr>
        <w:t xml:space="preserve">17. Anti-Fraud Policy</w:t>
      </w:r>
    </w:p>
    <w:p>
      <w:pPr>
        <w:spacing w:after="120" w:line="276"/>
      </w:pPr>
      <w:r>
        <w:rPr>
          <w:sz w:val="22"/>
          <w:szCs w:val="22"/>
        </w:rPr>
        <w:t xml:space="preserve">18. Records Retention (Finance)</w:t>
      </w:r>
    </w:p>
    <w:p>
      <w:pPr>
        <w:spacing w:after="120" w:line="276"/>
      </w:pPr>
      <w:r>
        <w:rPr>
          <w:sz w:val="22"/>
          <w:szCs w:val="22"/>
        </w:rPr>
        <w:t xml:space="preserve">19. Country-Specific Finance Addenda</w:t>
      </w:r>
    </w:p>
    <w:p>
      <w:pPr>
        <w:spacing w:after="120" w:line="276"/>
      </w:pPr>
      <w:r>
        <w:rPr>
          <w:sz w:val="22"/>
          <w:szCs w:val="22"/>
        </w:rPr>
        <w:t xml:space="preserve">20. Glossary &amp; Key Contacts</w:t>
      </w:r>
    </w:p>
    <w:p>
      <w:r>
        <w:br w:type="page"/>
      </w:r>
    </w:p>
    <w:p>
      <w:pPr>
        <w:pStyle w:val="Heading1"/>
        <w:spacing w:after="200" w:before="400"/>
      </w:pPr>
      <w:r>
        <w:t xml:space="preserve">1. Purpose, Scope &amp; Governance</w:t>
      </w:r>
    </w:p>
    <w:p>
      <w:pPr>
        <w:pStyle w:val="Heading2"/>
        <w:spacing w:after="150" w:before="300"/>
      </w:pPr>
      <w:r>
        <w:t xml:space="preserve">1.1 Purpose</w:t>
      </w:r>
    </w:p>
    <w:p>
      <w:pPr>
        <w:spacing w:after="120" w:line="276"/>
      </w:pPr>
      <w:r>
        <w:rPr>
          <w:sz w:val="22"/>
          <w:szCs w:val="22"/>
        </w:rPr>
        <w:t xml:space="preserve">This Finance Policy &amp; Procedures Manual establishes the financial governance framework for OptiAgent Technologies and all its subsidiaries and branch offices globally. It defines the rules, controls, and procedures that govern how the company manages its financial resources, processes transactions, reports results, and maintains compliance with applicable laws and regulations.</w:t>
      </w:r>
    </w:p>
    <w:p>
      <w:pPr>
        <w:spacing w:after="120" w:line="276"/>
      </w:pPr>
      <w:r>
        <w:rPr>
          <w:sz w:val="22"/>
          <w:szCs w:val="22"/>
        </w:rPr>
        <w:t xml:space="preserve">This document is owned by the Chief Financial Officer (CFO) and is reviewed annually or following material changes in law, regulation, or business model. The most current version is always available on the Finance SharePoint site (accessible via Okta &gt; SharePoint &gt; Finance).</w:t>
      </w:r>
    </w:p>
    <w:p>
      <w:pPr>
        <w:pStyle w:val="Heading2"/>
        <w:spacing w:after="150" w:before="300"/>
      </w:pPr>
      <w:r>
        <w:t xml:space="preserve">1.2 Scope</w:t>
      </w:r>
    </w:p>
    <w:p>
      <w:pPr>
        <w:spacing w:after="120" w:line="276"/>
      </w:pPr>
      <w:r>
        <w:rPr>
          <w:sz w:val="22"/>
          <w:szCs w:val="22"/>
        </w:rPr>
        <w:t xml:space="preserve">This policy applies to all OptiAgent Technologies employees, contractors, and agents who incur, approve, record, or report financial transactions on behalf of the company. This includes but is not limited to:</w:t>
      </w:r>
    </w:p>
    <w:p>
      <w:pPr>
        <w:pStyle w:val="ListParagraph"/>
        <w:numPr>
          <w:ilvl w:val="0"/>
          <w:numId w:val="1"/>
        </w:numPr>
        <w:spacing w:after="80"/>
      </w:pPr>
      <w:r>
        <w:rPr>
          <w:sz w:val="22"/>
          <w:szCs w:val="22"/>
        </w:rPr>
        <w:t xml:space="preserve">All employees who submit expense claims, travel requests, or purchase orders</w:t>
      </w:r>
    </w:p>
    <w:p>
      <w:pPr>
        <w:pStyle w:val="ListParagraph"/>
        <w:numPr>
          <w:ilvl w:val="0"/>
          <w:numId w:val="1"/>
        </w:numPr>
        <w:spacing w:after="80"/>
      </w:pPr>
      <w:r>
        <w:rPr>
          <w:sz w:val="22"/>
          <w:szCs w:val="22"/>
        </w:rPr>
        <w:t xml:space="preserve">Managers who approve financial transactions at any level</w:t>
      </w:r>
    </w:p>
    <w:p>
      <w:pPr>
        <w:pStyle w:val="ListParagraph"/>
        <w:numPr>
          <w:ilvl w:val="0"/>
          <w:numId w:val="1"/>
        </w:numPr>
        <w:spacing w:after="80"/>
      </w:pPr>
      <w:r>
        <w:rPr>
          <w:sz w:val="22"/>
          <w:szCs w:val="22"/>
        </w:rPr>
        <w:t xml:space="preserve">Finance team members who process, reconcile, and report transactions</w:t>
      </w:r>
    </w:p>
    <w:p>
      <w:pPr>
        <w:pStyle w:val="ListParagraph"/>
        <w:numPr>
          <w:ilvl w:val="0"/>
          <w:numId w:val="1"/>
        </w:numPr>
        <w:spacing w:after="80"/>
      </w:pPr>
      <w:r>
        <w:rPr>
          <w:sz w:val="22"/>
          <w:szCs w:val="22"/>
        </w:rPr>
        <w:t xml:space="preserve">Executives who hold spending authority above defined thresholds</w:t>
      </w:r>
    </w:p>
    <w:p>
      <w:pPr>
        <w:pStyle w:val="ListParagraph"/>
        <w:numPr>
          <w:ilvl w:val="0"/>
          <w:numId w:val="1"/>
        </w:numPr>
        <w:spacing w:after="80"/>
      </w:pPr>
      <w:r>
        <w:rPr>
          <w:sz w:val="22"/>
          <w:szCs w:val="22"/>
        </w:rPr>
        <w:t xml:space="preserve">Third-party vendors and contractors acting as agents of the company</w:t>
      </w:r>
    </w:p>
    <w:p>
      <w:pPr>
        <w:spacing w:after="120" w:line="276"/>
      </w:pPr>
      <w:r>
        <w:rPr>
          <w:sz w:val="22"/>
          <w:szCs w:val="22"/>
        </w:rPr>
        <w:t xml:space="preserve">Subsidiaries in all operating countries (USA, UK, India, Germany, Singapore) are subject to this policy. Where local law imposes stricter requirements, local law governs. Country-specific addenda are in Section 19.</w:t>
      </w:r>
    </w:p>
    <w:p>
      <w:pPr>
        <w:pStyle w:val="Heading2"/>
        <w:spacing w:after="150" w:before="300"/>
      </w:pPr>
      <w:r>
        <w:t xml:space="preserve">1.3 Finance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c>
          <w:tcPr>
            <w:tcW w:type="dxa" w:w="2000"/>
            <w:shd w:fill="1A5276" w:color="1A5276" w:val="clear"/>
          </w:tcPr>
          <w:p>
            <w:pPr>
              <w:spacing w:after="60"/>
            </w:pPr>
            <w:r>
              <w:rPr>
                <w:b/>
                <w:bCs/>
                <w:color w:val="FFFFFF"/>
                <w:sz w:val="20"/>
                <w:szCs w:val="20"/>
              </w:rPr>
              <w:t xml:space="preserve">Role</w:t>
            </w:r>
          </w:p>
        </w:tc>
        <w:tc>
          <w:tcPr>
            <w:tcW w:type="dxa" w:w="2000"/>
            <w:shd w:fill="1A5276" w:color="1A5276" w:val="clear"/>
          </w:tcPr>
          <w:p>
            <w:pPr>
              <w:spacing w:after="60"/>
            </w:pPr>
            <w:r>
              <w:rPr>
                <w:b/>
                <w:bCs/>
                <w:color w:val="FFFFFF"/>
                <w:sz w:val="20"/>
                <w:szCs w:val="20"/>
              </w:rPr>
              <w:t xml:space="preserve">Name</w:t>
            </w:r>
          </w:p>
        </w:tc>
        <w:tc>
          <w:tcPr>
            <w:tcW w:type="dxa" w:w="2500"/>
            <w:shd w:fill="1A5276" w:color="1A5276" w:val="clear"/>
          </w:tcPr>
          <w:p>
            <w:pPr>
              <w:spacing w:after="60"/>
            </w:pPr>
            <w:r>
              <w:rPr>
                <w:b/>
                <w:bCs/>
                <w:color w:val="FFFFFF"/>
                <w:sz w:val="20"/>
                <w:szCs w:val="20"/>
              </w:rPr>
              <w:t xml:space="preserve">Contact</w:t>
            </w:r>
          </w:p>
        </w:tc>
        <w:tc>
          <w:tcPr>
            <w:tcW w:type="dxa" w:w="2860"/>
            <w:shd w:fill="1A5276" w:color="1A5276" w:val="clear"/>
          </w:tcPr>
          <w:p>
            <w:pPr>
              <w:spacing w:after="60"/>
            </w:pPr>
            <w:r>
              <w:rPr>
                <w:b/>
                <w:bCs/>
                <w:color w:val="FFFFFF"/>
                <w:sz w:val="20"/>
                <w:szCs w:val="20"/>
              </w:rPr>
              <w:t xml:space="preserve">Responsibility</w:t>
            </w:r>
          </w:p>
        </w:tc>
      </w:tr>
      <w:tr>
        <w:tc>
          <w:tcPr>
            <w:tcW w:type="dxa" w:w="2000"/>
            <w:shd w:fill="EBF5FB" w:color="EBF5FB" w:val="clear"/>
          </w:tcPr>
          <w:p>
            <w:pPr>
              <w:spacing w:after="60"/>
            </w:pPr>
            <w:r>
              <w:rPr>
                <w:sz w:val="20"/>
                <w:szCs w:val="20"/>
              </w:rPr>
              <w:t xml:space="preserve">Chief Financial Officer (CFO)</w:t>
            </w:r>
          </w:p>
        </w:tc>
        <w:tc>
          <w:tcPr>
            <w:tcW w:type="dxa" w:w="2000"/>
            <w:shd w:fill="EBF5FB" w:color="EBF5FB" w:val="clear"/>
          </w:tcPr>
          <w:p>
            <w:pPr>
              <w:spacing w:after="60"/>
            </w:pPr>
            <w:r>
              <w:rPr>
                <w:sz w:val="20"/>
                <w:szCs w:val="20"/>
              </w:rPr>
              <w:t xml:space="preserve">Alexandra Chen</w:t>
            </w:r>
          </w:p>
        </w:tc>
        <w:tc>
          <w:tcPr>
            <w:tcW w:type="dxa" w:w="2500"/>
            <w:shd w:fill="EBF5FB" w:color="EBF5FB" w:val="clear"/>
          </w:tcPr>
          <w:p>
            <w:pPr>
              <w:spacing w:after="60"/>
            </w:pPr>
            <w:r>
              <w:rPr>
                <w:sz w:val="20"/>
                <w:szCs w:val="20"/>
              </w:rPr>
              <w:t xml:space="preserve">cfo@optiagent.com</w:t>
            </w:r>
          </w:p>
        </w:tc>
        <w:tc>
          <w:tcPr>
            <w:tcW w:type="dxa" w:w="2860"/>
            <w:shd w:fill="EBF5FB" w:color="EBF5FB" w:val="clear"/>
          </w:tcPr>
          <w:p>
            <w:pPr>
              <w:spacing w:after="60"/>
            </w:pPr>
            <w:r>
              <w:rPr>
                <w:sz w:val="20"/>
                <w:szCs w:val="20"/>
              </w:rPr>
              <w:t xml:space="preserve">Overall financial leadership; board reporting; investor relations</w:t>
            </w:r>
          </w:p>
        </w:tc>
      </w:tr>
      <w:tr>
        <w:tc>
          <w:tcPr>
            <w:tcW w:type="dxa" w:w="2000"/>
            <w:shd w:fill="FFFFFF" w:color="FFFFFF" w:val="clear"/>
          </w:tcPr>
          <w:p>
            <w:pPr>
              <w:spacing w:after="60"/>
            </w:pPr>
            <w:r>
              <w:rPr>
                <w:sz w:val="20"/>
                <w:szCs w:val="20"/>
              </w:rPr>
              <w:t xml:space="preserve">VP Finance &amp; FP&amp;A</w:t>
            </w:r>
          </w:p>
        </w:tc>
        <w:tc>
          <w:tcPr>
            <w:tcW w:type="dxa" w:w="2000"/>
            <w:shd w:fill="FFFFFF" w:color="FFFFFF" w:val="clear"/>
          </w:tcPr>
          <w:p>
            <w:pPr>
              <w:spacing w:after="60"/>
            </w:pPr>
            <w:r>
              <w:rPr>
                <w:sz w:val="20"/>
                <w:szCs w:val="20"/>
              </w:rPr>
              <w:t xml:space="preserve">Marcus Webb</w:t>
            </w:r>
          </w:p>
        </w:tc>
        <w:tc>
          <w:tcPr>
            <w:tcW w:type="dxa" w:w="2500"/>
            <w:shd w:fill="FFFFFF" w:color="FFFFFF" w:val="clear"/>
          </w:tcPr>
          <w:p>
            <w:pPr>
              <w:spacing w:after="60"/>
            </w:pPr>
            <w:r>
              <w:rPr>
                <w:sz w:val="20"/>
                <w:szCs w:val="20"/>
              </w:rPr>
              <w:t xml:space="preserve">marcus.webb@optiagent.com</w:t>
            </w:r>
          </w:p>
        </w:tc>
        <w:tc>
          <w:tcPr>
            <w:tcW w:type="dxa" w:w="2860"/>
            <w:shd w:fill="FFFFFF" w:color="FFFFFF" w:val="clear"/>
          </w:tcPr>
          <w:p>
            <w:pPr>
              <w:spacing w:after="60"/>
            </w:pPr>
            <w:r>
              <w:rPr>
                <w:sz w:val="20"/>
                <w:szCs w:val="20"/>
              </w:rPr>
              <w:t xml:space="preserve">Financial planning, analysis, budgeting, and forecasting</w:t>
            </w:r>
          </w:p>
        </w:tc>
      </w:tr>
      <w:tr>
        <w:tc>
          <w:tcPr>
            <w:tcW w:type="dxa" w:w="2000"/>
            <w:shd w:fill="EBF5FB" w:color="EBF5FB" w:val="clear"/>
          </w:tcPr>
          <w:p>
            <w:pPr>
              <w:spacing w:after="60"/>
            </w:pPr>
            <w:r>
              <w:rPr>
                <w:sz w:val="20"/>
                <w:szCs w:val="20"/>
              </w:rPr>
              <w:t xml:space="preserve">Controller</w:t>
            </w:r>
          </w:p>
        </w:tc>
        <w:tc>
          <w:tcPr>
            <w:tcW w:type="dxa" w:w="2000"/>
            <w:shd w:fill="EBF5FB" w:color="EBF5FB" w:val="clear"/>
          </w:tcPr>
          <w:p>
            <w:pPr>
              <w:spacing w:after="60"/>
            </w:pPr>
            <w:r>
              <w:rPr>
                <w:sz w:val="20"/>
                <w:szCs w:val="20"/>
              </w:rPr>
              <w:t xml:space="preserve">Sunita Patel</w:t>
            </w:r>
          </w:p>
        </w:tc>
        <w:tc>
          <w:tcPr>
            <w:tcW w:type="dxa" w:w="2500"/>
            <w:shd w:fill="EBF5FB" w:color="EBF5FB" w:val="clear"/>
          </w:tcPr>
          <w:p>
            <w:pPr>
              <w:spacing w:after="60"/>
            </w:pPr>
            <w:r>
              <w:rPr>
                <w:sz w:val="20"/>
                <w:szCs w:val="20"/>
              </w:rPr>
              <w:t xml:space="preserve">sunita.patel@optiagent.com</w:t>
            </w:r>
          </w:p>
        </w:tc>
        <w:tc>
          <w:tcPr>
            <w:tcW w:type="dxa" w:w="2860"/>
            <w:shd w:fill="EBF5FB" w:color="EBF5FB" w:val="clear"/>
          </w:tcPr>
          <w:p>
            <w:pPr>
              <w:spacing w:after="60"/>
            </w:pPr>
            <w:r>
              <w:rPr>
                <w:sz w:val="20"/>
                <w:szCs w:val="20"/>
              </w:rPr>
              <w:t xml:space="preserve">Accounting, close process, technical accounting, consolidation</w:t>
            </w:r>
          </w:p>
        </w:tc>
      </w:tr>
      <w:tr>
        <w:tc>
          <w:tcPr>
            <w:tcW w:type="dxa" w:w="2000"/>
            <w:shd w:fill="FFFFFF" w:color="FFFFFF" w:val="clear"/>
          </w:tcPr>
          <w:p>
            <w:pPr>
              <w:spacing w:after="60"/>
            </w:pPr>
            <w:r>
              <w:rPr>
                <w:sz w:val="20"/>
                <w:szCs w:val="20"/>
              </w:rPr>
              <w:t xml:space="preserve">VP Tax</w:t>
            </w:r>
          </w:p>
        </w:tc>
        <w:tc>
          <w:tcPr>
            <w:tcW w:type="dxa" w:w="2000"/>
            <w:shd w:fill="FFFFFF" w:color="FFFFFF" w:val="clear"/>
          </w:tcPr>
          <w:p>
            <w:pPr>
              <w:spacing w:after="60"/>
            </w:pPr>
            <w:r>
              <w:rPr>
                <w:sz w:val="20"/>
                <w:szCs w:val="20"/>
              </w:rPr>
              <w:t xml:space="preserve">David Kim</w:t>
            </w:r>
          </w:p>
        </w:tc>
        <w:tc>
          <w:tcPr>
            <w:tcW w:type="dxa" w:w="2500"/>
            <w:shd w:fill="FFFFFF" w:color="FFFFFF" w:val="clear"/>
          </w:tcPr>
          <w:p>
            <w:pPr>
              <w:spacing w:after="60"/>
            </w:pPr>
            <w:r>
              <w:rPr>
                <w:sz w:val="20"/>
                <w:szCs w:val="20"/>
              </w:rPr>
              <w:t xml:space="preserve">david.kim@optiagent.com</w:t>
            </w:r>
          </w:p>
        </w:tc>
        <w:tc>
          <w:tcPr>
            <w:tcW w:type="dxa" w:w="2860"/>
            <w:shd w:fill="FFFFFF" w:color="FFFFFF" w:val="clear"/>
          </w:tcPr>
          <w:p>
            <w:pPr>
              <w:spacing w:after="60"/>
            </w:pPr>
            <w:r>
              <w:rPr>
                <w:sz w:val="20"/>
                <w:szCs w:val="20"/>
              </w:rPr>
              <w:t xml:space="preserve">Global tax strategy, compliance, transfer pricing</w:t>
            </w:r>
          </w:p>
        </w:tc>
      </w:tr>
      <w:tr>
        <w:tc>
          <w:tcPr>
            <w:tcW w:type="dxa" w:w="2000"/>
            <w:shd w:fill="EBF5FB" w:color="EBF5FB" w:val="clear"/>
          </w:tcPr>
          <w:p>
            <w:pPr>
              <w:spacing w:after="60"/>
            </w:pPr>
            <w:r>
              <w:rPr>
                <w:sz w:val="20"/>
                <w:szCs w:val="20"/>
              </w:rPr>
              <w:t xml:space="preserve">Director, Internal Audit</w:t>
            </w:r>
          </w:p>
        </w:tc>
        <w:tc>
          <w:tcPr>
            <w:tcW w:type="dxa" w:w="2000"/>
            <w:shd w:fill="EBF5FB" w:color="EBF5FB" w:val="clear"/>
          </w:tcPr>
          <w:p>
            <w:pPr>
              <w:spacing w:after="60"/>
            </w:pPr>
            <w:r>
              <w:rPr>
                <w:sz w:val="20"/>
                <w:szCs w:val="20"/>
              </w:rPr>
              <w:t xml:space="preserve">Priya Nair</w:t>
            </w:r>
          </w:p>
        </w:tc>
        <w:tc>
          <w:tcPr>
            <w:tcW w:type="dxa" w:w="2500"/>
            <w:shd w:fill="EBF5FB" w:color="EBF5FB" w:val="clear"/>
          </w:tcPr>
          <w:p>
            <w:pPr>
              <w:spacing w:after="60"/>
            </w:pPr>
            <w:r>
              <w:rPr>
                <w:sz w:val="20"/>
                <w:szCs w:val="20"/>
              </w:rPr>
              <w:t xml:space="preserve">priya.nair@optiagent.com</w:t>
            </w:r>
          </w:p>
        </w:tc>
        <w:tc>
          <w:tcPr>
            <w:tcW w:type="dxa" w:w="2860"/>
            <w:shd w:fill="EBF5FB" w:color="EBF5FB" w:val="clear"/>
          </w:tcPr>
          <w:p>
            <w:pPr>
              <w:spacing w:after="60"/>
            </w:pPr>
            <w:r>
              <w:rPr>
                <w:sz w:val="20"/>
                <w:szCs w:val="20"/>
              </w:rPr>
              <w:t xml:space="preserve">Internal audit, SOX/SOC 2 controls, fraud investigation</w:t>
            </w:r>
          </w:p>
        </w:tc>
      </w:tr>
      <w:tr>
        <w:tc>
          <w:tcPr>
            <w:tcW w:type="dxa" w:w="2000"/>
            <w:shd w:fill="FFFFFF" w:color="FFFFFF" w:val="clear"/>
          </w:tcPr>
          <w:p>
            <w:pPr>
              <w:spacing w:after="60"/>
            </w:pPr>
            <w:r>
              <w:rPr>
                <w:sz w:val="20"/>
                <w:szCs w:val="20"/>
              </w:rPr>
              <w:t xml:space="preserve">Director, Treasury</w:t>
            </w:r>
          </w:p>
        </w:tc>
        <w:tc>
          <w:tcPr>
            <w:tcW w:type="dxa" w:w="2000"/>
            <w:shd w:fill="FFFFFF" w:color="FFFFFF" w:val="clear"/>
          </w:tcPr>
          <w:p>
            <w:pPr>
              <w:spacing w:after="60"/>
            </w:pPr>
            <w:r>
              <w:rPr>
                <w:sz w:val="20"/>
                <w:szCs w:val="20"/>
              </w:rPr>
              <w:t xml:space="preserve">James Okafor</w:t>
            </w:r>
          </w:p>
        </w:tc>
        <w:tc>
          <w:tcPr>
            <w:tcW w:type="dxa" w:w="2500"/>
            <w:shd w:fill="FFFFFF" w:color="FFFFFF" w:val="clear"/>
          </w:tcPr>
          <w:p>
            <w:pPr>
              <w:spacing w:after="60"/>
            </w:pPr>
            <w:r>
              <w:rPr>
                <w:sz w:val="20"/>
                <w:szCs w:val="20"/>
              </w:rPr>
              <w:t xml:space="preserve">james.okafor@optiagent.com</w:t>
            </w:r>
          </w:p>
        </w:tc>
        <w:tc>
          <w:tcPr>
            <w:tcW w:type="dxa" w:w="2860"/>
            <w:shd w:fill="FFFFFF" w:color="FFFFFF" w:val="clear"/>
          </w:tcPr>
          <w:p>
            <w:pPr>
              <w:spacing w:after="60"/>
            </w:pPr>
            <w:r>
              <w:rPr>
                <w:sz w:val="20"/>
                <w:szCs w:val="20"/>
              </w:rPr>
              <w:t xml:space="preserve">Cash management, banking, FX, insurance</w:t>
            </w:r>
          </w:p>
        </w:tc>
      </w:tr>
      <w:tr>
        <w:tc>
          <w:tcPr>
            <w:tcW w:type="dxa" w:w="2000"/>
            <w:shd w:fill="EBF5FB" w:color="EBF5FB" w:val="clear"/>
          </w:tcPr>
          <w:p>
            <w:pPr>
              <w:spacing w:after="60"/>
            </w:pPr>
            <w:r>
              <w:rPr>
                <w:sz w:val="20"/>
                <w:szCs w:val="20"/>
              </w:rPr>
              <w:t xml:space="preserve">Accounts Payable Manager</w:t>
            </w:r>
          </w:p>
        </w:tc>
        <w:tc>
          <w:tcPr>
            <w:tcW w:type="dxa" w:w="2000"/>
            <w:shd w:fill="EBF5FB" w:color="EBF5FB" w:val="clear"/>
          </w:tcPr>
          <w:p>
            <w:pPr>
              <w:spacing w:after="60"/>
            </w:pPr>
            <w:r>
              <w:rPr>
                <w:sz w:val="20"/>
                <w:szCs w:val="20"/>
              </w:rPr>
              <w:t xml:space="preserve">Leila Hosseini</w:t>
            </w:r>
          </w:p>
        </w:tc>
        <w:tc>
          <w:tcPr>
            <w:tcW w:type="dxa" w:w="2500"/>
            <w:shd w:fill="EBF5FB" w:color="EBF5FB" w:val="clear"/>
          </w:tcPr>
          <w:p>
            <w:pPr>
              <w:spacing w:after="60"/>
            </w:pPr>
            <w:r>
              <w:rPr>
                <w:sz w:val="20"/>
                <w:szCs w:val="20"/>
              </w:rPr>
              <w:t xml:space="preserve">ap@optiagent.com</w:t>
            </w:r>
          </w:p>
        </w:tc>
        <w:tc>
          <w:tcPr>
            <w:tcW w:type="dxa" w:w="2860"/>
            <w:shd w:fill="EBF5FB" w:color="EBF5FB" w:val="clear"/>
          </w:tcPr>
          <w:p>
            <w:pPr>
              <w:spacing w:after="60"/>
            </w:pPr>
            <w:r>
              <w:rPr>
                <w:sz w:val="20"/>
                <w:szCs w:val="20"/>
              </w:rPr>
              <w:t xml:space="preserve">Vendor payments, expense processing</w:t>
            </w:r>
          </w:p>
        </w:tc>
      </w:tr>
      <w:tr>
        <w:tc>
          <w:tcPr>
            <w:tcW w:type="dxa" w:w="2000"/>
            <w:shd w:fill="FFFFFF" w:color="FFFFFF" w:val="clear"/>
          </w:tcPr>
          <w:p>
            <w:pPr>
              <w:spacing w:after="60"/>
            </w:pPr>
            <w:r>
              <w:rPr>
                <w:sz w:val="20"/>
                <w:szCs w:val="20"/>
              </w:rPr>
              <w:t xml:space="preserve">Payroll Manager</w:t>
            </w:r>
          </w:p>
        </w:tc>
        <w:tc>
          <w:tcPr>
            <w:tcW w:type="dxa" w:w="2000"/>
            <w:shd w:fill="FFFFFF" w:color="FFFFFF" w:val="clear"/>
          </w:tcPr>
          <w:p>
            <w:pPr>
              <w:spacing w:after="60"/>
            </w:pPr>
            <w:r>
              <w:rPr>
                <w:sz w:val="20"/>
                <w:szCs w:val="20"/>
              </w:rPr>
              <w:t xml:space="preserve">Ravi Kumar</w:t>
            </w:r>
          </w:p>
        </w:tc>
        <w:tc>
          <w:tcPr>
            <w:tcW w:type="dxa" w:w="2500"/>
            <w:shd w:fill="FFFFFF" w:color="FFFFFF" w:val="clear"/>
          </w:tcPr>
          <w:p>
            <w:pPr>
              <w:spacing w:after="60"/>
            </w:pPr>
            <w:r>
              <w:rPr>
                <w:sz w:val="20"/>
                <w:szCs w:val="20"/>
              </w:rPr>
              <w:t xml:space="preserve">payroll@optiagent.com</w:t>
            </w:r>
          </w:p>
        </w:tc>
        <w:tc>
          <w:tcPr>
            <w:tcW w:type="dxa" w:w="2860"/>
            <w:shd w:fill="FFFFFF" w:color="FFFFFF" w:val="clear"/>
          </w:tcPr>
          <w:p>
            <w:pPr>
              <w:spacing w:after="60"/>
            </w:pPr>
            <w:r>
              <w:rPr>
                <w:sz w:val="20"/>
                <w:szCs w:val="20"/>
              </w:rPr>
              <w:t xml:space="preserve">Global payroll processing and compliance</w:t>
            </w:r>
          </w:p>
        </w:tc>
      </w:tr>
    </w:tbl>
    <w:p>
      <w:pPr>
        <w:spacing w:after="80"/>
      </w:pPr>
      <w:r>
        <w:t xml:space="preserve"/>
      </w:r>
    </w:p>
    <w:p>
      <w:pPr>
        <w:pStyle w:val="Heading2"/>
        <w:spacing w:after="150" w:before="300"/>
      </w:pPr>
      <w:r>
        <w:t xml:space="preserve">1.4 Relationship to Other Policies</w:t>
      </w:r>
    </w:p>
    <w:p>
      <w:pPr>
        <w:spacing w:after="120" w:line="276"/>
      </w:pPr>
      <w:r>
        <w:rPr>
          <w:sz w:val="22"/>
          <w:szCs w:val="22"/>
        </w:rPr>
        <w:t xml:space="preserve">This Finance Policy should be read alongside:</w:t>
      </w:r>
    </w:p>
    <w:p>
      <w:pPr>
        <w:pStyle w:val="ListParagraph"/>
        <w:numPr>
          <w:ilvl w:val="0"/>
          <w:numId w:val="1"/>
        </w:numPr>
        <w:spacing w:after="80"/>
      </w:pPr>
      <w:r>
        <w:rPr>
          <w:sz w:val="22"/>
          <w:szCs w:val="22"/>
        </w:rPr>
        <w:t xml:space="preserve">Employee Handbook (HR-EH-001) — for expense policy summary, travel policy, and conduct standards</w:t>
      </w:r>
    </w:p>
    <w:p>
      <w:pPr>
        <w:pStyle w:val="ListParagraph"/>
        <w:numPr>
          <w:ilvl w:val="0"/>
          <w:numId w:val="1"/>
        </w:numPr>
        <w:spacing w:after="80"/>
      </w:pPr>
      <w:r>
        <w:rPr>
          <w:sz w:val="22"/>
          <w:szCs w:val="22"/>
        </w:rPr>
        <w:t xml:space="preserve">Company Policy (OAT-CP-001) — for data classification and records retention</w:t>
      </w:r>
    </w:p>
    <w:p>
      <w:pPr>
        <w:pStyle w:val="ListParagraph"/>
        <w:numPr>
          <w:ilvl w:val="0"/>
          <w:numId w:val="1"/>
        </w:numPr>
        <w:spacing w:after="80"/>
      </w:pPr>
      <w:r>
        <w:rPr>
          <w:sz w:val="22"/>
          <w:szCs w:val="22"/>
        </w:rPr>
        <w:t xml:space="preserve">HR FAQs (HR-FAQ-001) — for employee-facing answers on expenses, payroll, and benefits</w:t>
      </w:r>
    </w:p>
    <w:p>
      <w:pPr>
        <w:pStyle w:val="ListParagraph"/>
        <w:numPr>
          <w:ilvl w:val="0"/>
          <w:numId w:val="1"/>
        </w:numPr>
        <w:spacing w:after="80"/>
      </w:pPr>
      <w:r>
        <w:rPr>
          <w:sz w:val="22"/>
          <w:szCs w:val="22"/>
        </w:rPr>
        <w:t xml:space="preserve">Salary Grades (HR-SG-001) — for compensation bands, bonus structures, and approval thresholds</w:t>
      </w:r>
    </w:p>
    <w:p>
      <w:r>
        <w:br w:type="page"/>
      </w:r>
    </w:p>
    <w:p>
      <w:pPr>
        <w:pStyle w:val="Heading1"/>
        <w:spacing w:after="200" w:before="400"/>
      </w:pPr>
      <w:r>
        <w:t xml:space="preserve">2. Financial Authority Matrix</w:t>
      </w:r>
    </w:p>
    <w:p>
      <w:pPr>
        <w:pStyle w:val="Heading2"/>
        <w:spacing w:after="150" w:before="300"/>
      </w:pPr>
      <w:r>
        <w:t xml:space="preserve">2.1 Overview</w:t>
      </w:r>
    </w:p>
    <w:p>
      <w:pPr>
        <w:spacing w:after="120" w:line="276"/>
      </w:pPr>
      <w:r>
        <w:rPr>
          <w:sz w:val="22"/>
          <w:szCs w:val="22"/>
        </w:rPr>
        <w:t xml:space="preserve">The Financial Authority Matrix (FAM) defines the spending and approval authority for each role and level at OptiAgent Technologies. No financial commitment may be made on behalf of the company without appropriate authority. Exceeding one's authority level is a disciplinary matter. The FAM is reviewed annually by the CFO and General Counsel.</w:t>
      </w:r>
    </w:p>
    <w:p>
      <w:pPr>
        <w:pStyle w:val="Heading2"/>
        <w:spacing w:after="150" w:before="300"/>
      </w:pPr>
      <w:r>
        <w:t xml:space="preserve">2.2 Expenditure Approval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1500"/>
        <w:gridCol w:w="2060"/>
      </w:tblGrid>
      <w:tr>
        <w:tc>
          <w:tcPr>
            <w:tcW w:type="dxa" w:w="2200"/>
            <w:shd w:fill="1A5276" w:color="1A5276" w:val="clear"/>
          </w:tcPr>
          <w:p>
            <w:pPr>
              <w:spacing w:after="60"/>
            </w:pPr>
            <w:r>
              <w:rPr>
                <w:b/>
                <w:bCs/>
                <w:color w:val="FFFFFF"/>
                <w:sz w:val="20"/>
                <w:szCs w:val="20"/>
              </w:rPr>
              <w:t xml:space="preserve">Approver Level / Role</w:t>
            </w:r>
          </w:p>
        </w:tc>
        <w:tc>
          <w:tcPr>
            <w:tcW w:type="dxa" w:w="1600"/>
            <w:shd w:fill="1A5276" w:color="1A5276" w:val="clear"/>
          </w:tcPr>
          <w:p>
            <w:pPr>
              <w:spacing w:after="60"/>
            </w:pPr>
            <w:r>
              <w:rPr>
                <w:b/>
                <w:bCs/>
                <w:color w:val="FFFFFF"/>
                <w:sz w:val="20"/>
                <w:szCs w:val="20"/>
              </w:rPr>
              <w:t xml:space="preserve">Single Transaction Limit</w:t>
            </w:r>
          </w:p>
        </w:tc>
        <w:tc>
          <w:tcPr>
            <w:tcW w:type="dxa" w:w="2000"/>
            <w:shd w:fill="1A5276" w:color="1A5276" w:val="clear"/>
          </w:tcPr>
          <w:p>
            <w:pPr>
              <w:spacing w:after="60"/>
            </w:pPr>
            <w:r>
              <w:rPr>
                <w:b/>
                <w:bCs/>
                <w:color w:val="FFFFFF"/>
                <w:sz w:val="20"/>
                <w:szCs w:val="20"/>
              </w:rPr>
              <w:t xml:space="preserve">Annual Vendor Commitment Limit</w:t>
            </w:r>
          </w:p>
        </w:tc>
        <w:tc>
          <w:tcPr>
            <w:tcW w:type="dxa" w:w="1500"/>
            <w:shd w:fill="1A5276" w:color="1A5276" w:val="clear"/>
          </w:tcPr>
          <w:p>
            <w:pPr>
              <w:spacing w:after="60"/>
            </w:pPr>
            <w:r>
              <w:rPr>
                <w:b/>
                <w:bCs/>
                <w:color w:val="FFFFFF"/>
                <w:sz w:val="20"/>
                <w:szCs w:val="20"/>
              </w:rPr>
              <w:t xml:space="preserve">Contract Term Limit</w:t>
            </w:r>
          </w:p>
        </w:tc>
        <w:tc>
          <w:tcPr>
            <w:tcW w:type="dxa" w:w="2060"/>
            <w:shd w:fill="1A5276" w:color="1A5276" w:val="clear"/>
          </w:tcPr>
          <w:p>
            <w:pPr>
              <w:spacing w:after="60"/>
            </w:pPr>
            <w:r>
              <w:rPr>
                <w:b/>
                <w:bCs/>
                <w:color w:val="FFFFFF"/>
                <w:sz w:val="20"/>
                <w:szCs w:val="20"/>
              </w:rPr>
              <w:t xml:space="preserve">Notes</w:t>
            </w:r>
          </w:p>
        </w:tc>
      </w:tr>
      <w:tr>
        <w:tc>
          <w:tcPr>
            <w:tcW w:type="dxa" w:w="2200"/>
            <w:shd w:fill="EBF5FB" w:color="EBF5FB" w:val="clear"/>
          </w:tcPr>
          <w:p>
            <w:pPr>
              <w:spacing w:after="60"/>
            </w:pPr>
            <w:r>
              <w:rPr>
                <w:sz w:val="20"/>
                <w:szCs w:val="20"/>
              </w:rPr>
              <w:t xml:space="preserve">IC1–IC3 (Individual Contributor)</w:t>
            </w:r>
          </w:p>
        </w:tc>
        <w:tc>
          <w:tcPr>
            <w:tcW w:type="dxa" w:w="1600"/>
            <w:shd w:fill="EBF5FB" w:color="EBF5FB" w:val="clear"/>
          </w:tcPr>
          <w:p>
            <w:pPr>
              <w:spacing w:after="60"/>
            </w:pPr>
            <w:r>
              <w:rPr>
                <w:sz w:val="20"/>
                <w:szCs w:val="20"/>
              </w:rPr>
              <w:t xml:space="preserve">USD 500</w:t>
            </w:r>
          </w:p>
        </w:tc>
        <w:tc>
          <w:tcPr>
            <w:tcW w:type="dxa" w:w="2000"/>
            <w:shd w:fill="EBF5FB" w:color="EBF5FB" w:val="clear"/>
          </w:tcPr>
          <w:p>
            <w:pPr>
              <w:spacing w:after="60"/>
            </w:pPr>
            <w:r>
              <w:rPr>
                <w:sz w:val="20"/>
                <w:szCs w:val="20"/>
              </w:rPr>
              <w:t xml:space="preserve">N/A</w:t>
            </w:r>
          </w:p>
        </w:tc>
        <w:tc>
          <w:tcPr>
            <w:tcW w:type="dxa" w:w="1500"/>
            <w:shd w:fill="EBF5FB" w:color="EBF5FB" w:val="clear"/>
          </w:tcPr>
          <w:p>
            <w:pPr>
              <w:spacing w:after="60"/>
            </w:pPr>
            <w:r>
              <w:rPr>
                <w:sz w:val="20"/>
                <w:szCs w:val="20"/>
              </w:rPr>
              <w:t xml:space="preserve">N/A</w:t>
            </w:r>
          </w:p>
        </w:tc>
        <w:tc>
          <w:tcPr>
            <w:tcW w:type="dxa" w:w="2060"/>
            <w:shd w:fill="EBF5FB" w:color="EBF5FB" w:val="clear"/>
          </w:tcPr>
          <w:p>
            <w:pPr>
              <w:spacing w:after="60"/>
            </w:pPr>
            <w:r>
              <w:rPr>
                <w:sz w:val="20"/>
                <w:szCs w:val="20"/>
              </w:rPr>
              <w:t xml:space="preserve">Expense claims only; no purchase orders</w:t>
            </w:r>
          </w:p>
        </w:tc>
      </w:tr>
      <w:tr>
        <w:tc>
          <w:tcPr>
            <w:tcW w:type="dxa" w:w="2200"/>
            <w:shd w:fill="FFFFFF" w:color="FFFFFF" w:val="clear"/>
          </w:tcPr>
          <w:p>
            <w:pPr>
              <w:spacing w:after="60"/>
            </w:pPr>
            <w:r>
              <w:rPr>
                <w:sz w:val="20"/>
                <w:szCs w:val="20"/>
              </w:rPr>
              <w:t xml:space="preserve">IC4–IC6 (Senior/Staff/Principal)</w:t>
            </w:r>
          </w:p>
        </w:tc>
        <w:tc>
          <w:tcPr>
            <w:tcW w:type="dxa" w:w="1600"/>
            <w:shd w:fill="FFFFFF" w:color="FFFFFF" w:val="clear"/>
          </w:tcPr>
          <w:p>
            <w:pPr>
              <w:spacing w:after="60"/>
            </w:pPr>
            <w:r>
              <w:rPr>
                <w:sz w:val="20"/>
                <w:szCs w:val="20"/>
              </w:rPr>
              <w:t xml:space="preserve">USD 2,000</w:t>
            </w:r>
          </w:p>
        </w:tc>
        <w:tc>
          <w:tcPr>
            <w:tcW w:type="dxa" w:w="2000"/>
            <w:shd w:fill="FFFFFF" w:color="FFFFFF" w:val="clear"/>
          </w:tcPr>
          <w:p>
            <w:pPr>
              <w:spacing w:after="60"/>
            </w:pPr>
            <w:r>
              <w:rPr>
                <w:sz w:val="20"/>
                <w:szCs w:val="20"/>
              </w:rPr>
              <w:t xml:space="preserve">N/A</w:t>
            </w:r>
          </w:p>
        </w:tc>
        <w:tc>
          <w:tcPr>
            <w:tcW w:type="dxa" w:w="1500"/>
            <w:shd w:fill="FFFFFF" w:color="FFFFFF" w:val="clear"/>
          </w:tcPr>
          <w:p>
            <w:pPr>
              <w:spacing w:after="60"/>
            </w:pPr>
            <w:r>
              <w:rPr>
                <w:sz w:val="20"/>
                <w:szCs w:val="20"/>
              </w:rPr>
              <w:t xml:space="preserve">N/A</w:t>
            </w:r>
          </w:p>
        </w:tc>
        <w:tc>
          <w:tcPr>
            <w:tcW w:type="dxa" w:w="2060"/>
            <w:shd w:fill="FFFFFF" w:color="FFFFFF" w:val="clear"/>
          </w:tcPr>
          <w:p>
            <w:pPr>
              <w:spacing w:after="60"/>
            </w:pPr>
            <w:r>
              <w:rPr>
                <w:sz w:val="20"/>
                <w:szCs w:val="20"/>
              </w:rPr>
              <w:t xml:space="preserve">Expense claims + software tool requests</w:t>
            </w:r>
          </w:p>
        </w:tc>
      </w:tr>
      <w:tr>
        <w:tc>
          <w:tcPr>
            <w:tcW w:type="dxa" w:w="2200"/>
            <w:shd w:fill="EBF5FB" w:color="EBF5FB" w:val="clear"/>
          </w:tcPr>
          <w:p>
            <w:pPr>
              <w:spacing w:after="60"/>
            </w:pPr>
            <w:r>
              <w:rPr>
                <w:sz w:val="20"/>
                <w:szCs w:val="20"/>
              </w:rPr>
              <w:t xml:space="preserve">M1 (Engineering/Team Manager)</w:t>
            </w:r>
          </w:p>
        </w:tc>
        <w:tc>
          <w:tcPr>
            <w:tcW w:type="dxa" w:w="1600"/>
            <w:shd w:fill="EBF5FB" w:color="EBF5FB" w:val="clear"/>
          </w:tcPr>
          <w:p>
            <w:pPr>
              <w:spacing w:after="60"/>
            </w:pPr>
            <w:r>
              <w:rPr>
                <w:sz w:val="20"/>
                <w:szCs w:val="20"/>
              </w:rPr>
              <w:t xml:space="preserve">USD 5,000</w:t>
            </w:r>
          </w:p>
        </w:tc>
        <w:tc>
          <w:tcPr>
            <w:tcW w:type="dxa" w:w="2000"/>
            <w:shd w:fill="EBF5FB" w:color="EBF5FB" w:val="clear"/>
          </w:tcPr>
          <w:p>
            <w:pPr>
              <w:spacing w:after="60"/>
            </w:pPr>
            <w:r>
              <w:rPr>
                <w:sz w:val="20"/>
                <w:szCs w:val="20"/>
              </w:rPr>
              <w:t xml:space="preserve">USD 25,000</w:t>
            </w:r>
          </w:p>
        </w:tc>
        <w:tc>
          <w:tcPr>
            <w:tcW w:type="dxa" w:w="1500"/>
            <w:shd w:fill="EBF5FB" w:color="EBF5FB" w:val="clear"/>
          </w:tcPr>
          <w:p>
            <w:pPr>
              <w:spacing w:after="60"/>
            </w:pPr>
            <w:r>
              <w:rPr>
                <w:sz w:val="20"/>
                <w:szCs w:val="20"/>
              </w:rPr>
              <w:t xml:space="preserve">12 months</w:t>
            </w:r>
          </w:p>
        </w:tc>
        <w:tc>
          <w:tcPr>
            <w:tcW w:type="dxa" w:w="2060"/>
            <w:shd w:fill="EBF5FB" w:color="EBF5FB" w:val="clear"/>
          </w:tcPr>
          <w:p>
            <w:pPr>
              <w:spacing w:after="60"/>
            </w:pPr>
            <w:r>
              <w:rPr>
                <w:sz w:val="20"/>
                <w:szCs w:val="20"/>
              </w:rPr>
              <w:t xml:space="preserve">Team-level software and operational expenses</w:t>
            </w:r>
          </w:p>
        </w:tc>
      </w:tr>
      <w:tr>
        <w:tc>
          <w:tcPr>
            <w:tcW w:type="dxa" w:w="2200"/>
            <w:shd w:fill="FFFFFF" w:color="FFFFFF" w:val="clear"/>
          </w:tcPr>
          <w:p>
            <w:pPr>
              <w:spacing w:after="60"/>
            </w:pPr>
            <w:r>
              <w:rPr>
                <w:sz w:val="20"/>
                <w:szCs w:val="20"/>
              </w:rPr>
              <w:t xml:space="preserve">M2 (Senior Manager / Group Manager)</w:t>
            </w:r>
          </w:p>
        </w:tc>
        <w:tc>
          <w:tcPr>
            <w:tcW w:type="dxa" w:w="1600"/>
            <w:shd w:fill="FFFFFF" w:color="FFFFFF" w:val="clear"/>
          </w:tcPr>
          <w:p>
            <w:pPr>
              <w:spacing w:after="60"/>
            </w:pPr>
            <w:r>
              <w:rPr>
                <w:sz w:val="20"/>
                <w:szCs w:val="20"/>
              </w:rPr>
              <w:t xml:space="preserve">USD 15,000</w:t>
            </w:r>
          </w:p>
        </w:tc>
        <w:tc>
          <w:tcPr>
            <w:tcW w:type="dxa" w:w="2000"/>
            <w:shd w:fill="FFFFFF" w:color="FFFFFF" w:val="clear"/>
          </w:tcPr>
          <w:p>
            <w:pPr>
              <w:spacing w:after="60"/>
            </w:pPr>
            <w:r>
              <w:rPr>
                <w:sz w:val="20"/>
                <w:szCs w:val="20"/>
              </w:rPr>
              <w:t xml:space="preserve">USD 75,000</w:t>
            </w:r>
          </w:p>
        </w:tc>
        <w:tc>
          <w:tcPr>
            <w:tcW w:type="dxa" w:w="1500"/>
            <w:shd w:fill="FFFFFF" w:color="FFFFFF" w:val="clear"/>
          </w:tcPr>
          <w:p>
            <w:pPr>
              <w:spacing w:after="60"/>
            </w:pPr>
            <w:r>
              <w:rPr>
                <w:sz w:val="20"/>
                <w:szCs w:val="20"/>
              </w:rPr>
              <w:t xml:space="preserve">24 months</w:t>
            </w:r>
          </w:p>
        </w:tc>
        <w:tc>
          <w:tcPr>
            <w:tcW w:type="dxa" w:w="2060"/>
            <w:shd w:fill="FFFFFF" w:color="FFFFFF" w:val="clear"/>
          </w:tcPr>
          <w:p>
            <w:pPr>
              <w:spacing w:after="60"/>
            </w:pPr>
            <w:r>
              <w:rPr>
                <w:sz w:val="20"/>
                <w:szCs w:val="20"/>
              </w:rPr>
              <w:t xml:space="preserve">Department-level; co-sign required above USD 10K</w:t>
            </w:r>
          </w:p>
        </w:tc>
      </w:tr>
      <w:tr>
        <w:tc>
          <w:tcPr>
            <w:tcW w:type="dxa" w:w="2200"/>
            <w:shd w:fill="EBF5FB" w:color="EBF5FB" w:val="clear"/>
          </w:tcPr>
          <w:p>
            <w:pPr>
              <w:spacing w:after="60"/>
            </w:pPr>
            <w:r>
              <w:rPr>
                <w:sz w:val="20"/>
                <w:szCs w:val="20"/>
              </w:rPr>
              <w:t xml:space="preserve">M3 (Director)</w:t>
            </w:r>
          </w:p>
        </w:tc>
        <w:tc>
          <w:tcPr>
            <w:tcW w:type="dxa" w:w="1600"/>
            <w:shd w:fill="EBF5FB" w:color="EBF5FB" w:val="clear"/>
          </w:tcPr>
          <w:p>
            <w:pPr>
              <w:spacing w:after="60"/>
            </w:pPr>
            <w:r>
              <w:rPr>
                <w:sz w:val="20"/>
                <w:szCs w:val="20"/>
              </w:rPr>
              <w:t xml:space="preserve">USD 50,000</w:t>
            </w:r>
          </w:p>
        </w:tc>
        <w:tc>
          <w:tcPr>
            <w:tcW w:type="dxa" w:w="2000"/>
            <w:shd w:fill="EBF5FB" w:color="EBF5FB" w:val="clear"/>
          </w:tcPr>
          <w:p>
            <w:pPr>
              <w:spacing w:after="60"/>
            </w:pPr>
            <w:r>
              <w:rPr>
                <w:sz w:val="20"/>
                <w:szCs w:val="20"/>
              </w:rPr>
              <w:t xml:space="preserve">USD 250,000</w:t>
            </w:r>
          </w:p>
        </w:tc>
        <w:tc>
          <w:tcPr>
            <w:tcW w:type="dxa" w:w="1500"/>
            <w:shd w:fill="EBF5FB" w:color="EBF5FB" w:val="clear"/>
          </w:tcPr>
          <w:p>
            <w:pPr>
              <w:spacing w:after="60"/>
            </w:pPr>
            <w:r>
              <w:rPr>
                <w:sz w:val="20"/>
                <w:szCs w:val="20"/>
              </w:rPr>
              <w:t xml:space="preserve">36 months</w:t>
            </w:r>
          </w:p>
        </w:tc>
        <w:tc>
          <w:tcPr>
            <w:tcW w:type="dxa" w:w="2060"/>
            <w:shd w:fill="EBF5FB" w:color="EBF5FB" w:val="clear"/>
          </w:tcPr>
          <w:p>
            <w:pPr>
              <w:spacing w:after="60"/>
            </w:pPr>
            <w:r>
              <w:rPr>
                <w:sz w:val="20"/>
                <w:szCs w:val="20"/>
              </w:rPr>
              <w:t xml:space="preserve">Requires Finance co-approval above USD 25K</w:t>
            </w:r>
          </w:p>
        </w:tc>
      </w:tr>
      <w:tr>
        <w:tc>
          <w:tcPr>
            <w:tcW w:type="dxa" w:w="2200"/>
            <w:shd w:fill="FFFFFF" w:color="FFFFFF" w:val="clear"/>
          </w:tcPr>
          <w:p>
            <w:pPr>
              <w:spacing w:after="60"/>
            </w:pPr>
            <w:r>
              <w:rPr>
                <w:sz w:val="20"/>
                <w:szCs w:val="20"/>
              </w:rPr>
              <w:t xml:space="preserve">M4 (VP)</w:t>
            </w:r>
          </w:p>
        </w:tc>
        <w:tc>
          <w:tcPr>
            <w:tcW w:type="dxa" w:w="1600"/>
            <w:shd w:fill="FFFFFF" w:color="FFFFFF" w:val="clear"/>
          </w:tcPr>
          <w:p>
            <w:pPr>
              <w:spacing w:after="60"/>
            </w:pPr>
            <w:r>
              <w:rPr>
                <w:sz w:val="20"/>
                <w:szCs w:val="20"/>
              </w:rPr>
              <w:t xml:space="preserve">USD 250,000</w:t>
            </w:r>
          </w:p>
        </w:tc>
        <w:tc>
          <w:tcPr>
            <w:tcW w:type="dxa" w:w="2000"/>
            <w:shd w:fill="FFFFFF" w:color="FFFFFF" w:val="clear"/>
          </w:tcPr>
          <w:p>
            <w:pPr>
              <w:spacing w:after="60"/>
            </w:pPr>
            <w:r>
              <w:rPr>
                <w:sz w:val="20"/>
                <w:szCs w:val="20"/>
              </w:rPr>
              <w:t xml:space="preserve">USD 1,000,000</w:t>
            </w:r>
          </w:p>
        </w:tc>
        <w:tc>
          <w:tcPr>
            <w:tcW w:type="dxa" w:w="1500"/>
            <w:shd w:fill="FFFFFF" w:color="FFFFFF" w:val="clear"/>
          </w:tcPr>
          <w:p>
            <w:pPr>
              <w:spacing w:after="60"/>
            </w:pPr>
            <w:r>
              <w:rPr>
                <w:sz w:val="20"/>
                <w:szCs w:val="20"/>
              </w:rPr>
              <w:t xml:space="preserve">48 months</w:t>
            </w:r>
          </w:p>
        </w:tc>
        <w:tc>
          <w:tcPr>
            <w:tcW w:type="dxa" w:w="2060"/>
            <w:shd w:fill="FFFFFF" w:color="FFFFFF" w:val="clear"/>
          </w:tcPr>
          <w:p>
            <w:pPr>
              <w:spacing w:after="60"/>
            </w:pPr>
            <w:r>
              <w:rPr>
                <w:sz w:val="20"/>
                <w:szCs w:val="20"/>
              </w:rPr>
              <w:t xml:space="preserve">Requires CFO awareness above USD 100K</w:t>
            </w:r>
          </w:p>
        </w:tc>
      </w:tr>
      <w:tr>
        <w:tc>
          <w:tcPr>
            <w:tcW w:type="dxa" w:w="2200"/>
            <w:shd w:fill="EBF5FB" w:color="EBF5FB" w:val="clear"/>
          </w:tcPr>
          <w:p>
            <w:pPr>
              <w:spacing w:after="60"/>
            </w:pPr>
            <w:r>
              <w:rPr>
                <w:sz w:val="20"/>
                <w:szCs w:val="20"/>
              </w:rPr>
              <w:t xml:space="preserve">M5 / C-Suite (EVP, CEO, CFO, CTO)</w:t>
            </w:r>
          </w:p>
        </w:tc>
        <w:tc>
          <w:tcPr>
            <w:tcW w:type="dxa" w:w="1600"/>
            <w:shd w:fill="EBF5FB" w:color="EBF5FB" w:val="clear"/>
          </w:tcPr>
          <w:p>
            <w:pPr>
              <w:spacing w:after="60"/>
            </w:pPr>
            <w:r>
              <w:rPr>
                <w:sz w:val="20"/>
                <w:szCs w:val="20"/>
              </w:rPr>
              <w:t xml:space="preserve">USD 1,000,000</w:t>
            </w:r>
          </w:p>
        </w:tc>
        <w:tc>
          <w:tcPr>
            <w:tcW w:type="dxa" w:w="2000"/>
            <w:shd w:fill="EBF5FB" w:color="EBF5FB" w:val="clear"/>
          </w:tcPr>
          <w:p>
            <w:pPr>
              <w:spacing w:after="60"/>
            </w:pPr>
            <w:r>
              <w:rPr>
                <w:sz w:val="20"/>
                <w:szCs w:val="20"/>
              </w:rPr>
              <w:t xml:space="preserve">USD 5,000,000</w:t>
            </w:r>
          </w:p>
        </w:tc>
        <w:tc>
          <w:tcPr>
            <w:tcW w:type="dxa" w:w="1500"/>
            <w:shd w:fill="EBF5FB" w:color="EBF5FB" w:val="clear"/>
          </w:tcPr>
          <w:p>
            <w:pPr>
              <w:spacing w:after="60"/>
            </w:pPr>
            <w:r>
              <w:rPr>
                <w:sz w:val="20"/>
                <w:szCs w:val="20"/>
              </w:rPr>
              <w:t xml:space="preserve">60 months</w:t>
            </w:r>
          </w:p>
        </w:tc>
        <w:tc>
          <w:tcPr>
            <w:tcW w:type="dxa" w:w="2060"/>
            <w:shd w:fill="EBF5FB" w:color="EBF5FB" w:val="clear"/>
          </w:tcPr>
          <w:p>
            <w:pPr>
              <w:spacing w:after="60"/>
            </w:pPr>
            <w:r>
              <w:rPr>
                <w:sz w:val="20"/>
                <w:szCs w:val="20"/>
              </w:rPr>
              <w:t xml:space="preserve">Board notification required above USD 500K</w:t>
            </w:r>
          </w:p>
        </w:tc>
      </w:tr>
      <w:tr>
        <w:tc>
          <w:tcPr>
            <w:tcW w:type="dxa" w:w="2200"/>
            <w:shd w:fill="FFFFFF" w:color="FFFFFF" w:val="clear"/>
          </w:tcPr>
          <w:p>
            <w:pPr>
              <w:spacing w:after="60"/>
            </w:pPr>
            <w:r>
              <w:rPr>
                <w:sz w:val="20"/>
                <w:szCs w:val="20"/>
              </w:rPr>
              <w:t xml:space="preserve">Board of Directors</w:t>
            </w:r>
          </w:p>
        </w:tc>
        <w:tc>
          <w:tcPr>
            <w:tcW w:type="dxa" w:w="1600"/>
            <w:shd w:fill="FFFFFF" w:color="FFFFFF" w:val="clear"/>
          </w:tcPr>
          <w:p>
            <w:pPr>
              <w:spacing w:after="60"/>
            </w:pPr>
            <w:r>
              <w:rPr>
                <w:sz w:val="20"/>
                <w:szCs w:val="20"/>
              </w:rPr>
              <w:t xml:space="preserve">Unlimited</w:t>
            </w:r>
          </w:p>
        </w:tc>
        <w:tc>
          <w:tcPr>
            <w:tcW w:type="dxa" w:w="2000"/>
            <w:shd w:fill="FFFFFF" w:color="FFFFFF" w:val="clear"/>
          </w:tcPr>
          <w:p>
            <w:pPr>
              <w:spacing w:after="60"/>
            </w:pPr>
            <w:r>
              <w:rPr>
                <w:sz w:val="20"/>
                <w:szCs w:val="20"/>
              </w:rPr>
              <w:t xml:space="preserve">Unlimited</w:t>
            </w:r>
          </w:p>
        </w:tc>
        <w:tc>
          <w:tcPr>
            <w:tcW w:type="dxa" w:w="1500"/>
            <w:shd w:fill="FFFFFF" w:color="FFFFFF" w:val="clear"/>
          </w:tcPr>
          <w:p>
            <w:pPr>
              <w:spacing w:after="60"/>
            </w:pPr>
            <w:r>
              <w:rPr>
                <w:sz w:val="20"/>
                <w:szCs w:val="20"/>
              </w:rPr>
              <w:t xml:space="preserve">Unlimited</w:t>
            </w:r>
          </w:p>
        </w:tc>
        <w:tc>
          <w:tcPr>
            <w:tcW w:type="dxa" w:w="2060"/>
            <w:shd w:fill="FFFFFF" w:color="FFFFFF" w:val="clear"/>
          </w:tcPr>
          <w:p>
            <w:pPr>
              <w:spacing w:after="60"/>
            </w:pPr>
            <w:r>
              <w:rPr>
                <w:sz w:val="20"/>
                <w:szCs w:val="20"/>
              </w:rPr>
              <w:t xml:space="preserve">Required for M&amp;A, equity issuance, major debt</w:t>
            </w:r>
          </w:p>
        </w:tc>
      </w:tr>
    </w:tbl>
    <w:p>
      <w:pPr>
        <w:spacing w:after="80"/>
      </w:pPr>
      <w:r>
        <w:t xml:space="preserve"/>
      </w:r>
    </w:p>
    <w:p>
      <w:pPr>
        <w:pStyle w:val="Heading2"/>
        <w:spacing w:after="150" w:before="300"/>
      </w:pPr>
      <w:r>
        <w:t xml:space="preserve">2.3 Special Approval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1A5276" w:color="1A5276" w:val="clear"/>
          </w:tcPr>
          <w:p>
            <w:pPr>
              <w:spacing w:after="60"/>
            </w:pPr>
            <w:r>
              <w:rPr>
                <w:b/>
                <w:bCs/>
                <w:color w:val="FFFFFF"/>
                <w:sz w:val="20"/>
                <w:szCs w:val="20"/>
              </w:rPr>
              <w:t xml:space="preserve">Transaction Type</w:t>
            </w:r>
          </w:p>
        </w:tc>
        <w:tc>
          <w:tcPr>
            <w:tcW w:type="dxa" w:w="6160"/>
            <w:shd w:fill="1A5276" w:color="1A5276" w:val="clear"/>
          </w:tcPr>
          <w:p>
            <w:pPr>
              <w:spacing w:after="60"/>
            </w:pPr>
            <w:r>
              <w:rPr>
                <w:b/>
                <w:bCs/>
                <w:color w:val="FFFFFF"/>
                <w:sz w:val="20"/>
                <w:szCs w:val="20"/>
              </w:rPr>
              <w:t xml:space="preserve">Additional Requirement</w:t>
            </w:r>
          </w:p>
        </w:tc>
      </w:tr>
      <w:tr>
        <w:tc>
          <w:tcPr>
            <w:tcW w:type="dxa" w:w="3200"/>
            <w:shd w:fill="EBF5FB" w:color="EBF5FB" w:val="clear"/>
          </w:tcPr>
          <w:p>
            <w:pPr>
              <w:spacing w:after="60"/>
            </w:pPr>
            <w:r>
              <w:rPr>
                <w:sz w:val="20"/>
                <w:szCs w:val="20"/>
              </w:rPr>
              <w:t xml:space="preserve">New vendor onboarding (any value)</w:t>
            </w:r>
          </w:p>
        </w:tc>
        <w:tc>
          <w:tcPr>
            <w:tcW w:type="dxa" w:w="6160"/>
            <w:shd w:fill="EBF5FB" w:color="EBF5FB" w:val="clear"/>
          </w:tcPr>
          <w:p>
            <w:pPr>
              <w:spacing w:after="60"/>
            </w:pPr>
            <w:r>
              <w:rPr>
                <w:sz w:val="20"/>
                <w:szCs w:val="20"/>
              </w:rPr>
              <w:t xml:space="preserve">Procurement approval + vendor due diligence form</w:t>
            </w:r>
          </w:p>
        </w:tc>
      </w:tr>
      <w:tr>
        <w:tc>
          <w:tcPr>
            <w:tcW w:type="dxa" w:w="3200"/>
            <w:shd w:fill="FFFFFF" w:color="FFFFFF" w:val="clear"/>
          </w:tcPr>
          <w:p>
            <w:pPr>
              <w:spacing w:after="60"/>
            </w:pPr>
            <w:r>
              <w:rPr>
                <w:sz w:val="20"/>
                <w:szCs w:val="20"/>
              </w:rPr>
              <w:t xml:space="preserve">Sole-source procurement above USD 10,000</w:t>
            </w:r>
          </w:p>
        </w:tc>
        <w:tc>
          <w:tcPr>
            <w:tcW w:type="dxa" w:w="6160"/>
            <w:shd w:fill="FFFFFF" w:color="FFFFFF" w:val="clear"/>
          </w:tcPr>
          <w:p>
            <w:pPr>
              <w:spacing w:after="60"/>
            </w:pPr>
            <w:r>
              <w:rPr>
                <w:sz w:val="20"/>
                <w:szCs w:val="20"/>
              </w:rPr>
              <w:t xml:space="preserve">Director-level justification + Finance sign-off</w:t>
            </w:r>
          </w:p>
        </w:tc>
      </w:tr>
      <w:tr>
        <w:tc>
          <w:tcPr>
            <w:tcW w:type="dxa" w:w="3200"/>
            <w:shd w:fill="EBF5FB" w:color="EBF5FB" w:val="clear"/>
          </w:tcPr>
          <w:p>
            <w:pPr>
              <w:spacing w:after="60"/>
            </w:pPr>
            <w:r>
              <w:rPr>
                <w:sz w:val="20"/>
                <w:szCs w:val="20"/>
              </w:rPr>
              <w:t xml:space="preserve">Multi-year SaaS contracts above USD 50,000</w:t>
            </w:r>
          </w:p>
        </w:tc>
        <w:tc>
          <w:tcPr>
            <w:tcW w:type="dxa" w:w="6160"/>
            <w:shd w:fill="EBF5FB" w:color="EBF5FB" w:val="clear"/>
          </w:tcPr>
          <w:p>
            <w:pPr>
              <w:spacing w:after="60"/>
            </w:pPr>
            <w:r>
              <w:rPr>
                <w:sz w:val="20"/>
                <w:szCs w:val="20"/>
              </w:rPr>
              <w:t xml:space="preserve">Legal review + CFO approval</w:t>
            </w:r>
          </w:p>
        </w:tc>
      </w:tr>
      <w:tr>
        <w:tc>
          <w:tcPr>
            <w:tcW w:type="dxa" w:w="3200"/>
            <w:shd w:fill="FFFFFF" w:color="FFFFFF" w:val="clear"/>
          </w:tcPr>
          <w:p>
            <w:pPr>
              <w:spacing w:after="60"/>
            </w:pPr>
            <w:r>
              <w:rPr>
                <w:sz w:val="20"/>
                <w:szCs w:val="20"/>
              </w:rPr>
              <w:t xml:space="preserve">Capital expenditure (CapEx) above USD 25,000</w:t>
            </w:r>
          </w:p>
        </w:tc>
        <w:tc>
          <w:tcPr>
            <w:tcW w:type="dxa" w:w="6160"/>
            <w:shd w:fill="FFFFFF" w:color="FFFFFF" w:val="clear"/>
          </w:tcPr>
          <w:p>
            <w:pPr>
              <w:spacing w:after="60"/>
            </w:pPr>
            <w:r>
              <w:rPr>
                <w:sz w:val="20"/>
                <w:szCs w:val="20"/>
              </w:rPr>
              <w:t xml:space="preserve">CapEx request form + CFO + CEO approval</w:t>
            </w:r>
          </w:p>
        </w:tc>
      </w:tr>
      <w:tr>
        <w:tc>
          <w:tcPr>
            <w:tcW w:type="dxa" w:w="3200"/>
            <w:shd w:fill="EBF5FB" w:color="EBF5FB" w:val="clear"/>
          </w:tcPr>
          <w:p>
            <w:pPr>
              <w:spacing w:after="60"/>
            </w:pPr>
            <w:r>
              <w:rPr>
                <w:sz w:val="20"/>
                <w:szCs w:val="20"/>
              </w:rPr>
              <w:t xml:space="preserve">International wire transfer above USD 50,000</w:t>
            </w:r>
          </w:p>
        </w:tc>
        <w:tc>
          <w:tcPr>
            <w:tcW w:type="dxa" w:w="6160"/>
            <w:shd w:fill="EBF5FB" w:color="EBF5FB" w:val="clear"/>
          </w:tcPr>
          <w:p>
            <w:pPr>
              <w:spacing w:after="60"/>
            </w:pPr>
            <w:r>
              <w:rPr>
                <w:sz w:val="20"/>
                <w:szCs w:val="20"/>
              </w:rPr>
              <w:t xml:space="preserve">Dual approver (CFO + Controller) + Treasury notification</w:t>
            </w:r>
          </w:p>
        </w:tc>
      </w:tr>
      <w:tr>
        <w:tc>
          <w:tcPr>
            <w:tcW w:type="dxa" w:w="3200"/>
            <w:shd w:fill="FFFFFF" w:color="FFFFFF" w:val="clear"/>
          </w:tcPr>
          <w:p>
            <w:pPr>
              <w:spacing w:after="60"/>
            </w:pPr>
            <w:r>
              <w:rPr>
                <w:sz w:val="20"/>
                <w:szCs w:val="20"/>
              </w:rPr>
              <w:t xml:space="preserve">Related-party transactions (any value)</w:t>
            </w:r>
          </w:p>
        </w:tc>
        <w:tc>
          <w:tcPr>
            <w:tcW w:type="dxa" w:w="6160"/>
            <w:shd w:fill="FFFFFF" w:color="FFFFFF" w:val="clear"/>
          </w:tcPr>
          <w:p>
            <w:pPr>
              <w:spacing w:after="60"/>
            </w:pPr>
            <w:r>
              <w:rPr>
                <w:sz w:val="20"/>
                <w:szCs w:val="20"/>
              </w:rPr>
              <w:t xml:space="preserve">General Counsel + Audit Committee disclosure</w:t>
            </w:r>
          </w:p>
        </w:tc>
      </w:tr>
      <w:tr>
        <w:tc>
          <w:tcPr>
            <w:tcW w:type="dxa" w:w="3200"/>
            <w:shd w:fill="EBF5FB" w:color="EBF5FB" w:val="clear"/>
          </w:tcPr>
          <w:p>
            <w:pPr>
              <w:spacing w:after="60"/>
            </w:pPr>
            <w:r>
              <w:rPr>
                <w:sz w:val="20"/>
                <w:szCs w:val="20"/>
              </w:rPr>
              <w:t xml:space="preserve">Charitable donations</w:t>
            </w:r>
          </w:p>
        </w:tc>
        <w:tc>
          <w:tcPr>
            <w:tcW w:type="dxa" w:w="6160"/>
            <w:shd w:fill="EBF5FB" w:color="EBF5FB" w:val="clear"/>
          </w:tcPr>
          <w:p>
            <w:pPr>
              <w:spacing w:after="60"/>
            </w:pPr>
            <w:r>
              <w:rPr>
                <w:sz w:val="20"/>
                <w:szCs w:val="20"/>
              </w:rPr>
              <w:t xml:space="preserve">CFO approval; max USD 50,000 per entity per year</w:t>
            </w:r>
          </w:p>
        </w:tc>
      </w:tr>
      <w:tr>
        <w:tc>
          <w:tcPr>
            <w:tcW w:type="dxa" w:w="3200"/>
            <w:shd w:fill="FFFFFF" w:color="FFFFFF" w:val="clear"/>
          </w:tcPr>
          <w:p>
            <w:pPr>
              <w:spacing w:after="60"/>
            </w:pPr>
            <w:r>
              <w:rPr>
                <w:sz w:val="20"/>
                <w:szCs w:val="20"/>
              </w:rPr>
              <w:t xml:space="preserve">Employee advances</w:t>
            </w:r>
          </w:p>
        </w:tc>
        <w:tc>
          <w:tcPr>
            <w:tcW w:type="dxa" w:w="6160"/>
            <w:shd w:fill="FFFFFF" w:color="FFFFFF" w:val="clear"/>
          </w:tcPr>
          <w:p>
            <w:pPr>
              <w:spacing w:after="60"/>
            </w:pPr>
            <w:r>
              <w:rPr>
                <w:sz w:val="20"/>
                <w:szCs w:val="20"/>
              </w:rPr>
              <w:t xml:space="preserve">HR + Finance approval; repayment schedule required</w:t>
            </w:r>
          </w:p>
        </w:tc>
      </w:tr>
    </w:tbl>
    <w:p>
      <w:pPr>
        <w:spacing w:after="80"/>
      </w:pPr>
      <w:r>
        <w:t xml:space="preserve"/>
      </w:r>
    </w:p>
    <w:p>
      <w:r>
        <w:br w:type="page"/>
      </w:r>
    </w:p>
    <w:p>
      <w:pPr>
        <w:pStyle w:val="Heading1"/>
        <w:spacing w:after="200" w:before="400"/>
      </w:pPr>
      <w:r>
        <w:t xml:space="preserve">3. Budget Management Policy</w:t>
      </w:r>
    </w:p>
    <w:p>
      <w:pPr>
        <w:pStyle w:val="Heading2"/>
        <w:spacing w:after="150" w:before="300"/>
      </w:pPr>
      <w:r>
        <w:t xml:space="preserve">3.1 Budget Cycle</w:t>
      </w:r>
    </w:p>
    <w:p>
      <w:pPr>
        <w:spacing w:after="120" w:line="276"/>
      </w:pPr>
      <w:r>
        <w:rPr>
          <w:sz w:val="22"/>
          <w:szCs w:val="22"/>
        </w:rPr>
        <w:t xml:space="preserve">OptiAgent Technologies operates on a fiscal year running January 1 through December 31. The annual budget process follows this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500"/>
        <w:gridCol w:w="2060"/>
      </w:tblGrid>
      <w:tr>
        <w:tc>
          <w:tcPr>
            <w:tcW w:type="dxa" w:w="1600"/>
            <w:shd w:fill="1A5276" w:color="1A5276" w:val="clear"/>
          </w:tcPr>
          <w:p>
            <w:pPr>
              <w:spacing w:after="60"/>
            </w:pPr>
            <w:r>
              <w:rPr>
                <w:b/>
                <w:bCs/>
                <w:color w:val="FFFFFF"/>
                <w:sz w:val="20"/>
                <w:szCs w:val="20"/>
              </w:rPr>
              <w:t xml:space="preserve">Phase</w:t>
            </w:r>
          </w:p>
        </w:tc>
        <w:tc>
          <w:tcPr>
            <w:tcW w:type="dxa" w:w="2200"/>
            <w:shd w:fill="1A5276" w:color="1A5276" w:val="clear"/>
          </w:tcPr>
          <w:p>
            <w:pPr>
              <w:spacing w:after="60"/>
            </w:pPr>
            <w:r>
              <w:rPr>
                <w:b/>
                <w:bCs/>
                <w:color w:val="FFFFFF"/>
                <w:sz w:val="20"/>
                <w:szCs w:val="20"/>
              </w:rPr>
              <w:t xml:space="preserve">Timeline</w:t>
            </w:r>
          </w:p>
        </w:tc>
        <w:tc>
          <w:tcPr>
            <w:tcW w:type="dxa" w:w="3500"/>
            <w:shd w:fill="1A5276" w:color="1A5276" w:val="clear"/>
          </w:tcPr>
          <w:p>
            <w:pPr>
              <w:spacing w:after="60"/>
            </w:pPr>
            <w:r>
              <w:rPr>
                <w:b/>
                <w:bCs/>
                <w:color w:val="FFFFFF"/>
                <w:sz w:val="20"/>
                <w:szCs w:val="20"/>
              </w:rPr>
              <w:t xml:space="preserve">Activity</w:t>
            </w:r>
          </w:p>
        </w:tc>
        <w:tc>
          <w:tcPr>
            <w:tcW w:type="dxa" w:w="2060"/>
            <w:shd w:fill="1A5276" w:color="1A5276" w:val="clear"/>
          </w:tcPr>
          <w:p>
            <w:pPr>
              <w:spacing w:after="60"/>
            </w:pPr>
            <w:r>
              <w:rPr>
                <w:b/>
                <w:bCs/>
                <w:color w:val="FFFFFF"/>
                <w:sz w:val="20"/>
                <w:szCs w:val="20"/>
              </w:rPr>
              <w:t xml:space="preserve">Owner</w:t>
            </w:r>
          </w:p>
        </w:tc>
      </w:tr>
      <w:tr>
        <w:tc>
          <w:tcPr>
            <w:tcW w:type="dxa" w:w="1600"/>
            <w:shd w:fill="EBF5FB" w:color="EBF5FB" w:val="clear"/>
          </w:tcPr>
          <w:p>
            <w:pPr>
              <w:spacing w:after="60"/>
            </w:pPr>
            <w:r>
              <w:rPr>
                <w:sz w:val="20"/>
                <w:szCs w:val="20"/>
              </w:rPr>
              <w:t xml:space="preserve">Strategic Planning</w:t>
            </w:r>
          </w:p>
        </w:tc>
        <w:tc>
          <w:tcPr>
            <w:tcW w:type="dxa" w:w="2200"/>
            <w:shd w:fill="EBF5FB" w:color="EBF5FB" w:val="clear"/>
          </w:tcPr>
          <w:p>
            <w:pPr>
              <w:spacing w:after="60"/>
            </w:pPr>
            <w:r>
              <w:rPr>
                <w:sz w:val="20"/>
                <w:szCs w:val="20"/>
              </w:rPr>
              <w:t xml:space="preserve">August – September</w:t>
            </w:r>
          </w:p>
        </w:tc>
        <w:tc>
          <w:tcPr>
            <w:tcW w:type="dxa" w:w="3500"/>
            <w:shd w:fill="EBF5FB" w:color="EBF5FB" w:val="clear"/>
          </w:tcPr>
          <w:p>
            <w:pPr>
              <w:spacing w:after="60"/>
            </w:pPr>
            <w:r>
              <w:rPr>
                <w:sz w:val="20"/>
                <w:szCs w:val="20"/>
              </w:rPr>
              <w:t xml:space="preserve">Top-down guidance; growth targets; headcount planning</w:t>
            </w:r>
          </w:p>
        </w:tc>
        <w:tc>
          <w:tcPr>
            <w:tcW w:type="dxa" w:w="2060"/>
            <w:shd w:fill="EBF5FB" w:color="EBF5FB" w:val="clear"/>
          </w:tcPr>
          <w:p>
            <w:pPr>
              <w:spacing w:after="60"/>
            </w:pPr>
            <w:r>
              <w:rPr>
                <w:sz w:val="20"/>
                <w:szCs w:val="20"/>
              </w:rPr>
              <w:t xml:space="preserve">CFO + CEO + ExCo</w:t>
            </w:r>
          </w:p>
        </w:tc>
      </w:tr>
      <w:tr>
        <w:tc>
          <w:tcPr>
            <w:tcW w:type="dxa" w:w="1600"/>
            <w:shd w:fill="FFFFFF" w:color="FFFFFF" w:val="clear"/>
          </w:tcPr>
          <w:p>
            <w:pPr>
              <w:spacing w:after="60"/>
            </w:pPr>
            <w:r>
              <w:rPr>
                <w:sz w:val="20"/>
                <w:szCs w:val="20"/>
              </w:rPr>
              <w:t xml:space="preserve">Bottom-Up Build</w:t>
            </w:r>
          </w:p>
        </w:tc>
        <w:tc>
          <w:tcPr>
            <w:tcW w:type="dxa" w:w="2200"/>
            <w:shd w:fill="FFFFFF" w:color="FFFFFF" w:val="clear"/>
          </w:tcPr>
          <w:p>
            <w:pPr>
              <w:spacing w:after="60"/>
            </w:pPr>
            <w:r>
              <w:rPr>
                <w:sz w:val="20"/>
                <w:szCs w:val="20"/>
              </w:rPr>
              <w:t xml:space="preserve">October</w:t>
            </w:r>
          </w:p>
        </w:tc>
        <w:tc>
          <w:tcPr>
            <w:tcW w:type="dxa" w:w="3500"/>
            <w:shd w:fill="FFFFFF" w:color="FFFFFF" w:val="clear"/>
          </w:tcPr>
          <w:p>
            <w:pPr>
              <w:spacing w:after="60"/>
            </w:pPr>
            <w:r>
              <w:rPr>
                <w:sz w:val="20"/>
                <w:szCs w:val="20"/>
              </w:rPr>
              <w:t xml:space="preserve">Department heads submit budget requests via Anaplan</w:t>
            </w:r>
          </w:p>
        </w:tc>
        <w:tc>
          <w:tcPr>
            <w:tcW w:type="dxa" w:w="2060"/>
            <w:shd w:fill="FFFFFF" w:color="FFFFFF" w:val="clear"/>
          </w:tcPr>
          <w:p>
            <w:pPr>
              <w:spacing w:after="60"/>
            </w:pPr>
            <w:r>
              <w:rPr>
                <w:sz w:val="20"/>
                <w:szCs w:val="20"/>
              </w:rPr>
              <w:t xml:space="preserve">All VPs and Directors</w:t>
            </w:r>
          </w:p>
        </w:tc>
      </w:tr>
      <w:tr>
        <w:tc>
          <w:tcPr>
            <w:tcW w:type="dxa" w:w="1600"/>
            <w:shd w:fill="EBF5FB" w:color="EBF5FB" w:val="clear"/>
          </w:tcPr>
          <w:p>
            <w:pPr>
              <w:spacing w:after="60"/>
            </w:pPr>
            <w:r>
              <w:rPr>
                <w:sz w:val="20"/>
                <w:szCs w:val="20"/>
              </w:rPr>
              <w:t xml:space="preserve">Finance Review &amp; Challenge</w:t>
            </w:r>
          </w:p>
        </w:tc>
        <w:tc>
          <w:tcPr>
            <w:tcW w:type="dxa" w:w="2200"/>
            <w:shd w:fill="EBF5FB" w:color="EBF5FB" w:val="clear"/>
          </w:tcPr>
          <w:p>
            <w:pPr>
              <w:spacing w:after="60"/>
            </w:pPr>
            <w:r>
              <w:rPr>
                <w:sz w:val="20"/>
                <w:szCs w:val="20"/>
              </w:rPr>
              <w:t xml:space="preserve">November</w:t>
            </w:r>
          </w:p>
        </w:tc>
        <w:tc>
          <w:tcPr>
            <w:tcW w:type="dxa" w:w="3500"/>
            <w:shd w:fill="EBF5FB" w:color="EBF5FB" w:val="clear"/>
          </w:tcPr>
          <w:p>
            <w:pPr>
              <w:spacing w:after="60"/>
            </w:pPr>
            <w:r>
              <w:rPr>
                <w:sz w:val="20"/>
                <w:szCs w:val="20"/>
              </w:rPr>
              <w:t xml:space="preserve">FP&amp;A challenges submissions; reconciles to top-down targets</w:t>
            </w:r>
          </w:p>
        </w:tc>
        <w:tc>
          <w:tcPr>
            <w:tcW w:type="dxa" w:w="2060"/>
            <w:shd w:fill="EBF5FB" w:color="EBF5FB" w:val="clear"/>
          </w:tcPr>
          <w:p>
            <w:pPr>
              <w:spacing w:after="60"/>
            </w:pPr>
            <w:r>
              <w:rPr>
                <w:sz w:val="20"/>
                <w:szCs w:val="20"/>
              </w:rPr>
              <w:t xml:space="preserve">VP Finance / FP&amp;A</w:t>
            </w:r>
          </w:p>
        </w:tc>
      </w:tr>
      <w:tr>
        <w:tc>
          <w:tcPr>
            <w:tcW w:type="dxa" w:w="1600"/>
            <w:shd w:fill="FFFFFF" w:color="FFFFFF" w:val="clear"/>
          </w:tcPr>
          <w:p>
            <w:pPr>
              <w:spacing w:after="60"/>
            </w:pPr>
            <w:r>
              <w:rPr>
                <w:sz w:val="20"/>
                <w:szCs w:val="20"/>
              </w:rPr>
              <w:t xml:space="preserve">Board Approval</w:t>
            </w:r>
          </w:p>
        </w:tc>
        <w:tc>
          <w:tcPr>
            <w:tcW w:type="dxa" w:w="2200"/>
            <w:shd w:fill="FFFFFF" w:color="FFFFFF" w:val="clear"/>
          </w:tcPr>
          <w:p>
            <w:pPr>
              <w:spacing w:after="60"/>
            </w:pPr>
            <w:r>
              <w:rPr>
                <w:sz w:val="20"/>
                <w:szCs w:val="20"/>
              </w:rPr>
              <w:t xml:space="preserve">December (first board meeting)</w:t>
            </w:r>
          </w:p>
        </w:tc>
        <w:tc>
          <w:tcPr>
            <w:tcW w:type="dxa" w:w="3500"/>
            <w:shd w:fill="FFFFFF" w:color="FFFFFF" w:val="clear"/>
          </w:tcPr>
          <w:p>
            <w:pPr>
              <w:spacing w:after="60"/>
            </w:pPr>
            <w:r>
              <w:rPr>
                <w:sz w:val="20"/>
                <w:szCs w:val="20"/>
              </w:rPr>
              <w:t xml:space="preserve">Final budget presented and approved</w:t>
            </w:r>
          </w:p>
        </w:tc>
        <w:tc>
          <w:tcPr>
            <w:tcW w:type="dxa" w:w="2060"/>
            <w:shd w:fill="FFFFFF" w:color="FFFFFF" w:val="clear"/>
          </w:tcPr>
          <w:p>
            <w:pPr>
              <w:spacing w:after="60"/>
            </w:pPr>
            <w:r>
              <w:rPr>
                <w:sz w:val="20"/>
                <w:szCs w:val="20"/>
              </w:rPr>
              <w:t xml:space="preserve">Board of Directors</w:t>
            </w:r>
          </w:p>
        </w:tc>
      </w:tr>
      <w:tr>
        <w:tc>
          <w:tcPr>
            <w:tcW w:type="dxa" w:w="1600"/>
            <w:shd w:fill="EBF5FB" w:color="EBF5FB" w:val="clear"/>
          </w:tcPr>
          <w:p>
            <w:pPr>
              <w:spacing w:after="60"/>
            </w:pPr>
            <w:r>
              <w:rPr>
                <w:sz w:val="20"/>
                <w:szCs w:val="20"/>
              </w:rPr>
              <w:t xml:space="preserve">Budget Load</w:t>
            </w:r>
          </w:p>
        </w:tc>
        <w:tc>
          <w:tcPr>
            <w:tcW w:type="dxa" w:w="2200"/>
            <w:shd w:fill="EBF5FB" w:color="EBF5FB" w:val="clear"/>
          </w:tcPr>
          <w:p>
            <w:pPr>
              <w:spacing w:after="60"/>
            </w:pPr>
            <w:r>
              <w:rPr>
                <w:sz w:val="20"/>
                <w:szCs w:val="20"/>
              </w:rPr>
              <w:t xml:space="preserve">December 31</w:t>
            </w:r>
          </w:p>
        </w:tc>
        <w:tc>
          <w:tcPr>
            <w:tcW w:type="dxa" w:w="3500"/>
            <w:shd w:fill="EBF5FB" w:color="EBF5FB" w:val="clear"/>
          </w:tcPr>
          <w:p>
            <w:pPr>
              <w:spacing w:after="60"/>
            </w:pPr>
            <w:r>
              <w:rPr>
                <w:sz w:val="20"/>
                <w:szCs w:val="20"/>
              </w:rPr>
              <w:t xml:space="preserve">Approved budget loaded into NetSuite ERP</w:t>
            </w:r>
          </w:p>
        </w:tc>
        <w:tc>
          <w:tcPr>
            <w:tcW w:type="dxa" w:w="2060"/>
            <w:shd w:fill="EBF5FB" w:color="EBF5FB" w:val="clear"/>
          </w:tcPr>
          <w:p>
            <w:pPr>
              <w:spacing w:after="60"/>
            </w:pPr>
            <w:r>
              <w:rPr>
                <w:sz w:val="20"/>
                <w:szCs w:val="20"/>
              </w:rPr>
              <w:t xml:space="preserve">Controller</w:t>
            </w:r>
          </w:p>
        </w:tc>
      </w:tr>
      <w:tr>
        <w:tc>
          <w:tcPr>
            <w:tcW w:type="dxa" w:w="1600"/>
            <w:shd w:fill="FFFFFF" w:color="FFFFFF" w:val="clear"/>
          </w:tcPr>
          <w:p>
            <w:pPr>
              <w:spacing w:after="60"/>
            </w:pPr>
            <w:r>
              <w:rPr>
                <w:sz w:val="20"/>
                <w:szCs w:val="20"/>
              </w:rPr>
              <w:t xml:space="preserve">Q1 Reforecast</w:t>
            </w:r>
          </w:p>
        </w:tc>
        <w:tc>
          <w:tcPr>
            <w:tcW w:type="dxa" w:w="2200"/>
            <w:shd w:fill="FFFFFF" w:color="FFFFFF" w:val="clear"/>
          </w:tcPr>
          <w:p>
            <w:pPr>
              <w:spacing w:after="60"/>
            </w:pPr>
            <w:r>
              <w:rPr>
                <w:sz w:val="20"/>
                <w:szCs w:val="20"/>
              </w:rPr>
              <w:t xml:space="preserve">April 15</w:t>
            </w:r>
          </w:p>
        </w:tc>
        <w:tc>
          <w:tcPr>
            <w:tcW w:type="dxa" w:w="3500"/>
            <w:shd w:fill="FFFFFF" w:color="FFFFFF" w:val="clear"/>
          </w:tcPr>
          <w:p>
            <w:pPr>
              <w:spacing w:after="60"/>
            </w:pPr>
            <w:r>
              <w:rPr>
                <w:sz w:val="20"/>
                <w:szCs w:val="20"/>
              </w:rPr>
              <w:t xml:space="preserve">Rolling reforecast based on Q1 actuals</w:t>
            </w:r>
          </w:p>
        </w:tc>
        <w:tc>
          <w:tcPr>
            <w:tcW w:type="dxa" w:w="2060"/>
            <w:shd w:fill="FFFFFF" w:color="FFFFFF" w:val="clear"/>
          </w:tcPr>
          <w:p>
            <w:pPr>
              <w:spacing w:after="60"/>
            </w:pPr>
            <w:r>
              <w:rPr>
                <w:sz w:val="20"/>
                <w:szCs w:val="20"/>
              </w:rPr>
              <w:t xml:space="preserve">VP Finance</w:t>
            </w:r>
          </w:p>
        </w:tc>
      </w:tr>
      <w:tr>
        <w:tc>
          <w:tcPr>
            <w:tcW w:type="dxa" w:w="1600"/>
            <w:shd w:fill="EBF5FB" w:color="EBF5FB" w:val="clear"/>
          </w:tcPr>
          <w:p>
            <w:pPr>
              <w:spacing w:after="60"/>
            </w:pPr>
            <w:r>
              <w:rPr>
                <w:sz w:val="20"/>
                <w:szCs w:val="20"/>
              </w:rPr>
              <w:t xml:space="preserve">Q2 / H1 Reforecast</w:t>
            </w:r>
          </w:p>
        </w:tc>
        <w:tc>
          <w:tcPr>
            <w:tcW w:type="dxa" w:w="2200"/>
            <w:shd w:fill="EBF5FB" w:color="EBF5FB" w:val="clear"/>
          </w:tcPr>
          <w:p>
            <w:pPr>
              <w:spacing w:after="60"/>
            </w:pPr>
            <w:r>
              <w:rPr>
                <w:sz w:val="20"/>
                <w:szCs w:val="20"/>
              </w:rPr>
              <w:t xml:space="preserve">July 15</w:t>
            </w:r>
          </w:p>
        </w:tc>
        <w:tc>
          <w:tcPr>
            <w:tcW w:type="dxa" w:w="3500"/>
            <w:shd w:fill="EBF5FB" w:color="EBF5FB" w:val="clear"/>
          </w:tcPr>
          <w:p>
            <w:pPr>
              <w:spacing w:after="60"/>
            </w:pPr>
            <w:r>
              <w:rPr>
                <w:sz w:val="20"/>
                <w:szCs w:val="20"/>
              </w:rPr>
              <w:t xml:space="preserve">Mid-year reforecast; significant variances trigger CFO review</w:t>
            </w:r>
          </w:p>
        </w:tc>
        <w:tc>
          <w:tcPr>
            <w:tcW w:type="dxa" w:w="2060"/>
            <w:shd w:fill="EBF5FB" w:color="EBF5FB" w:val="clear"/>
          </w:tcPr>
          <w:p>
            <w:pPr>
              <w:spacing w:after="60"/>
            </w:pPr>
            <w:r>
              <w:rPr>
                <w:sz w:val="20"/>
                <w:szCs w:val="20"/>
              </w:rPr>
              <w:t xml:space="preserve">VP Finance</w:t>
            </w:r>
          </w:p>
        </w:tc>
      </w:tr>
      <w:tr>
        <w:tc>
          <w:tcPr>
            <w:tcW w:type="dxa" w:w="1600"/>
            <w:shd w:fill="FFFFFF" w:color="FFFFFF" w:val="clear"/>
          </w:tcPr>
          <w:p>
            <w:pPr>
              <w:spacing w:after="60"/>
            </w:pPr>
            <w:r>
              <w:rPr>
                <w:sz w:val="20"/>
                <w:szCs w:val="20"/>
              </w:rPr>
              <w:t xml:space="preserve">Q3 Reforecast</w:t>
            </w:r>
          </w:p>
        </w:tc>
        <w:tc>
          <w:tcPr>
            <w:tcW w:type="dxa" w:w="2200"/>
            <w:shd w:fill="FFFFFF" w:color="FFFFFF" w:val="clear"/>
          </w:tcPr>
          <w:p>
            <w:pPr>
              <w:spacing w:after="60"/>
            </w:pPr>
            <w:r>
              <w:rPr>
                <w:sz w:val="20"/>
                <w:szCs w:val="20"/>
              </w:rPr>
              <w:t xml:space="preserve">October 15</w:t>
            </w:r>
          </w:p>
        </w:tc>
        <w:tc>
          <w:tcPr>
            <w:tcW w:type="dxa" w:w="3500"/>
            <w:shd w:fill="FFFFFF" w:color="FFFFFF" w:val="clear"/>
          </w:tcPr>
          <w:p>
            <w:pPr>
              <w:spacing w:after="60"/>
            </w:pPr>
            <w:r>
              <w:rPr>
                <w:sz w:val="20"/>
                <w:szCs w:val="20"/>
              </w:rPr>
              <w:t xml:space="preserve">Updated full-year forecast</w:t>
            </w:r>
          </w:p>
        </w:tc>
        <w:tc>
          <w:tcPr>
            <w:tcW w:type="dxa" w:w="2060"/>
            <w:shd w:fill="FFFFFF" w:color="FFFFFF" w:val="clear"/>
          </w:tcPr>
          <w:p>
            <w:pPr>
              <w:spacing w:after="60"/>
            </w:pPr>
            <w:r>
              <w:rPr>
                <w:sz w:val="20"/>
                <w:szCs w:val="20"/>
              </w:rPr>
              <w:t xml:space="preserve">VP Finance</w:t>
            </w:r>
          </w:p>
        </w:tc>
      </w:tr>
    </w:tbl>
    <w:p>
      <w:pPr>
        <w:spacing w:after="80"/>
      </w:pPr>
      <w:r>
        <w:t xml:space="preserve"/>
      </w:r>
    </w:p>
    <w:p>
      <w:pPr>
        <w:pStyle w:val="Heading2"/>
        <w:spacing w:after="150" w:before="300"/>
      </w:pPr>
      <w:r>
        <w:t xml:space="preserve">3.2 Budget Owners &amp; Accountability</w:t>
      </w:r>
    </w:p>
    <w:p>
      <w:pPr>
        <w:spacing w:after="120" w:line="276"/>
      </w:pPr>
      <w:r>
        <w:rPr>
          <w:sz w:val="22"/>
          <w:szCs w:val="22"/>
        </w:rPr>
        <w:t xml:space="preserve">Every budget line has a Budget Owner — the person accountable for spending within that budget. Budget Owners are responsible for:</w:t>
      </w:r>
    </w:p>
    <w:p>
      <w:pPr>
        <w:pStyle w:val="ListParagraph"/>
        <w:numPr>
          <w:ilvl w:val="0"/>
          <w:numId w:val="1"/>
        </w:numPr>
        <w:spacing w:after="80"/>
      </w:pPr>
      <w:r>
        <w:rPr>
          <w:sz w:val="22"/>
          <w:szCs w:val="22"/>
        </w:rPr>
        <w:t xml:space="preserve">Monitoring actual vs. budget monthly in NetSuite (or via the Finance Dashboard in Anaplan)</w:t>
      </w:r>
    </w:p>
    <w:p>
      <w:pPr>
        <w:pStyle w:val="ListParagraph"/>
        <w:numPr>
          <w:ilvl w:val="0"/>
          <w:numId w:val="1"/>
        </w:numPr>
        <w:spacing w:after="80"/>
      </w:pPr>
      <w:r>
        <w:rPr>
          <w:sz w:val="22"/>
          <w:szCs w:val="22"/>
        </w:rPr>
        <w:t xml:space="preserve">Approving all spending within their budget lines up to their FAM authority</w:t>
      </w:r>
    </w:p>
    <w:p>
      <w:pPr>
        <w:pStyle w:val="ListParagraph"/>
        <w:numPr>
          <w:ilvl w:val="0"/>
          <w:numId w:val="1"/>
        </w:numPr>
        <w:spacing w:after="80"/>
      </w:pPr>
      <w:r>
        <w:rPr>
          <w:sz w:val="22"/>
          <w:szCs w:val="22"/>
        </w:rPr>
        <w:t xml:space="preserve">Explaining variances greater than 10% or USD 10,000 (whichever is lower) to Finance by the 10th of the following month</w:t>
      </w:r>
    </w:p>
    <w:p>
      <w:pPr>
        <w:pStyle w:val="ListParagraph"/>
        <w:numPr>
          <w:ilvl w:val="0"/>
          <w:numId w:val="1"/>
        </w:numPr>
        <w:spacing w:after="80"/>
      </w:pPr>
      <w:r>
        <w:rPr>
          <w:sz w:val="22"/>
          <w:szCs w:val="22"/>
        </w:rPr>
        <w:t xml:space="preserve">Requesting budget transfers or supplemental budget via the Budget Amendment Request (BAR) form in NetSuite</w:t>
      </w:r>
    </w:p>
    <w:p>
      <w:pPr>
        <w:pStyle w:val="ListParagraph"/>
        <w:numPr>
          <w:ilvl w:val="0"/>
          <w:numId w:val="1"/>
        </w:numPr>
        <w:spacing w:after="80"/>
      </w:pPr>
      <w:r>
        <w:rPr>
          <w:sz w:val="22"/>
          <w:szCs w:val="22"/>
        </w:rPr>
        <w:t xml:space="preserve">Not committing spend beyond the approved budget without Finance approval</w:t>
      </w:r>
    </w:p>
    <w:p>
      <w:pPr>
        <w:pStyle w:val="Heading2"/>
        <w:spacing w:after="150" w:before="300"/>
      </w:pPr>
      <w:r>
        <w:t xml:space="preserve">3.3 Budget Transfers &amp; Amendments</w:t>
      </w:r>
    </w:p>
    <w:p>
      <w:pPr>
        <w:spacing w:after="120" w:line="276"/>
      </w:pPr>
      <w:r>
        <w:rPr>
          <w:sz w:val="22"/>
          <w:szCs w:val="22"/>
        </w:rPr>
        <w:t xml:space="preserve">Budget transfers between cost centers within the same department require VP approval and Finance notification. Transfers between departments require CFO approval. Supplemental budget requests (spend exceeding approved budget) must be submitted via the BAR form and follow the approval matrix in Section 2.2.</w:t>
      </w:r>
    </w:p>
    <w:p>
      <w:pPr>
        <w:pStyle w:val="Heading2"/>
        <w:spacing w:after="150" w:before="300"/>
      </w:pPr>
      <w:r>
        <w:t xml:space="preserve">3.4 Headcount Budget</w:t>
      </w:r>
    </w:p>
    <w:p>
      <w:pPr>
        <w:spacing w:after="120" w:line="276"/>
      </w:pPr>
      <w:r>
        <w:rPr>
          <w:sz w:val="22"/>
          <w:szCs w:val="22"/>
        </w:rPr>
        <w:t xml:space="preserve">All new headcount (permanent or fixed-term) must be approved in the annual headcount plan. Mid-year additions require VP + CFO approval via the Headcount Request form in Workday Recruiting. Backfills for approved roles follow a streamlined process; net-new roles require the full approval cycle. See Salary Grades (HR-SG-001) for compensation bands by level used in headcount planning.</w:t>
      </w:r>
    </w:p>
    <w:p>
      <w:r>
        <w:br w:type="page"/>
      </w:r>
    </w:p>
    <w:p>
      <w:pPr>
        <w:pStyle w:val="Heading1"/>
        <w:spacing w:after="200" w:before="400"/>
      </w:pPr>
      <w:r>
        <w:t xml:space="preserve">4. Expense &amp; Reimbursement Policy</w:t>
      </w:r>
    </w:p>
    <w:p>
      <w:pPr>
        <w:pStyle w:val="Heading2"/>
        <w:spacing w:after="150" w:before="300"/>
      </w:pPr>
      <w:r>
        <w:t xml:space="preserve">4.1 General Principles</w:t>
      </w:r>
    </w:p>
    <w:p>
      <w:pPr>
        <w:spacing w:after="120" w:line="276"/>
      </w:pPr>
      <w:r>
        <w:rPr>
          <w:sz w:val="22"/>
          <w:szCs w:val="22"/>
        </w:rPr>
        <w:t xml:space="preserve">OptiAgent Technologies reimburses employees for reasonable, necessary, and properly documented business expenses incurred in the performance of their duties. Expenses must be:</w:t>
      </w:r>
    </w:p>
    <w:p>
      <w:pPr>
        <w:pStyle w:val="ListParagraph"/>
        <w:numPr>
          <w:ilvl w:val="0"/>
          <w:numId w:val="1"/>
        </w:numPr>
        <w:spacing w:after="80"/>
      </w:pPr>
      <w:r>
        <w:rPr>
          <w:sz w:val="22"/>
          <w:szCs w:val="22"/>
        </w:rPr>
        <w:t xml:space="preserve">Incurred for a legitimate business purpose</w:t>
      </w:r>
    </w:p>
    <w:p>
      <w:pPr>
        <w:pStyle w:val="ListParagraph"/>
        <w:numPr>
          <w:ilvl w:val="0"/>
          <w:numId w:val="1"/>
        </w:numPr>
        <w:spacing w:after="80"/>
      </w:pPr>
      <w:r>
        <w:rPr>
          <w:sz w:val="22"/>
          <w:szCs w:val="22"/>
        </w:rPr>
        <w:t xml:space="preserve">Supported by a valid receipt (for any item USD 25 or above)</w:t>
      </w:r>
    </w:p>
    <w:p>
      <w:pPr>
        <w:pStyle w:val="ListParagraph"/>
        <w:numPr>
          <w:ilvl w:val="0"/>
          <w:numId w:val="1"/>
        </w:numPr>
        <w:spacing w:after="80"/>
      </w:pPr>
      <w:r>
        <w:rPr>
          <w:sz w:val="22"/>
          <w:szCs w:val="22"/>
        </w:rPr>
        <w:t xml:space="preserve">Submitted within 30 calendar days of the date incurred</w:t>
      </w:r>
    </w:p>
    <w:p>
      <w:pPr>
        <w:pStyle w:val="ListParagraph"/>
        <w:numPr>
          <w:ilvl w:val="0"/>
          <w:numId w:val="1"/>
        </w:numPr>
        <w:spacing w:after="80"/>
      </w:pPr>
      <w:r>
        <w:rPr>
          <w:sz w:val="22"/>
          <w:szCs w:val="22"/>
        </w:rPr>
        <w:t xml:space="preserve">Approved by the employee's direct manager in Workday</w:t>
      </w:r>
    </w:p>
    <w:p>
      <w:pPr>
        <w:pStyle w:val="ListParagraph"/>
        <w:numPr>
          <w:ilvl w:val="0"/>
          <w:numId w:val="1"/>
        </w:numPr>
        <w:spacing w:after="80"/>
      </w:pPr>
      <w:r>
        <w:rPr>
          <w:sz w:val="22"/>
          <w:szCs w:val="22"/>
        </w:rPr>
        <w:t xml:space="preserve">Compliant with this policy and the limits defined below</w:t>
      </w:r>
    </w:p>
    <w:p>
      <w:pPr>
        <w:spacing w:after="120" w:line="276"/>
      </w:pPr>
      <w:r>
        <w:rPr>
          <w:sz w:val="22"/>
          <w:szCs w:val="22"/>
        </w:rPr>
        <w:t xml:space="preserve">Personal expenses, luxury items, and expenses that primarily benefit the individual rather than the business are not reimbursable. When in doubt, ask your manager or the Finance team before incurring the expense.</w:t>
      </w:r>
    </w:p>
    <w:p>
      <w:pPr>
        <w:pStyle w:val="Heading2"/>
        <w:spacing w:after="150" w:before="300"/>
      </w:pPr>
      <w:r>
        <w:t xml:space="preserve">4.2 Expense Submission Process</w:t>
      </w:r>
    </w:p>
    <w:p>
      <w:pPr>
        <w:spacing w:after="120" w:line="276"/>
      </w:pPr>
      <w:r>
        <w:rPr>
          <w:sz w:val="22"/>
          <w:szCs w:val="22"/>
        </w:rPr>
        <w:t xml:space="preserve">All expenses must be submitted via Workday (Pay &gt; Expense Reports). Paper claims are no longer accepted. Process:</w:t>
      </w:r>
    </w:p>
    <w:p>
      <w:pPr>
        <w:pStyle w:val="ListParagraph"/>
        <w:numPr>
          <w:ilvl w:val="0"/>
          <w:numId w:val="1"/>
        </w:numPr>
        <w:spacing w:after="80"/>
      </w:pPr>
      <w:r>
        <w:rPr>
          <w:sz w:val="22"/>
          <w:szCs w:val="22"/>
        </w:rPr>
        <w:t xml:space="preserve">Step 1: Collect receipt (photograph or PDF) at time of purchase</w:t>
      </w:r>
    </w:p>
    <w:p>
      <w:pPr>
        <w:pStyle w:val="ListParagraph"/>
        <w:numPr>
          <w:ilvl w:val="0"/>
          <w:numId w:val="1"/>
        </w:numPr>
        <w:spacing w:after="80"/>
      </w:pPr>
      <w:r>
        <w:rPr>
          <w:sz w:val="22"/>
          <w:szCs w:val="22"/>
        </w:rPr>
        <w:t xml:space="preserve">Step 2: Log in to Workday &gt; Expense &gt; Create Expense Report within 30 days</w:t>
      </w:r>
    </w:p>
    <w:p>
      <w:pPr>
        <w:pStyle w:val="ListParagraph"/>
        <w:numPr>
          <w:ilvl w:val="0"/>
          <w:numId w:val="1"/>
        </w:numPr>
        <w:spacing w:after="80"/>
      </w:pPr>
      <w:r>
        <w:rPr>
          <w:sz w:val="22"/>
          <w:szCs w:val="22"/>
        </w:rPr>
        <w:t xml:space="preserve">Step 3: Attach receipt image; select correct expense category and cost center</w:t>
      </w:r>
    </w:p>
    <w:p>
      <w:pPr>
        <w:pStyle w:val="ListParagraph"/>
        <w:numPr>
          <w:ilvl w:val="0"/>
          <w:numId w:val="1"/>
        </w:numPr>
        <w:spacing w:after="80"/>
      </w:pPr>
      <w:r>
        <w:rPr>
          <w:sz w:val="22"/>
          <w:szCs w:val="22"/>
        </w:rPr>
        <w:t xml:space="preserve">Step 4: Add business purpose in the description field (mandatory)</w:t>
      </w:r>
    </w:p>
    <w:p>
      <w:pPr>
        <w:pStyle w:val="ListParagraph"/>
        <w:numPr>
          <w:ilvl w:val="0"/>
          <w:numId w:val="1"/>
        </w:numPr>
        <w:spacing w:after="80"/>
      </w:pPr>
      <w:r>
        <w:rPr>
          <w:sz w:val="22"/>
          <w:szCs w:val="22"/>
        </w:rPr>
        <w:t xml:space="preserve">Step 5: Submit for manager approval</w:t>
      </w:r>
    </w:p>
    <w:p>
      <w:pPr>
        <w:pStyle w:val="ListParagraph"/>
        <w:numPr>
          <w:ilvl w:val="0"/>
          <w:numId w:val="1"/>
        </w:numPr>
        <w:spacing w:after="80"/>
      </w:pPr>
      <w:r>
        <w:rPr>
          <w:sz w:val="22"/>
          <w:szCs w:val="22"/>
        </w:rPr>
        <w:t xml:space="preserve">Step 6: Finance reviews and processes; reimbursement via payroll within 2 pay cycles</w:t>
      </w:r>
    </w:p>
    <w:p>
      <w:pPr>
        <w:spacing w:after="120" w:line="276"/>
      </w:pPr>
      <w:r>
        <w:rPr>
          <w:sz w:val="22"/>
          <w:szCs w:val="22"/>
        </w:rPr>
        <w:t xml:space="preserve">Missing receipts: For items under USD 25 a missing receipt declaration may be submitted (maximum 3 per expense report). For items USD 25 and above a receipt is mandatory; without it the claim will be rejected.</w:t>
      </w:r>
    </w:p>
    <w:p>
      <w:pPr>
        <w:pStyle w:val="Heading2"/>
        <w:spacing w:after="150" w:before="300"/>
      </w:pPr>
      <w:r>
        <w:t xml:space="preserve">4.3 Expense Limits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400"/>
        <w:gridCol w:w="1500"/>
        <w:gridCol w:w="1400"/>
        <w:gridCol w:w="1900"/>
      </w:tblGrid>
      <w:tr>
        <w:tc>
          <w:tcPr>
            <w:tcW w:type="dxa" w:w="2500"/>
            <w:shd w:fill="1A5276" w:color="1A5276" w:val="clear"/>
          </w:tcPr>
          <w:p>
            <w:pPr>
              <w:spacing w:after="60"/>
            </w:pPr>
            <w:r>
              <w:rPr>
                <w:b/>
                <w:bCs/>
                <w:color w:val="FFFFFF"/>
                <w:sz w:val="20"/>
                <w:szCs w:val="20"/>
              </w:rPr>
              <w:t xml:space="preserve">Expense Category</w:t>
            </w:r>
          </w:p>
        </w:tc>
        <w:tc>
          <w:tcPr>
            <w:tcW w:type="dxa" w:w="1400"/>
            <w:shd w:fill="1A5276" w:color="1A5276" w:val="clear"/>
          </w:tcPr>
          <w:p>
            <w:pPr>
              <w:spacing w:after="60"/>
            </w:pPr>
            <w:r>
              <w:rPr>
                <w:b/>
                <w:bCs/>
                <w:color w:val="FFFFFF"/>
                <w:sz w:val="20"/>
                <w:szCs w:val="20"/>
              </w:rPr>
              <w:t xml:space="preserve">Standard Limit</w:t>
            </w:r>
          </w:p>
        </w:tc>
        <w:tc>
          <w:tcPr>
            <w:tcW w:type="dxa" w:w="1400"/>
            <w:shd w:fill="1A5276" w:color="1A5276" w:val="clear"/>
          </w:tcPr>
          <w:p>
            <w:pPr>
              <w:spacing w:after="60"/>
            </w:pPr>
            <w:r>
              <w:rPr>
                <w:b/>
                <w:bCs/>
                <w:color w:val="FFFFFF"/>
                <w:sz w:val="20"/>
                <w:szCs w:val="20"/>
              </w:rPr>
              <w:t xml:space="preserve">Director+ Limit</w:t>
            </w:r>
          </w:p>
        </w:tc>
        <w:tc>
          <w:tcPr>
            <w:tcW w:type="dxa" w:w="1500"/>
            <w:shd w:fill="1A5276" w:color="1A5276" w:val="clear"/>
          </w:tcPr>
          <w:p>
            <w:pPr>
              <w:spacing w:after="60"/>
            </w:pPr>
            <w:r>
              <w:rPr>
                <w:b/>
                <w:bCs/>
                <w:color w:val="FFFFFF"/>
                <w:sz w:val="20"/>
                <w:szCs w:val="20"/>
              </w:rPr>
              <w:t xml:space="preserve">Requires Pre-Approval</w:t>
            </w:r>
          </w:p>
        </w:tc>
        <w:tc>
          <w:tcPr>
            <w:tcW w:type="dxa" w:w="1400"/>
            <w:shd w:fill="1A5276" w:color="1A5276" w:val="clear"/>
          </w:tcPr>
          <w:p>
            <w:pPr>
              <w:spacing w:after="60"/>
            </w:pPr>
            <w:r>
              <w:rPr>
                <w:b/>
                <w:bCs/>
                <w:color w:val="FFFFFF"/>
                <w:sz w:val="20"/>
                <w:szCs w:val="20"/>
              </w:rPr>
              <w:t xml:space="preserve">Receipt Required</w:t>
            </w:r>
          </w:p>
        </w:tc>
        <w:tc>
          <w:tcPr>
            <w:tcW w:type="dxa" w:w="1900"/>
            <w:shd w:fill="1A5276" w:color="1A5276" w:val="clear"/>
          </w:tcPr>
          <w:p>
            <w:pPr>
              <w:spacing w:after="60"/>
            </w:pPr>
            <w:r>
              <w:rPr>
                <w:b/>
                <w:bCs/>
                <w:color w:val="FFFFFF"/>
                <w:sz w:val="20"/>
                <w:szCs w:val="20"/>
              </w:rPr>
              <w:t xml:space="preserve">Notes</w:t>
            </w:r>
          </w:p>
        </w:tc>
      </w:tr>
      <w:tr>
        <w:tc>
          <w:tcPr>
            <w:tcW w:type="dxa" w:w="2500"/>
            <w:shd w:fill="EBF5FB" w:color="EBF5FB" w:val="clear"/>
          </w:tcPr>
          <w:p>
            <w:pPr>
              <w:spacing w:after="60"/>
            </w:pPr>
            <w:r>
              <w:rPr>
                <w:sz w:val="20"/>
                <w:szCs w:val="20"/>
              </w:rPr>
              <w:t xml:space="preserve">Business meals — team (internal)</w:t>
            </w:r>
          </w:p>
        </w:tc>
        <w:tc>
          <w:tcPr>
            <w:tcW w:type="dxa" w:w="1400"/>
            <w:shd w:fill="EBF5FB" w:color="EBF5FB" w:val="clear"/>
          </w:tcPr>
          <w:p>
            <w:pPr>
              <w:spacing w:after="60"/>
            </w:pPr>
            <w:r>
              <w:rPr>
                <w:sz w:val="20"/>
                <w:szCs w:val="20"/>
              </w:rPr>
              <w:t xml:space="preserve">USD 30/person</w:t>
            </w:r>
          </w:p>
        </w:tc>
        <w:tc>
          <w:tcPr>
            <w:tcW w:type="dxa" w:w="1400"/>
            <w:shd w:fill="EBF5FB" w:color="EBF5FB" w:val="clear"/>
          </w:tcPr>
          <w:p>
            <w:pPr>
              <w:spacing w:after="60"/>
            </w:pPr>
            <w:r>
              <w:rPr>
                <w:sz w:val="20"/>
                <w:szCs w:val="20"/>
              </w:rPr>
              <w:t xml:space="preserve">USD 50/person</w:t>
            </w:r>
          </w:p>
        </w:tc>
        <w:tc>
          <w:tcPr>
            <w:tcW w:type="dxa" w:w="1500"/>
            <w:shd w:fill="EBF5FB" w:color="EBF5FB" w:val="clear"/>
          </w:tcPr>
          <w:p>
            <w:pPr>
              <w:spacing w:after="60"/>
            </w:pPr>
            <w:r>
              <w:rPr>
                <w:sz w:val="20"/>
                <w:szCs w:val="20"/>
              </w:rPr>
              <w:t xml:space="preserve">No</w:t>
            </w:r>
          </w:p>
        </w:tc>
        <w:tc>
          <w:tcPr>
            <w:tcW w:type="dxa" w:w="1400"/>
            <w:shd w:fill="EBF5FB" w:color="EBF5FB" w:val="clear"/>
          </w:tcPr>
          <w:p>
            <w:pPr>
              <w:spacing w:after="60"/>
            </w:pPr>
            <w:r>
              <w:rPr>
                <w:sz w:val="20"/>
                <w:szCs w:val="20"/>
              </w:rPr>
              <w:t xml:space="preserve">Yes (USD 25+)</w:t>
            </w:r>
          </w:p>
        </w:tc>
        <w:tc>
          <w:tcPr>
            <w:tcW w:type="dxa" w:w="1900"/>
            <w:shd w:fill="EBF5FB" w:color="EBF5FB" w:val="clear"/>
          </w:tcPr>
          <w:p>
            <w:pPr>
              <w:spacing w:after="60"/>
            </w:pPr>
            <w:r>
              <w:rPr>
                <w:sz w:val="20"/>
                <w:szCs w:val="20"/>
              </w:rPr>
              <w:t xml:space="preserve">Must state attendee names and business purpose</w:t>
            </w:r>
          </w:p>
        </w:tc>
      </w:tr>
      <w:tr>
        <w:tc>
          <w:tcPr>
            <w:tcW w:type="dxa" w:w="2500"/>
            <w:shd w:fill="FFFFFF" w:color="FFFFFF" w:val="clear"/>
          </w:tcPr>
          <w:p>
            <w:pPr>
              <w:spacing w:after="60"/>
            </w:pPr>
            <w:r>
              <w:rPr>
                <w:sz w:val="20"/>
                <w:szCs w:val="20"/>
              </w:rPr>
              <w:t xml:space="preserve">Business meals — client/customer</w:t>
            </w:r>
          </w:p>
        </w:tc>
        <w:tc>
          <w:tcPr>
            <w:tcW w:type="dxa" w:w="1400"/>
            <w:shd w:fill="FFFFFF" w:color="FFFFFF" w:val="clear"/>
          </w:tcPr>
          <w:p>
            <w:pPr>
              <w:spacing w:after="60"/>
            </w:pPr>
            <w:r>
              <w:rPr>
                <w:sz w:val="20"/>
                <w:szCs w:val="20"/>
              </w:rPr>
              <w:t xml:space="preserve">USD 100/person</w:t>
            </w:r>
          </w:p>
        </w:tc>
        <w:tc>
          <w:tcPr>
            <w:tcW w:type="dxa" w:w="1400"/>
            <w:shd w:fill="FFFFFF" w:color="FFFFFF" w:val="clear"/>
          </w:tcPr>
          <w:p>
            <w:pPr>
              <w:spacing w:after="60"/>
            </w:pPr>
            <w:r>
              <w:rPr>
                <w:sz w:val="20"/>
                <w:szCs w:val="20"/>
              </w:rPr>
              <w:t xml:space="preserve">USD 150/person</w:t>
            </w:r>
          </w:p>
        </w:tc>
        <w:tc>
          <w:tcPr>
            <w:tcW w:type="dxa" w:w="1500"/>
            <w:shd w:fill="FFFFFF" w:color="FFFFFF" w:val="clear"/>
          </w:tcPr>
          <w:p>
            <w:pPr>
              <w:spacing w:after="60"/>
            </w:pPr>
            <w:r>
              <w:rPr>
                <w:sz w:val="20"/>
                <w:szCs w:val="20"/>
              </w:rPr>
              <w:t xml:space="preserve">No (up to limit)</w:t>
            </w:r>
          </w:p>
        </w:tc>
        <w:tc>
          <w:tcPr>
            <w:tcW w:type="dxa" w:w="1400"/>
            <w:shd w:fill="FFFFFF" w:color="FFFFFF" w:val="clear"/>
          </w:tcPr>
          <w:p>
            <w:pPr>
              <w:spacing w:after="60"/>
            </w:pPr>
            <w:r>
              <w:rPr>
                <w:sz w:val="20"/>
                <w:szCs w:val="20"/>
              </w:rPr>
              <w:t xml:space="preserve">Yes</w:t>
            </w:r>
          </w:p>
        </w:tc>
        <w:tc>
          <w:tcPr>
            <w:tcW w:type="dxa" w:w="1900"/>
            <w:shd w:fill="FFFFFF" w:color="FFFFFF" w:val="clear"/>
          </w:tcPr>
          <w:p>
            <w:pPr>
              <w:spacing w:after="60"/>
            </w:pPr>
            <w:r>
              <w:rPr>
                <w:sz w:val="20"/>
                <w:szCs w:val="20"/>
              </w:rPr>
              <w:t xml:space="preserve">Must list client names and business purpose; alcohol included up to limit</w:t>
            </w:r>
          </w:p>
        </w:tc>
      </w:tr>
      <w:tr>
        <w:tc>
          <w:tcPr>
            <w:tcW w:type="dxa" w:w="2500"/>
            <w:shd w:fill="EBF5FB" w:color="EBF5FB" w:val="clear"/>
          </w:tcPr>
          <w:p>
            <w:pPr>
              <w:spacing w:after="60"/>
            </w:pPr>
            <w:r>
              <w:rPr>
                <w:sz w:val="20"/>
                <w:szCs w:val="20"/>
              </w:rPr>
              <w:t xml:space="preserve">Coffee / light refreshments (internal)</w:t>
            </w:r>
          </w:p>
        </w:tc>
        <w:tc>
          <w:tcPr>
            <w:tcW w:type="dxa" w:w="1400"/>
            <w:shd w:fill="EBF5FB" w:color="EBF5FB" w:val="clear"/>
          </w:tcPr>
          <w:p>
            <w:pPr>
              <w:spacing w:after="60"/>
            </w:pPr>
            <w:r>
              <w:rPr>
                <w:sz w:val="20"/>
                <w:szCs w:val="20"/>
              </w:rPr>
              <w:t xml:space="preserve">USD 15/person</w:t>
            </w:r>
          </w:p>
        </w:tc>
        <w:tc>
          <w:tcPr>
            <w:tcW w:type="dxa" w:w="1400"/>
            <w:shd w:fill="EBF5FB" w:color="EBF5FB" w:val="clear"/>
          </w:tcPr>
          <w:p>
            <w:pPr>
              <w:spacing w:after="60"/>
            </w:pPr>
            <w:r>
              <w:rPr>
                <w:sz w:val="20"/>
                <w:szCs w:val="20"/>
              </w:rPr>
              <w:t xml:space="preserve">USD 25/person</w:t>
            </w:r>
          </w:p>
        </w:tc>
        <w:tc>
          <w:tcPr>
            <w:tcW w:type="dxa" w:w="1500"/>
            <w:shd w:fill="EBF5FB" w:color="EBF5FB" w:val="clear"/>
          </w:tcPr>
          <w:p>
            <w:pPr>
              <w:spacing w:after="60"/>
            </w:pPr>
            <w:r>
              <w:rPr>
                <w:sz w:val="20"/>
                <w:szCs w:val="20"/>
              </w:rPr>
              <w:t xml:space="preserve">No</w:t>
            </w:r>
          </w:p>
        </w:tc>
        <w:tc>
          <w:tcPr>
            <w:tcW w:type="dxa" w:w="1400"/>
            <w:shd w:fill="EBF5FB" w:color="EBF5FB" w:val="clear"/>
          </w:tcPr>
          <w:p>
            <w:pPr>
              <w:spacing w:after="60"/>
            </w:pPr>
            <w:r>
              <w:rPr>
                <w:sz w:val="20"/>
                <w:szCs w:val="20"/>
              </w:rPr>
              <w:t xml:space="preserve">No (under USD 25)</w:t>
            </w:r>
          </w:p>
        </w:tc>
        <w:tc>
          <w:tcPr>
            <w:tcW w:type="dxa" w:w="1900"/>
            <w:shd w:fill="EBF5FB" w:color="EBF5FB" w:val="clear"/>
          </w:tcPr>
          <w:p>
            <w:pPr>
              <w:spacing w:after="60"/>
            </w:pPr>
            <w:r>
              <w:rPr>
                <w:sz w:val="20"/>
                <w:szCs w:val="20"/>
              </w:rPr>
              <w:t xml:space="preserve"/>
            </w:r>
          </w:p>
        </w:tc>
      </w:tr>
      <w:tr>
        <w:tc>
          <w:tcPr>
            <w:tcW w:type="dxa" w:w="2500"/>
            <w:shd w:fill="FFFFFF" w:color="FFFFFF" w:val="clear"/>
          </w:tcPr>
          <w:p>
            <w:pPr>
              <w:spacing w:after="60"/>
            </w:pPr>
            <w:r>
              <w:rPr>
                <w:sz w:val="20"/>
                <w:szCs w:val="20"/>
              </w:rPr>
              <w:t xml:space="preserve">Ground transport (taxi/rideshare)</w:t>
            </w:r>
          </w:p>
        </w:tc>
        <w:tc>
          <w:tcPr>
            <w:tcW w:type="dxa" w:w="1400"/>
            <w:shd w:fill="FFFFFF" w:color="FFFFFF" w:val="clear"/>
          </w:tcPr>
          <w:p>
            <w:pPr>
              <w:spacing w:after="60"/>
            </w:pPr>
            <w:r>
              <w:rPr>
                <w:sz w:val="20"/>
                <w:szCs w:val="20"/>
              </w:rPr>
              <w:t xml:space="preserve">Actual cost</w:t>
            </w:r>
          </w:p>
        </w:tc>
        <w:tc>
          <w:tcPr>
            <w:tcW w:type="dxa" w:w="1400"/>
            <w:shd w:fill="FFFFFF" w:color="FFFFFF" w:val="clear"/>
          </w:tcPr>
          <w:p>
            <w:pPr>
              <w:spacing w:after="60"/>
            </w:pPr>
            <w:r>
              <w:rPr>
                <w:sz w:val="20"/>
                <w:szCs w:val="20"/>
              </w:rPr>
              <w:t xml:space="preserve">Actual cost</w:t>
            </w:r>
          </w:p>
        </w:tc>
        <w:tc>
          <w:tcPr>
            <w:tcW w:type="dxa" w:w="1500"/>
            <w:shd w:fill="FFFFFF" w:color="FFFFFF" w:val="clear"/>
          </w:tcPr>
          <w:p>
            <w:pPr>
              <w:spacing w:after="60"/>
            </w:pPr>
            <w:r>
              <w:rPr>
                <w:sz w:val="20"/>
                <w:szCs w:val="20"/>
              </w:rPr>
              <w:t xml:space="preserve">No</w:t>
            </w:r>
          </w:p>
        </w:tc>
        <w:tc>
          <w:tcPr>
            <w:tcW w:type="dxa" w:w="1400"/>
            <w:shd w:fill="FFFFFF" w:color="FFFFFF" w:val="clear"/>
          </w:tcPr>
          <w:p>
            <w:pPr>
              <w:spacing w:after="60"/>
            </w:pPr>
            <w:r>
              <w:rPr>
                <w:sz w:val="20"/>
                <w:szCs w:val="20"/>
              </w:rPr>
              <w:t xml:space="preserve">Yes</w:t>
            </w:r>
          </w:p>
        </w:tc>
        <w:tc>
          <w:tcPr>
            <w:tcW w:type="dxa" w:w="1900"/>
            <w:shd w:fill="FFFFFF" w:color="FFFFFF" w:val="clear"/>
          </w:tcPr>
          <w:p>
            <w:pPr>
              <w:spacing w:after="60"/>
            </w:pPr>
            <w:r>
              <w:rPr>
                <w:sz w:val="20"/>
                <w:szCs w:val="20"/>
              </w:rPr>
              <w:t xml:space="preserve">Use Uber Business account where available</w:t>
            </w:r>
          </w:p>
        </w:tc>
      </w:tr>
      <w:tr>
        <w:tc>
          <w:tcPr>
            <w:tcW w:type="dxa" w:w="2500"/>
            <w:shd w:fill="EBF5FB" w:color="EBF5FB" w:val="clear"/>
          </w:tcPr>
          <w:p>
            <w:pPr>
              <w:spacing w:after="60"/>
            </w:pPr>
            <w:r>
              <w:rPr>
                <w:sz w:val="20"/>
                <w:szCs w:val="20"/>
              </w:rPr>
              <w:t xml:space="preserve">Parking</w:t>
            </w:r>
          </w:p>
        </w:tc>
        <w:tc>
          <w:tcPr>
            <w:tcW w:type="dxa" w:w="1400"/>
            <w:shd w:fill="EBF5FB" w:color="EBF5FB" w:val="clear"/>
          </w:tcPr>
          <w:p>
            <w:pPr>
              <w:spacing w:after="60"/>
            </w:pPr>
            <w:r>
              <w:rPr>
                <w:sz w:val="20"/>
                <w:szCs w:val="20"/>
              </w:rPr>
              <w:t xml:space="preserve">Actual cost (max USD 50/day)</w:t>
            </w:r>
          </w:p>
        </w:tc>
        <w:tc>
          <w:tcPr>
            <w:tcW w:type="dxa" w:w="1400"/>
            <w:shd w:fill="EBF5FB" w:color="EBF5FB" w:val="clear"/>
          </w:tcPr>
          <w:p>
            <w:pPr>
              <w:spacing w:after="60"/>
            </w:pPr>
            <w:r>
              <w:rPr>
                <w:sz w:val="20"/>
                <w:szCs w:val="20"/>
              </w:rPr>
              <w:t xml:space="preserve">Actual cost</w:t>
            </w:r>
          </w:p>
        </w:tc>
        <w:tc>
          <w:tcPr>
            <w:tcW w:type="dxa" w:w="1500"/>
            <w:shd w:fill="EBF5FB" w:color="EBF5FB" w:val="clear"/>
          </w:tcPr>
          <w:p>
            <w:pPr>
              <w:spacing w:after="60"/>
            </w:pPr>
            <w:r>
              <w:rPr>
                <w:sz w:val="20"/>
                <w:szCs w:val="20"/>
              </w:rPr>
              <w:t xml:space="preserve">No</w:t>
            </w:r>
          </w:p>
        </w:tc>
        <w:tc>
          <w:tcPr>
            <w:tcW w:type="dxa" w:w="1400"/>
            <w:shd w:fill="EBF5FB" w:color="EBF5FB" w:val="clear"/>
          </w:tcPr>
          <w:p>
            <w:pPr>
              <w:spacing w:after="60"/>
            </w:pPr>
            <w:r>
              <w:rPr>
                <w:sz w:val="20"/>
                <w:szCs w:val="20"/>
              </w:rPr>
              <w:t xml:space="preserve">Yes</w:t>
            </w:r>
          </w:p>
        </w:tc>
        <w:tc>
          <w:tcPr>
            <w:tcW w:type="dxa" w:w="1900"/>
            <w:shd w:fill="EBF5FB" w:color="EBF5FB" w:val="clear"/>
          </w:tcPr>
          <w:p>
            <w:pPr>
              <w:spacing w:after="60"/>
            </w:pPr>
            <w:r>
              <w:rPr>
                <w:sz w:val="20"/>
                <w:szCs w:val="20"/>
              </w:rPr>
              <w:t xml:space="preserve"/>
            </w:r>
          </w:p>
        </w:tc>
      </w:tr>
      <w:tr>
        <w:tc>
          <w:tcPr>
            <w:tcW w:type="dxa" w:w="2500"/>
            <w:shd w:fill="FFFFFF" w:color="FFFFFF" w:val="clear"/>
          </w:tcPr>
          <w:p>
            <w:pPr>
              <w:spacing w:after="60"/>
            </w:pPr>
            <w:r>
              <w:rPr>
                <w:sz w:val="20"/>
                <w:szCs w:val="20"/>
              </w:rPr>
              <w:t xml:space="preserve">Domestic flights (&lt; 3 hours)</w:t>
            </w:r>
          </w:p>
        </w:tc>
        <w:tc>
          <w:tcPr>
            <w:tcW w:type="dxa" w:w="1400"/>
            <w:shd w:fill="FFFFFF" w:color="FFFFFF" w:val="clear"/>
          </w:tcPr>
          <w:p>
            <w:pPr>
              <w:spacing w:after="60"/>
            </w:pPr>
            <w:r>
              <w:rPr>
                <w:sz w:val="20"/>
                <w:szCs w:val="20"/>
              </w:rPr>
              <w:t xml:space="preserve">Economy only</w:t>
            </w:r>
          </w:p>
        </w:tc>
        <w:tc>
          <w:tcPr>
            <w:tcW w:type="dxa" w:w="1400"/>
            <w:shd w:fill="FFFFFF" w:color="FFFFFF" w:val="clear"/>
          </w:tcPr>
          <w:p>
            <w:pPr>
              <w:spacing w:after="60"/>
            </w:pPr>
            <w:r>
              <w:rPr>
                <w:sz w:val="20"/>
                <w:szCs w:val="20"/>
              </w:rPr>
              <w:t xml:space="preserve">Economy only</w:t>
            </w:r>
          </w:p>
        </w:tc>
        <w:tc>
          <w:tcPr>
            <w:tcW w:type="dxa" w:w="1500"/>
            <w:shd w:fill="FFFFFF" w:color="FFFFFF" w:val="clear"/>
          </w:tcPr>
          <w:p>
            <w:pPr>
              <w:spacing w:after="60"/>
            </w:pPr>
            <w:r>
              <w:rPr>
                <w:sz w:val="20"/>
                <w:szCs w:val="20"/>
              </w:rPr>
              <w:t xml:space="preserve">Yes (via Egencia)</w:t>
            </w:r>
          </w:p>
        </w:tc>
        <w:tc>
          <w:tcPr>
            <w:tcW w:type="dxa" w:w="1400"/>
            <w:shd w:fill="FFFFFF" w:color="FFFFFF" w:val="clear"/>
          </w:tcPr>
          <w:p>
            <w:pPr>
              <w:spacing w:after="60"/>
            </w:pPr>
            <w:r>
              <w:rPr>
                <w:sz w:val="20"/>
                <w:szCs w:val="20"/>
              </w:rPr>
              <w:t xml:space="preserve">Via Egencia</w:t>
            </w:r>
          </w:p>
        </w:tc>
        <w:tc>
          <w:tcPr>
            <w:tcW w:type="dxa" w:w="1900"/>
            <w:shd w:fill="FFFFFF" w:color="FFFFFF" w:val="clear"/>
          </w:tcPr>
          <w:p>
            <w:pPr>
              <w:spacing w:after="60"/>
            </w:pPr>
            <w:r>
              <w:rPr>
                <w:sz w:val="20"/>
                <w:szCs w:val="20"/>
              </w:rPr>
              <w:t xml:space="preserve">Book at least 14 days in advance</w:t>
            </w:r>
          </w:p>
        </w:tc>
      </w:tr>
      <w:tr>
        <w:tc>
          <w:tcPr>
            <w:tcW w:type="dxa" w:w="2500"/>
            <w:shd w:fill="EBF5FB" w:color="EBF5FB" w:val="clear"/>
          </w:tcPr>
          <w:p>
            <w:pPr>
              <w:spacing w:after="60"/>
            </w:pPr>
            <w:r>
              <w:rPr>
                <w:sz w:val="20"/>
                <w:szCs w:val="20"/>
              </w:rPr>
              <w:t xml:space="preserve">Domestic flights (3–6 hours)</w:t>
            </w:r>
          </w:p>
        </w:tc>
        <w:tc>
          <w:tcPr>
            <w:tcW w:type="dxa" w:w="1400"/>
            <w:shd w:fill="EBF5FB" w:color="EBF5FB" w:val="clear"/>
          </w:tcPr>
          <w:p>
            <w:pPr>
              <w:spacing w:after="60"/>
            </w:pPr>
            <w:r>
              <w:rPr>
                <w:sz w:val="20"/>
                <w:szCs w:val="20"/>
              </w:rPr>
              <w:t xml:space="preserve">Economy only</w:t>
            </w:r>
          </w:p>
        </w:tc>
        <w:tc>
          <w:tcPr>
            <w:tcW w:type="dxa" w:w="1400"/>
            <w:shd w:fill="EBF5FB" w:color="EBF5FB" w:val="clear"/>
          </w:tcPr>
          <w:p>
            <w:pPr>
              <w:spacing w:after="60"/>
            </w:pPr>
            <w:r>
              <w:rPr>
                <w:sz w:val="20"/>
                <w:szCs w:val="20"/>
              </w:rPr>
              <w:t xml:space="preserve">Economy or premium economy</w:t>
            </w:r>
          </w:p>
        </w:tc>
        <w:tc>
          <w:tcPr>
            <w:tcW w:type="dxa" w:w="1500"/>
            <w:shd w:fill="EBF5FB" w:color="EBF5FB" w:val="clear"/>
          </w:tcPr>
          <w:p>
            <w:pPr>
              <w:spacing w:after="60"/>
            </w:pPr>
            <w:r>
              <w:rPr>
                <w:sz w:val="20"/>
                <w:szCs w:val="20"/>
              </w:rPr>
              <w:t xml:space="preserve">Yes (via Egencia)</w:t>
            </w:r>
          </w:p>
        </w:tc>
        <w:tc>
          <w:tcPr>
            <w:tcW w:type="dxa" w:w="1400"/>
            <w:shd w:fill="EBF5FB" w:color="EBF5FB" w:val="clear"/>
          </w:tcPr>
          <w:p>
            <w:pPr>
              <w:spacing w:after="60"/>
            </w:pPr>
            <w:r>
              <w:rPr>
                <w:sz w:val="20"/>
                <w:szCs w:val="20"/>
              </w:rPr>
              <w:t xml:space="preserve">Via Egencia</w:t>
            </w:r>
          </w:p>
        </w:tc>
        <w:tc>
          <w:tcPr>
            <w:tcW w:type="dxa" w:w="1900"/>
            <w:shd w:fill="EBF5FB" w:color="EBF5FB" w:val="clear"/>
          </w:tcPr>
          <w:p>
            <w:pPr>
              <w:spacing w:after="60"/>
            </w:pPr>
            <w:r>
              <w:rPr>
                <w:sz w:val="20"/>
                <w:szCs w:val="20"/>
              </w:rPr>
              <w:t xml:space="preserve"/>
            </w:r>
          </w:p>
        </w:tc>
      </w:tr>
      <w:tr>
        <w:tc>
          <w:tcPr>
            <w:tcW w:type="dxa" w:w="2500"/>
            <w:shd w:fill="FFFFFF" w:color="FFFFFF" w:val="clear"/>
          </w:tcPr>
          <w:p>
            <w:pPr>
              <w:spacing w:after="60"/>
            </w:pPr>
            <w:r>
              <w:rPr>
                <w:sz w:val="20"/>
                <w:szCs w:val="20"/>
              </w:rPr>
              <w:t xml:space="preserve">International flights (&gt; 6 hours)</w:t>
            </w:r>
          </w:p>
        </w:tc>
        <w:tc>
          <w:tcPr>
            <w:tcW w:type="dxa" w:w="1400"/>
            <w:shd w:fill="FFFFFF" w:color="FFFFFF" w:val="clear"/>
          </w:tcPr>
          <w:p>
            <w:pPr>
              <w:spacing w:after="60"/>
            </w:pPr>
            <w:r>
              <w:rPr>
                <w:sz w:val="20"/>
                <w:szCs w:val="20"/>
              </w:rPr>
              <w:t xml:space="preserve">Economy class</w:t>
            </w:r>
          </w:p>
        </w:tc>
        <w:tc>
          <w:tcPr>
            <w:tcW w:type="dxa" w:w="1400"/>
            <w:shd w:fill="FFFFFF" w:color="FFFFFF" w:val="clear"/>
          </w:tcPr>
          <w:p>
            <w:pPr>
              <w:spacing w:after="60"/>
            </w:pPr>
            <w:r>
              <w:rPr>
                <w:sz w:val="20"/>
                <w:szCs w:val="20"/>
              </w:rPr>
              <w:t xml:space="preserve">Business class (Director+)</w:t>
            </w:r>
          </w:p>
        </w:tc>
        <w:tc>
          <w:tcPr>
            <w:tcW w:type="dxa" w:w="1500"/>
            <w:shd w:fill="FFFFFF" w:color="FFFFFF" w:val="clear"/>
          </w:tcPr>
          <w:p>
            <w:pPr>
              <w:spacing w:after="60"/>
            </w:pPr>
            <w:r>
              <w:rPr>
                <w:sz w:val="20"/>
                <w:szCs w:val="20"/>
              </w:rPr>
              <w:t xml:space="preserve">Yes + M3+ approval</w:t>
            </w:r>
          </w:p>
        </w:tc>
        <w:tc>
          <w:tcPr>
            <w:tcW w:type="dxa" w:w="1400"/>
            <w:shd w:fill="FFFFFF" w:color="FFFFFF" w:val="clear"/>
          </w:tcPr>
          <w:p>
            <w:pPr>
              <w:spacing w:after="60"/>
            </w:pPr>
            <w:r>
              <w:rPr>
                <w:sz w:val="20"/>
                <w:szCs w:val="20"/>
              </w:rPr>
              <w:t xml:space="preserve">Via Egencia</w:t>
            </w:r>
          </w:p>
        </w:tc>
        <w:tc>
          <w:tcPr>
            <w:tcW w:type="dxa" w:w="1900"/>
            <w:shd w:fill="FFFFFF" w:color="FFFFFF" w:val="clear"/>
          </w:tcPr>
          <w:p>
            <w:pPr>
              <w:spacing w:after="60"/>
            </w:pPr>
            <w:r>
              <w:rPr>
                <w:sz w:val="20"/>
                <w:szCs w:val="20"/>
              </w:rPr>
              <w:t xml:space="preserve">Business class requires Director-level approval</w:t>
            </w:r>
          </w:p>
        </w:tc>
      </w:tr>
      <w:tr>
        <w:tc>
          <w:tcPr>
            <w:tcW w:type="dxa" w:w="2500"/>
            <w:shd w:fill="EBF5FB" w:color="EBF5FB" w:val="clear"/>
          </w:tcPr>
          <w:p>
            <w:pPr>
              <w:spacing w:after="60"/>
            </w:pPr>
            <w:r>
              <w:rPr>
                <w:sz w:val="20"/>
                <w:szCs w:val="20"/>
              </w:rPr>
              <w:t xml:space="preserve">Hotel — Tier 1 city (NYC, SF, London, SG)</w:t>
            </w:r>
          </w:p>
        </w:tc>
        <w:tc>
          <w:tcPr>
            <w:tcW w:type="dxa" w:w="1400"/>
            <w:shd w:fill="EBF5FB" w:color="EBF5FB" w:val="clear"/>
          </w:tcPr>
          <w:p>
            <w:pPr>
              <w:spacing w:after="60"/>
            </w:pPr>
            <w:r>
              <w:rPr>
                <w:sz w:val="20"/>
                <w:szCs w:val="20"/>
              </w:rPr>
              <w:t xml:space="preserve">USD 300/night</w:t>
            </w:r>
          </w:p>
        </w:tc>
        <w:tc>
          <w:tcPr>
            <w:tcW w:type="dxa" w:w="1400"/>
            <w:shd w:fill="EBF5FB" w:color="EBF5FB" w:val="clear"/>
          </w:tcPr>
          <w:p>
            <w:pPr>
              <w:spacing w:after="60"/>
            </w:pPr>
            <w:r>
              <w:rPr>
                <w:sz w:val="20"/>
                <w:szCs w:val="20"/>
              </w:rPr>
              <w:t xml:space="preserve">USD 400/night</w:t>
            </w:r>
          </w:p>
        </w:tc>
        <w:tc>
          <w:tcPr>
            <w:tcW w:type="dxa" w:w="1500"/>
            <w:shd w:fill="EBF5FB" w:color="EBF5FB" w:val="clear"/>
          </w:tcPr>
          <w:p>
            <w:pPr>
              <w:spacing w:after="60"/>
            </w:pPr>
            <w:r>
              <w:rPr>
                <w:sz w:val="20"/>
                <w:szCs w:val="20"/>
              </w:rPr>
              <w:t xml:space="preserve">Yes (via Egencia)</w:t>
            </w:r>
          </w:p>
        </w:tc>
        <w:tc>
          <w:tcPr>
            <w:tcW w:type="dxa" w:w="1400"/>
            <w:shd w:fill="EBF5FB" w:color="EBF5FB" w:val="clear"/>
          </w:tcPr>
          <w:p>
            <w:pPr>
              <w:spacing w:after="60"/>
            </w:pPr>
            <w:r>
              <w:rPr>
                <w:sz w:val="20"/>
                <w:szCs w:val="20"/>
              </w:rPr>
              <w:t xml:space="preserve">Via Egencia</w:t>
            </w:r>
          </w:p>
        </w:tc>
        <w:tc>
          <w:tcPr>
            <w:tcW w:type="dxa" w:w="1900"/>
            <w:shd w:fill="EBF5FB" w:color="EBF5FB" w:val="clear"/>
          </w:tcPr>
          <w:p>
            <w:pPr>
              <w:spacing w:after="60"/>
            </w:pPr>
            <w:r>
              <w:rPr>
                <w:sz w:val="20"/>
                <w:szCs w:val="20"/>
              </w:rPr>
              <w:t xml:space="preserve">Tier 1 list in Appendix A</w:t>
            </w:r>
          </w:p>
        </w:tc>
      </w:tr>
      <w:tr>
        <w:tc>
          <w:tcPr>
            <w:tcW w:type="dxa" w:w="2500"/>
            <w:shd w:fill="FFFFFF" w:color="FFFFFF" w:val="clear"/>
          </w:tcPr>
          <w:p>
            <w:pPr>
              <w:spacing w:after="60"/>
            </w:pPr>
            <w:r>
              <w:rPr>
                <w:sz w:val="20"/>
                <w:szCs w:val="20"/>
              </w:rPr>
              <w:t xml:space="preserve">Hotel — Tier 2 city</w:t>
            </w:r>
          </w:p>
        </w:tc>
        <w:tc>
          <w:tcPr>
            <w:tcW w:type="dxa" w:w="1400"/>
            <w:shd w:fill="FFFFFF" w:color="FFFFFF" w:val="clear"/>
          </w:tcPr>
          <w:p>
            <w:pPr>
              <w:spacing w:after="60"/>
            </w:pPr>
            <w:r>
              <w:rPr>
                <w:sz w:val="20"/>
                <w:szCs w:val="20"/>
              </w:rPr>
              <w:t xml:space="preserve">USD 200/night</w:t>
            </w:r>
          </w:p>
        </w:tc>
        <w:tc>
          <w:tcPr>
            <w:tcW w:type="dxa" w:w="1400"/>
            <w:shd w:fill="FFFFFF" w:color="FFFFFF" w:val="clear"/>
          </w:tcPr>
          <w:p>
            <w:pPr>
              <w:spacing w:after="60"/>
            </w:pPr>
            <w:r>
              <w:rPr>
                <w:sz w:val="20"/>
                <w:szCs w:val="20"/>
              </w:rPr>
              <w:t xml:space="preserve">USD 275/night</w:t>
            </w:r>
          </w:p>
        </w:tc>
        <w:tc>
          <w:tcPr>
            <w:tcW w:type="dxa" w:w="1500"/>
            <w:shd w:fill="FFFFFF" w:color="FFFFFF" w:val="clear"/>
          </w:tcPr>
          <w:p>
            <w:pPr>
              <w:spacing w:after="60"/>
            </w:pPr>
            <w:r>
              <w:rPr>
                <w:sz w:val="20"/>
                <w:szCs w:val="20"/>
              </w:rPr>
              <w:t xml:space="preserve">Yes (via Egencia)</w:t>
            </w:r>
          </w:p>
        </w:tc>
        <w:tc>
          <w:tcPr>
            <w:tcW w:type="dxa" w:w="1400"/>
            <w:shd w:fill="FFFFFF" w:color="FFFFFF" w:val="clear"/>
          </w:tcPr>
          <w:p>
            <w:pPr>
              <w:spacing w:after="60"/>
            </w:pPr>
            <w:r>
              <w:rPr>
                <w:sz w:val="20"/>
                <w:szCs w:val="20"/>
              </w:rPr>
              <w:t xml:space="preserve">Via Egencia</w:t>
            </w:r>
          </w:p>
        </w:tc>
        <w:tc>
          <w:tcPr>
            <w:tcW w:type="dxa" w:w="1900"/>
            <w:shd w:fill="FFFFFF" w:color="FFFFFF" w:val="clear"/>
          </w:tcPr>
          <w:p>
            <w:pPr>
              <w:spacing w:after="60"/>
            </w:pPr>
            <w:r>
              <w:rPr>
                <w:sz w:val="20"/>
                <w:szCs w:val="20"/>
              </w:rPr>
              <w:t xml:space="preserve"/>
            </w:r>
          </w:p>
        </w:tc>
      </w:tr>
      <w:tr>
        <w:tc>
          <w:tcPr>
            <w:tcW w:type="dxa" w:w="2500"/>
            <w:shd w:fill="EBF5FB" w:color="EBF5FB" w:val="clear"/>
          </w:tcPr>
          <w:p>
            <w:pPr>
              <w:spacing w:after="60"/>
            </w:pPr>
            <w:r>
              <w:rPr>
                <w:sz w:val="20"/>
                <w:szCs w:val="20"/>
              </w:rPr>
              <w:t xml:space="preserve">Hotel — India offices</w:t>
            </w:r>
          </w:p>
        </w:tc>
        <w:tc>
          <w:tcPr>
            <w:tcW w:type="dxa" w:w="1400"/>
            <w:shd w:fill="EBF5FB" w:color="EBF5FB" w:val="clear"/>
          </w:tcPr>
          <w:p>
            <w:pPr>
              <w:spacing w:after="60"/>
            </w:pPr>
            <w:r>
              <w:rPr>
                <w:sz w:val="20"/>
                <w:szCs w:val="20"/>
              </w:rPr>
              <w:t xml:space="preserve">INR 10,000/night</w:t>
            </w:r>
          </w:p>
        </w:tc>
        <w:tc>
          <w:tcPr>
            <w:tcW w:type="dxa" w:w="1400"/>
            <w:shd w:fill="EBF5FB" w:color="EBF5FB" w:val="clear"/>
          </w:tcPr>
          <w:p>
            <w:pPr>
              <w:spacing w:after="60"/>
            </w:pPr>
            <w:r>
              <w:rPr>
                <w:sz w:val="20"/>
                <w:szCs w:val="20"/>
              </w:rPr>
              <w:t xml:space="preserve">INR 15,000/night</w:t>
            </w:r>
          </w:p>
        </w:tc>
        <w:tc>
          <w:tcPr>
            <w:tcW w:type="dxa" w:w="1500"/>
            <w:shd w:fill="EBF5FB" w:color="EBF5FB" w:val="clear"/>
          </w:tcPr>
          <w:p>
            <w:pPr>
              <w:spacing w:after="60"/>
            </w:pPr>
            <w:r>
              <w:rPr>
                <w:sz w:val="20"/>
                <w:szCs w:val="20"/>
              </w:rPr>
              <w:t xml:space="preserve">Yes (via Egencia)</w:t>
            </w:r>
          </w:p>
        </w:tc>
        <w:tc>
          <w:tcPr>
            <w:tcW w:type="dxa" w:w="1400"/>
            <w:shd w:fill="EBF5FB" w:color="EBF5FB" w:val="clear"/>
          </w:tcPr>
          <w:p>
            <w:pPr>
              <w:spacing w:after="60"/>
            </w:pPr>
            <w:r>
              <w:rPr>
                <w:sz w:val="20"/>
                <w:szCs w:val="20"/>
              </w:rPr>
              <w:t xml:space="preserve">Via Egencia</w:t>
            </w:r>
          </w:p>
        </w:tc>
        <w:tc>
          <w:tcPr>
            <w:tcW w:type="dxa" w:w="1900"/>
            <w:shd w:fill="EBF5FB" w:color="EBF5FB" w:val="clear"/>
          </w:tcPr>
          <w:p>
            <w:pPr>
              <w:spacing w:after="60"/>
            </w:pPr>
            <w:r>
              <w:rPr>
                <w:sz w:val="20"/>
                <w:szCs w:val="20"/>
              </w:rPr>
              <w:t xml:space="preserve"/>
            </w:r>
          </w:p>
        </w:tc>
      </w:tr>
      <w:tr>
        <w:tc>
          <w:tcPr>
            <w:tcW w:type="dxa" w:w="2500"/>
            <w:shd w:fill="FFFFFF" w:color="FFFFFF" w:val="clear"/>
          </w:tcPr>
          <w:p>
            <w:pPr>
              <w:spacing w:after="60"/>
            </w:pPr>
            <w:r>
              <w:rPr>
                <w:sz w:val="20"/>
                <w:szCs w:val="20"/>
              </w:rPr>
              <w:t xml:space="preserve">Per diem (meals, incidentals) — USA</w:t>
            </w:r>
          </w:p>
        </w:tc>
        <w:tc>
          <w:tcPr>
            <w:tcW w:type="dxa" w:w="1400"/>
            <w:shd w:fill="FFFFFF" w:color="FFFFFF" w:val="clear"/>
          </w:tcPr>
          <w:p>
            <w:pPr>
              <w:spacing w:after="60"/>
            </w:pPr>
            <w:r>
              <w:rPr>
                <w:sz w:val="20"/>
                <w:szCs w:val="20"/>
              </w:rPr>
              <w:t xml:space="preserve">USD 75/day</w:t>
            </w:r>
          </w:p>
        </w:tc>
        <w:tc>
          <w:tcPr>
            <w:tcW w:type="dxa" w:w="1400"/>
            <w:shd w:fill="FFFFFF" w:color="FFFFFF" w:val="clear"/>
          </w:tcPr>
          <w:p>
            <w:pPr>
              <w:spacing w:after="60"/>
            </w:pPr>
            <w:r>
              <w:rPr>
                <w:sz w:val="20"/>
                <w:szCs w:val="20"/>
              </w:rPr>
              <w:t xml:space="preserve">USD 100/day</w:t>
            </w:r>
          </w:p>
        </w:tc>
        <w:tc>
          <w:tcPr>
            <w:tcW w:type="dxa" w:w="1500"/>
            <w:shd w:fill="FFFFFF" w:color="FFFFFF" w:val="clear"/>
          </w:tcPr>
          <w:p>
            <w:pPr>
              <w:spacing w:after="60"/>
            </w:pPr>
            <w:r>
              <w:rPr>
                <w:sz w:val="20"/>
                <w:szCs w:val="20"/>
              </w:rPr>
              <w:t xml:space="preserve">No</w:t>
            </w:r>
          </w:p>
        </w:tc>
        <w:tc>
          <w:tcPr>
            <w:tcW w:type="dxa" w:w="1400"/>
            <w:shd w:fill="FFFFFF" w:color="FFFFFF" w:val="clear"/>
          </w:tcPr>
          <w:p>
            <w:pPr>
              <w:spacing w:after="60"/>
            </w:pPr>
            <w:r>
              <w:rPr>
                <w:sz w:val="20"/>
                <w:szCs w:val="20"/>
              </w:rPr>
              <w:t xml:space="preserve">Not required</w:t>
            </w:r>
          </w:p>
        </w:tc>
        <w:tc>
          <w:tcPr>
            <w:tcW w:type="dxa" w:w="1900"/>
            <w:shd w:fill="FFFFFF" w:color="FFFFFF" w:val="clear"/>
          </w:tcPr>
          <w:p>
            <w:pPr>
              <w:spacing w:after="60"/>
            </w:pPr>
            <w:r>
              <w:rPr>
                <w:sz w:val="20"/>
                <w:szCs w:val="20"/>
              </w:rPr>
              <w:t xml:space="preserve">Per diem in lieu of itemized receipts; no mixing</w:t>
            </w:r>
          </w:p>
        </w:tc>
      </w:tr>
      <w:tr>
        <w:tc>
          <w:tcPr>
            <w:tcW w:type="dxa" w:w="2500"/>
            <w:shd w:fill="EBF5FB" w:color="EBF5FB" w:val="clear"/>
          </w:tcPr>
          <w:p>
            <w:pPr>
              <w:spacing w:after="60"/>
            </w:pPr>
            <w:r>
              <w:rPr>
                <w:sz w:val="20"/>
                <w:szCs w:val="20"/>
              </w:rPr>
              <w:t xml:space="preserve">Per diem — UK</w:t>
            </w:r>
          </w:p>
        </w:tc>
        <w:tc>
          <w:tcPr>
            <w:tcW w:type="dxa" w:w="1400"/>
            <w:shd w:fill="EBF5FB" w:color="EBF5FB" w:val="clear"/>
          </w:tcPr>
          <w:p>
            <w:pPr>
              <w:spacing w:after="60"/>
            </w:pPr>
            <w:r>
              <w:rPr>
                <w:sz w:val="20"/>
                <w:szCs w:val="20"/>
              </w:rPr>
              <w:t xml:space="preserve">GBP 60/day</w:t>
            </w:r>
          </w:p>
        </w:tc>
        <w:tc>
          <w:tcPr>
            <w:tcW w:type="dxa" w:w="1400"/>
            <w:shd w:fill="EBF5FB" w:color="EBF5FB" w:val="clear"/>
          </w:tcPr>
          <w:p>
            <w:pPr>
              <w:spacing w:after="60"/>
            </w:pPr>
            <w:r>
              <w:rPr>
                <w:sz w:val="20"/>
                <w:szCs w:val="20"/>
              </w:rPr>
              <w:t xml:space="preserve">GBP 80/day</w:t>
            </w:r>
          </w:p>
        </w:tc>
        <w:tc>
          <w:tcPr>
            <w:tcW w:type="dxa" w:w="1500"/>
            <w:shd w:fill="EBF5FB" w:color="EBF5FB" w:val="clear"/>
          </w:tcPr>
          <w:p>
            <w:pPr>
              <w:spacing w:after="60"/>
            </w:pPr>
            <w:r>
              <w:rPr>
                <w:sz w:val="20"/>
                <w:szCs w:val="20"/>
              </w:rPr>
              <w:t xml:space="preserve">No</w:t>
            </w:r>
          </w:p>
        </w:tc>
        <w:tc>
          <w:tcPr>
            <w:tcW w:type="dxa" w:w="1400"/>
            <w:shd w:fill="EBF5FB" w:color="EBF5FB" w:val="clear"/>
          </w:tcPr>
          <w:p>
            <w:pPr>
              <w:spacing w:after="60"/>
            </w:pPr>
            <w:r>
              <w:rPr>
                <w:sz w:val="20"/>
                <w:szCs w:val="20"/>
              </w:rPr>
              <w:t xml:space="preserve">Not required</w:t>
            </w:r>
          </w:p>
        </w:tc>
        <w:tc>
          <w:tcPr>
            <w:tcW w:type="dxa" w:w="1900"/>
            <w:shd w:fill="EBF5FB" w:color="EBF5FB" w:val="clear"/>
          </w:tcPr>
          <w:p>
            <w:pPr>
              <w:spacing w:after="60"/>
            </w:pPr>
            <w:r>
              <w:rPr>
                <w:sz w:val="20"/>
                <w:szCs w:val="20"/>
              </w:rPr>
              <w:t xml:space="preserve"/>
            </w:r>
          </w:p>
        </w:tc>
      </w:tr>
      <w:tr>
        <w:tc>
          <w:tcPr>
            <w:tcW w:type="dxa" w:w="2500"/>
            <w:shd w:fill="FFFFFF" w:color="FFFFFF" w:val="clear"/>
          </w:tcPr>
          <w:p>
            <w:pPr>
              <w:spacing w:after="60"/>
            </w:pPr>
            <w:r>
              <w:rPr>
                <w:sz w:val="20"/>
                <w:szCs w:val="20"/>
              </w:rPr>
              <w:t xml:space="preserve">Per diem — Germany</w:t>
            </w:r>
          </w:p>
        </w:tc>
        <w:tc>
          <w:tcPr>
            <w:tcW w:type="dxa" w:w="1400"/>
            <w:shd w:fill="FFFFFF" w:color="FFFFFF" w:val="clear"/>
          </w:tcPr>
          <w:p>
            <w:pPr>
              <w:spacing w:after="60"/>
            </w:pPr>
            <w:r>
              <w:rPr>
                <w:sz w:val="20"/>
                <w:szCs w:val="20"/>
              </w:rPr>
              <w:t xml:space="preserve">EUR 28/day (≥8hrs away)</w:t>
            </w:r>
          </w:p>
        </w:tc>
        <w:tc>
          <w:tcPr>
            <w:tcW w:type="dxa" w:w="1400"/>
            <w:shd w:fill="FFFFFF" w:color="FFFFFF" w:val="clear"/>
          </w:tcPr>
          <w:p>
            <w:pPr>
              <w:spacing w:after="60"/>
            </w:pPr>
            <w:r>
              <w:rPr>
                <w:sz w:val="20"/>
                <w:szCs w:val="20"/>
              </w:rPr>
              <w:t xml:space="preserve">EUR 28/day</w:t>
            </w:r>
          </w:p>
        </w:tc>
        <w:tc>
          <w:tcPr>
            <w:tcW w:type="dxa" w:w="1500"/>
            <w:shd w:fill="FFFFFF" w:color="FFFFFF" w:val="clear"/>
          </w:tcPr>
          <w:p>
            <w:pPr>
              <w:spacing w:after="60"/>
            </w:pPr>
            <w:r>
              <w:rPr>
                <w:sz w:val="20"/>
                <w:szCs w:val="20"/>
              </w:rPr>
              <w:t xml:space="preserve">No</w:t>
            </w:r>
          </w:p>
        </w:tc>
        <w:tc>
          <w:tcPr>
            <w:tcW w:type="dxa" w:w="1400"/>
            <w:shd w:fill="FFFFFF" w:color="FFFFFF" w:val="clear"/>
          </w:tcPr>
          <w:p>
            <w:pPr>
              <w:spacing w:after="60"/>
            </w:pPr>
            <w:r>
              <w:rPr>
                <w:sz w:val="20"/>
                <w:szCs w:val="20"/>
              </w:rPr>
              <w:t xml:space="preserve">Not required</w:t>
            </w:r>
          </w:p>
        </w:tc>
        <w:tc>
          <w:tcPr>
            <w:tcW w:type="dxa" w:w="1900"/>
            <w:shd w:fill="FFFFFF" w:color="FFFFFF" w:val="clear"/>
          </w:tcPr>
          <w:p>
            <w:pPr>
              <w:spacing w:after="60"/>
            </w:pPr>
            <w:r>
              <w:rPr>
                <w:sz w:val="20"/>
                <w:szCs w:val="20"/>
              </w:rPr>
              <w:t xml:space="preserve">Per Reisekostenrecht; split rates apply</w:t>
            </w:r>
          </w:p>
        </w:tc>
      </w:tr>
      <w:tr>
        <w:tc>
          <w:tcPr>
            <w:tcW w:type="dxa" w:w="2500"/>
            <w:shd w:fill="EBF5FB" w:color="EBF5FB" w:val="clear"/>
          </w:tcPr>
          <w:p>
            <w:pPr>
              <w:spacing w:after="60"/>
            </w:pPr>
            <w:r>
              <w:rPr>
                <w:sz w:val="20"/>
                <w:szCs w:val="20"/>
              </w:rPr>
              <w:t xml:space="preserve">Per diem — India</w:t>
            </w:r>
          </w:p>
        </w:tc>
        <w:tc>
          <w:tcPr>
            <w:tcW w:type="dxa" w:w="1400"/>
            <w:shd w:fill="EBF5FB" w:color="EBF5FB" w:val="clear"/>
          </w:tcPr>
          <w:p>
            <w:pPr>
              <w:spacing w:after="60"/>
            </w:pPr>
            <w:r>
              <w:rPr>
                <w:sz w:val="20"/>
                <w:szCs w:val="20"/>
              </w:rPr>
              <w:t xml:space="preserve">INR 2,000/day</w:t>
            </w:r>
          </w:p>
        </w:tc>
        <w:tc>
          <w:tcPr>
            <w:tcW w:type="dxa" w:w="1400"/>
            <w:shd w:fill="EBF5FB" w:color="EBF5FB" w:val="clear"/>
          </w:tcPr>
          <w:p>
            <w:pPr>
              <w:spacing w:after="60"/>
            </w:pPr>
            <w:r>
              <w:rPr>
                <w:sz w:val="20"/>
                <w:szCs w:val="20"/>
              </w:rPr>
              <w:t xml:space="preserve">INR 3,000/day</w:t>
            </w:r>
          </w:p>
        </w:tc>
        <w:tc>
          <w:tcPr>
            <w:tcW w:type="dxa" w:w="1500"/>
            <w:shd w:fill="EBF5FB" w:color="EBF5FB" w:val="clear"/>
          </w:tcPr>
          <w:p>
            <w:pPr>
              <w:spacing w:after="60"/>
            </w:pPr>
            <w:r>
              <w:rPr>
                <w:sz w:val="20"/>
                <w:szCs w:val="20"/>
              </w:rPr>
              <w:t xml:space="preserve">No</w:t>
            </w:r>
          </w:p>
        </w:tc>
        <w:tc>
          <w:tcPr>
            <w:tcW w:type="dxa" w:w="1400"/>
            <w:shd w:fill="EBF5FB" w:color="EBF5FB" w:val="clear"/>
          </w:tcPr>
          <w:p>
            <w:pPr>
              <w:spacing w:after="60"/>
            </w:pPr>
            <w:r>
              <w:rPr>
                <w:sz w:val="20"/>
                <w:szCs w:val="20"/>
              </w:rPr>
              <w:t xml:space="preserve">Not required</w:t>
            </w:r>
          </w:p>
        </w:tc>
        <w:tc>
          <w:tcPr>
            <w:tcW w:type="dxa" w:w="1900"/>
            <w:shd w:fill="EBF5FB" w:color="EBF5FB" w:val="clear"/>
          </w:tcPr>
          <w:p>
            <w:pPr>
              <w:spacing w:after="60"/>
            </w:pPr>
            <w:r>
              <w:rPr>
                <w:sz w:val="20"/>
                <w:szCs w:val="20"/>
              </w:rPr>
              <w:t xml:space="preserve"/>
            </w:r>
          </w:p>
        </w:tc>
      </w:tr>
      <w:tr>
        <w:tc>
          <w:tcPr>
            <w:tcW w:type="dxa" w:w="2500"/>
            <w:shd w:fill="FFFFFF" w:color="FFFFFF" w:val="clear"/>
          </w:tcPr>
          <w:p>
            <w:pPr>
              <w:spacing w:after="60"/>
            </w:pPr>
            <w:r>
              <w:rPr>
                <w:sz w:val="20"/>
                <w:szCs w:val="20"/>
              </w:rPr>
              <w:t xml:space="preserve">Per diem — Singapore</w:t>
            </w:r>
          </w:p>
        </w:tc>
        <w:tc>
          <w:tcPr>
            <w:tcW w:type="dxa" w:w="1400"/>
            <w:shd w:fill="FFFFFF" w:color="FFFFFF" w:val="clear"/>
          </w:tcPr>
          <w:p>
            <w:pPr>
              <w:spacing w:after="60"/>
            </w:pPr>
            <w:r>
              <w:rPr>
                <w:sz w:val="20"/>
                <w:szCs w:val="20"/>
              </w:rPr>
              <w:t xml:space="preserve">SGD 80/day</w:t>
            </w:r>
          </w:p>
        </w:tc>
        <w:tc>
          <w:tcPr>
            <w:tcW w:type="dxa" w:w="1400"/>
            <w:shd w:fill="FFFFFF" w:color="FFFFFF" w:val="clear"/>
          </w:tcPr>
          <w:p>
            <w:pPr>
              <w:spacing w:after="60"/>
            </w:pPr>
            <w:r>
              <w:rPr>
                <w:sz w:val="20"/>
                <w:szCs w:val="20"/>
              </w:rPr>
              <w:t xml:space="preserve">SGD 110/day</w:t>
            </w:r>
          </w:p>
        </w:tc>
        <w:tc>
          <w:tcPr>
            <w:tcW w:type="dxa" w:w="1500"/>
            <w:shd w:fill="FFFFFF" w:color="FFFFFF" w:val="clear"/>
          </w:tcPr>
          <w:p>
            <w:pPr>
              <w:spacing w:after="60"/>
            </w:pPr>
            <w:r>
              <w:rPr>
                <w:sz w:val="20"/>
                <w:szCs w:val="20"/>
              </w:rPr>
              <w:t xml:space="preserve">No</w:t>
            </w:r>
          </w:p>
        </w:tc>
        <w:tc>
          <w:tcPr>
            <w:tcW w:type="dxa" w:w="1400"/>
            <w:shd w:fill="FFFFFF" w:color="FFFFFF" w:val="clear"/>
          </w:tcPr>
          <w:p>
            <w:pPr>
              <w:spacing w:after="60"/>
            </w:pPr>
            <w:r>
              <w:rPr>
                <w:sz w:val="20"/>
                <w:szCs w:val="20"/>
              </w:rPr>
              <w:t xml:space="preserve">Not required</w:t>
            </w:r>
          </w:p>
        </w:tc>
        <w:tc>
          <w:tcPr>
            <w:tcW w:type="dxa" w:w="1900"/>
            <w:shd w:fill="FFFFFF" w:color="FFFFFF" w:val="clear"/>
          </w:tcPr>
          <w:p>
            <w:pPr>
              <w:spacing w:after="60"/>
            </w:pPr>
            <w:r>
              <w:rPr>
                <w:sz w:val="20"/>
                <w:szCs w:val="20"/>
              </w:rPr>
              <w:t xml:space="preserve"/>
            </w:r>
          </w:p>
        </w:tc>
      </w:tr>
      <w:tr>
        <w:tc>
          <w:tcPr>
            <w:tcW w:type="dxa" w:w="2500"/>
            <w:shd w:fill="EBF5FB" w:color="EBF5FB" w:val="clear"/>
          </w:tcPr>
          <w:p>
            <w:pPr>
              <w:spacing w:after="60"/>
            </w:pPr>
            <w:r>
              <w:rPr>
                <w:sz w:val="20"/>
                <w:szCs w:val="20"/>
              </w:rPr>
              <w:t xml:space="preserve">Mobile phone (actual bill)</w:t>
            </w:r>
          </w:p>
        </w:tc>
        <w:tc>
          <w:tcPr>
            <w:tcW w:type="dxa" w:w="1400"/>
            <w:shd w:fill="EBF5FB" w:color="EBF5FB" w:val="clear"/>
          </w:tcPr>
          <w:p>
            <w:pPr>
              <w:spacing w:after="60"/>
            </w:pPr>
            <w:r>
              <w:rPr>
                <w:sz w:val="20"/>
                <w:szCs w:val="20"/>
              </w:rPr>
              <w:t xml:space="preserve">USD 30/month</w:t>
            </w:r>
          </w:p>
        </w:tc>
        <w:tc>
          <w:tcPr>
            <w:tcW w:type="dxa" w:w="1400"/>
            <w:shd w:fill="EBF5FB" w:color="EBF5FB" w:val="clear"/>
          </w:tcPr>
          <w:p>
            <w:pPr>
              <w:spacing w:after="60"/>
            </w:pPr>
            <w:r>
              <w:rPr>
                <w:sz w:val="20"/>
                <w:szCs w:val="20"/>
              </w:rPr>
              <w:t xml:space="preserve">USD 80/month</w:t>
            </w:r>
          </w:p>
        </w:tc>
        <w:tc>
          <w:tcPr>
            <w:tcW w:type="dxa" w:w="1500"/>
            <w:shd w:fill="EBF5FB" w:color="EBF5FB" w:val="clear"/>
          </w:tcPr>
          <w:p>
            <w:pPr>
              <w:spacing w:after="60"/>
            </w:pPr>
            <w:r>
              <w:rPr>
                <w:sz w:val="20"/>
                <w:szCs w:val="20"/>
              </w:rPr>
              <w:t xml:space="preserve">No</w:t>
            </w:r>
          </w:p>
        </w:tc>
        <w:tc>
          <w:tcPr>
            <w:tcW w:type="dxa" w:w="1400"/>
            <w:shd w:fill="EBF5FB" w:color="EBF5FB" w:val="clear"/>
          </w:tcPr>
          <w:p>
            <w:pPr>
              <w:spacing w:after="60"/>
            </w:pPr>
            <w:r>
              <w:rPr>
                <w:sz w:val="20"/>
                <w:szCs w:val="20"/>
              </w:rPr>
              <w:t xml:space="preserve">Yes (monthly)</w:t>
            </w:r>
          </w:p>
        </w:tc>
        <w:tc>
          <w:tcPr>
            <w:tcW w:type="dxa" w:w="1900"/>
            <w:shd w:fill="EBF5FB" w:color="EBF5FB" w:val="clear"/>
          </w:tcPr>
          <w:p>
            <w:pPr>
              <w:spacing w:after="60"/>
            </w:pPr>
            <w:r>
              <w:rPr>
                <w:sz w:val="20"/>
                <w:szCs w:val="20"/>
              </w:rPr>
              <w:t xml:space="preserve">See Salary Grades HR-SG-001 Sheet 5 for grade-based limits</w:t>
            </w:r>
          </w:p>
        </w:tc>
      </w:tr>
      <w:tr>
        <w:tc>
          <w:tcPr>
            <w:tcW w:type="dxa" w:w="2500"/>
            <w:shd w:fill="FFFFFF" w:color="FFFFFF" w:val="clear"/>
          </w:tcPr>
          <w:p>
            <w:pPr>
              <w:spacing w:after="60"/>
            </w:pPr>
            <w:r>
              <w:rPr>
                <w:sz w:val="20"/>
                <w:szCs w:val="20"/>
              </w:rPr>
              <w:t xml:space="preserve">Internet (remote employees only)</w:t>
            </w:r>
          </w:p>
        </w:tc>
        <w:tc>
          <w:tcPr>
            <w:tcW w:type="dxa" w:w="1400"/>
            <w:shd w:fill="FFFFFF" w:color="FFFFFF" w:val="clear"/>
          </w:tcPr>
          <w:p>
            <w:pPr>
              <w:spacing w:after="60"/>
            </w:pPr>
            <w:r>
              <w:rPr>
                <w:sz w:val="20"/>
                <w:szCs w:val="20"/>
              </w:rPr>
              <w:t xml:space="preserve">USD 60/month</w:t>
            </w:r>
          </w:p>
        </w:tc>
        <w:tc>
          <w:tcPr>
            <w:tcW w:type="dxa" w:w="1400"/>
            <w:shd w:fill="FFFFFF" w:color="FFFFFF" w:val="clear"/>
          </w:tcPr>
          <w:p>
            <w:pPr>
              <w:spacing w:after="60"/>
            </w:pPr>
            <w:r>
              <w:rPr>
                <w:sz w:val="20"/>
                <w:szCs w:val="20"/>
              </w:rPr>
              <w:t xml:space="preserve">USD 60/month</w:t>
            </w:r>
          </w:p>
        </w:tc>
        <w:tc>
          <w:tcPr>
            <w:tcW w:type="dxa" w:w="1500"/>
            <w:shd w:fill="FFFFFF" w:color="FFFFFF" w:val="clear"/>
          </w:tcPr>
          <w:p>
            <w:pPr>
              <w:spacing w:after="60"/>
            </w:pPr>
            <w:r>
              <w:rPr>
                <w:sz w:val="20"/>
                <w:szCs w:val="20"/>
              </w:rPr>
              <w:t xml:space="preserve">No</w:t>
            </w:r>
          </w:p>
        </w:tc>
        <w:tc>
          <w:tcPr>
            <w:tcW w:type="dxa" w:w="1400"/>
            <w:shd w:fill="FFFFFF" w:color="FFFFFF" w:val="clear"/>
          </w:tcPr>
          <w:p>
            <w:pPr>
              <w:spacing w:after="60"/>
            </w:pPr>
            <w:r>
              <w:rPr>
                <w:sz w:val="20"/>
                <w:szCs w:val="20"/>
              </w:rPr>
              <w:t xml:space="preserve">Yes (monthly)</w:t>
            </w:r>
          </w:p>
        </w:tc>
        <w:tc>
          <w:tcPr>
            <w:tcW w:type="dxa" w:w="1900"/>
            <w:shd w:fill="FFFFFF" w:color="FFFFFF" w:val="clear"/>
          </w:tcPr>
          <w:p>
            <w:pPr>
              <w:spacing w:after="60"/>
            </w:pPr>
            <w:r>
              <w:rPr>
                <w:sz w:val="20"/>
                <w:szCs w:val="20"/>
              </w:rPr>
              <w:t xml:space="preserve">Designated remote employees only</w:t>
            </w:r>
          </w:p>
        </w:tc>
      </w:tr>
      <w:tr>
        <w:tc>
          <w:tcPr>
            <w:tcW w:type="dxa" w:w="2500"/>
            <w:shd w:fill="EBF5FB" w:color="EBF5FB" w:val="clear"/>
          </w:tcPr>
          <w:p>
            <w:pPr>
              <w:spacing w:after="60"/>
            </w:pPr>
            <w:r>
              <w:rPr>
                <w:sz w:val="20"/>
                <w:szCs w:val="20"/>
              </w:rPr>
              <w:t xml:space="preserve">Home office setup (one-time)</w:t>
            </w:r>
          </w:p>
        </w:tc>
        <w:tc>
          <w:tcPr>
            <w:tcW w:type="dxa" w:w="1400"/>
            <w:shd w:fill="EBF5FB" w:color="EBF5FB" w:val="clear"/>
          </w:tcPr>
          <w:p>
            <w:pPr>
              <w:spacing w:after="60"/>
            </w:pPr>
            <w:r>
              <w:rPr>
                <w:sz w:val="20"/>
                <w:szCs w:val="20"/>
              </w:rPr>
              <w:t xml:space="preserve">USD 500</w:t>
            </w:r>
          </w:p>
        </w:tc>
        <w:tc>
          <w:tcPr>
            <w:tcW w:type="dxa" w:w="1400"/>
            <w:shd w:fill="EBF5FB" w:color="EBF5FB" w:val="clear"/>
          </w:tcPr>
          <w:p>
            <w:pPr>
              <w:spacing w:after="60"/>
            </w:pPr>
            <w:r>
              <w:rPr>
                <w:sz w:val="20"/>
                <w:szCs w:val="20"/>
              </w:rPr>
              <w:t xml:space="preserve">USD 500</w:t>
            </w:r>
          </w:p>
        </w:tc>
        <w:tc>
          <w:tcPr>
            <w:tcW w:type="dxa" w:w="1500"/>
            <w:shd w:fill="EBF5FB" w:color="EBF5FB" w:val="clear"/>
          </w:tcPr>
          <w:p>
            <w:pPr>
              <w:spacing w:after="60"/>
            </w:pPr>
            <w:r>
              <w:rPr>
                <w:sz w:val="20"/>
                <w:szCs w:val="20"/>
              </w:rPr>
              <w:t xml:space="preserve">No</w:t>
            </w:r>
          </w:p>
        </w:tc>
        <w:tc>
          <w:tcPr>
            <w:tcW w:type="dxa" w:w="1400"/>
            <w:shd w:fill="EBF5FB" w:color="EBF5FB" w:val="clear"/>
          </w:tcPr>
          <w:p>
            <w:pPr>
              <w:spacing w:after="60"/>
            </w:pPr>
            <w:r>
              <w:rPr>
                <w:sz w:val="20"/>
                <w:szCs w:val="20"/>
              </w:rPr>
              <w:t xml:space="preserve">Yes</w:t>
            </w:r>
          </w:p>
        </w:tc>
        <w:tc>
          <w:tcPr>
            <w:tcW w:type="dxa" w:w="1900"/>
            <w:shd w:fill="EBF5FB" w:color="EBF5FB" w:val="clear"/>
          </w:tcPr>
          <w:p>
            <w:pPr>
              <w:spacing w:after="60"/>
            </w:pPr>
            <w:r>
              <w:rPr>
                <w:sz w:val="20"/>
                <w:szCs w:val="20"/>
              </w:rPr>
              <w:t xml:space="preserve">Within 90 days of start date or remote designation</w:t>
            </w:r>
          </w:p>
        </w:tc>
      </w:tr>
      <w:tr>
        <w:tc>
          <w:tcPr>
            <w:tcW w:type="dxa" w:w="2500"/>
            <w:shd w:fill="FFFFFF" w:color="FFFFFF" w:val="clear"/>
          </w:tcPr>
          <w:p>
            <w:pPr>
              <w:spacing w:after="60"/>
            </w:pPr>
            <w:r>
              <w:rPr>
                <w:sz w:val="20"/>
                <w:szCs w:val="20"/>
              </w:rPr>
              <w:t xml:space="preserve">Client gifts</w:t>
            </w:r>
          </w:p>
        </w:tc>
        <w:tc>
          <w:tcPr>
            <w:tcW w:type="dxa" w:w="1400"/>
            <w:shd w:fill="FFFFFF" w:color="FFFFFF" w:val="clear"/>
          </w:tcPr>
          <w:p>
            <w:pPr>
              <w:spacing w:after="60"/>
            </w:pPr>
            <w:r>
              <w:rPr>
                <w:sz w:val="20"/>
                <w:szCs w:val="20"/>
              </w:rPr>
              <w:t xml:space="preserve">USD 75/gift</w:t>
            </w:r>
          </w:p>
        </w:tc>
        <w:tc>
          <w:tcPr>
            <w:tcW w:type="dxa" w:w="1400"/>
            <w:shd w:fill="FFFFFF" w:color="FFFFFF" w:val="clear"/>
          </w:tcPr>
          <w:p>
            <w:pPr>
              <w:spacing w:after="60"/>
            </w:pPr>
            <w:r>
              <w:rPr>
                <w:sz w:val="20"/>
                <w:szCs w:val="20"/>
              </w:rPr>
              <w:t xml:space="preserve">USD 100/gift</w:t>
            </w:r>
          </w:p>
        </w:tc>
        <w:tc>
          <w:tcPr>
            <w:tcW w:type="dxa" w:w="1500"/>
            <w:shd w:fill="FFFFFF" w:color="FFFFFF" w:val="clear"/>
          </w:tcPr>
          <w:p>
            <w:pPr>
              <w:spacing w:after="60"/>
            </w:pPr>
            <w:r>
              <w:rPr>
                <w:sz w:val="20"/>
                <w:szCs w:val="20"/>
              </w:rPr>
              <w:t xml:space="preserve">Yes (manager)</w:t>
            </w:r>
          </w:p>
        </w:tc>
        <w:tc>
          <w:tcPr>
            <w:tcW w:type="dxa" w:w="1400"/>
            <w:shd w:fill="FFFFFF" w:color="FFFFFF" w:val="clear"/>
          </w:tcPr>
          <w:p>
            <w:pPr>
              <w:spacing w:after="60"/>
            </w:pPr>
            <w:r>
              <w:rPr>
                <w:sz w:val="20"/>
                <w:szCs w:val="20"/>
              </w:rPr>
              <w:t xml:space="preserve">Yes</w:t>
            </w:r>
          </w:p>
        </w:tc>
        <w:tc>
          <w:tcPr>
            <w:tcW w:type="dxa" w:w="1900"/>
            <w:shd w:fill="FFFFFF" w:color="FFFFFF" w:val="clear"/>
          </w:tcPr>
          <w:p>
            <w:pPr>
              <w:spacing w:after="60"/>
            </w:pPr>
            <w:r>
              <w:rPr>
                <w:sz w:val="20"/>
                <w:szCs w:val="20"/>
              </w:rPr>
              <w:t xml:space="preserve">Must comply with anti-bribery policy; see Section 17</w:t>
            </w:r>
          </w:p>
        </w:tc>
      </w:tr>
      <w:tr>
        <w:tc>
          <w:tcPr>
            <w:tcW w:type="dxa" w:w="2500"/>
            <w:shd w:fill="EBF5FB" w:color="EBF5FB" w:val="clear"/>
          </w:tcPr>
          <w:p>
            <w:pPr>
              <w:spacing w:after="60"/>
            </w:pPr>
            <w:r>
              <w:rPr>
                <w:sz w:val="20"/>
                <w:szCs w:val="20"/>
              </w:rPr>
              <w:t xml:space="preserve">Charitable donations</w:t>
            </w:r>
          </w:p>
        </w:tc>
        <w:tc>
          <w:tcPr>
            <w:tcW w:type="dxa" w:w="1400"/>
            <w:shd w:fill="EBF5FB" w:color="EBF5FB" w:val="clear"/>
          </w:tcPr>
          <w:p>
            <w:pPr>
              <w:spacing w:after="60"/>
            </w:pPr>
            <w:r>
              <w:rPr>
                <w:sz w:val="20"/>
                <w:szCs w:val="20"/>
              </w:rPr>
              <w:t xml:space="preserve">Not reimbursable</w:t>
            </w:r>
          </w:p>
        </w:tc>
        <w:tc>
          <w:tcPr>
            <w:tcW w:type="dxa" w:w="1400"/>
            <w:shd w:fill="EBF5FB" w:color="EBF5FB" w:val="clear"/>
          </w:tcPr>
          <w:p>
            <w:pPr>
              <w:spacing w:after="60"/>
            </w:pPr>
            <w:r>
              <w:rPr>
                <w:sz w:val="20"/>
                <w:szCs w:val="20"/>
              </w:rPr>
              <w:t xml:space="preserve">Not reimbursable</w:t>
            </w:r>
          </w:p>
        </w:tc>
        <w:tc>
          <w:tcPr>
            <w:tcW w:type="dxa" w:w="1500"/>
            <w:shd w:fill="EBF5FB" w:color="EBF5FB" w:val="clear"/>
          </w:tcPr>
          <w:p>
            <w:pPr>
              <w:spacing w:after="60"/>
            </w:pPr>
            <w:r>
              <w:rPr>
                <w:sz w:val="20"/>
                <w:szCs w:val="20"/>
              </w:rPr>
              <w:t xml:space="preserve">N/A</w:t>
            </w:r>
          </w:p>
        </w:tc>
        <w:tc>
          <w:tcPr>
            <w:tcW w:type="dxa" w:w="1400"/>
            <w:shd w:fill="EBF5FB" w:color="EBF5FB" w:val="clear"/>
          </w:tcPr>
          <w:p>
            <w:pPr>
              <w:spacing w:after="60"/>
            </w:pPr>
            <w:r>
              <w:rPr>
                <w:sz w:val="20"/>
                <w:szCs w:val="20"/>
              </w:rPr>
              <w:t xml:space="preserve">N/A</w:t>
            </w:r>
          </w:p>
        </w:tc>
        <w:tc>
          <w:tcPr>
            <w:tcW w:type="dxa" w:w="1900"/>
            <w:shd w:fill="EBF5FB" w:color="EBF5FB" w:val="clear"/>
          </w:tcPr>
          <w:p>
            <w:pPr>
              <w:spacing w:after="60"/>
            </w:pPr>
            <w:r>
              <w:rPr>
                <w:sz w:val="20"/>
                <w:szCs w:val="20"/>
              </w:rPr>
              <w:t xml:space="preserve">See Section 17 for corporate donation process</w:t>
            </w:r>
          </w:p>
        </w:tc>
      </w:tr>
      <w:tr>
        <w:tc>
          <w:tcPr>
            <w:tcW w:type="dxa" w:w="2500"/>
            <w:shd w:fill="FFFFFF" w:color="FFFFFF" w:val="clear"/>
          </w:tcPr>
          <w:p>
            <w:pPr>
              <w:spacing w:after="60"/>
            </w:pPr>
            <w:r>
              <w:rPr>
                <w:sz w:val="20"/>
                <w:szCs w:val="20"/>
              </w:rPr>
              <w:t xml:space="preserve">Training &amp; conferences (external)</w:t>
            </w:r>
          </w:p>
        </w:tc>
        <w:tc>
          <w:tcPr>
            <w:tcW w:type="dxa" w:w="1400"/>
            <w:shd w:fill="FFFFFF" w:color="FFFFFF" w:val="clear"/>
          </w:tcPr>
          <w:p>
            <w:pPr>
              <w:spacing w:after="60"/>
            </w:pPr>
            <w:r>
              <w:rPr>
                <w:sz w:val="20"/>
                <w:szCs w:val="20"/>
              </w:rPr>
              <w:t xml:space="preserve">USD 1,500/year</w:t>
            </w:r>
          </w:p>
        </w:tc>
        <w:tc>
          <w:tcPr>
            <w:tcW w:type="dxa" w:w="1400"/>
            <w:shd w:fill="FFFFFF" w:color="FFFFFF" w:val="clear"/>
          </w:tcPr>
          <w:p>
            <w:pPr>
              <w:spacing w:after="60"/>
            </w:pPr>
            <w:r>
              <w:rPr>
                <w:sz w:val="20"/>
                <w:szCs w:val="20"/>
              </w:rPr>
              <w:t xml:space="preserve">USD 3,000/year</w:t>
            </w:r>
          </w:p>
        </w:tc>
        <w:tc>
          <w:tcPr>
            <w:tcW w:type="dxa" w:w="1500"/>
            <w:shd w:fill="FFFFFF" w:color="FFFFFF" w:val="clear"/>
          </w:tcPr>
          <w:p>
            <w:pPr>
              <w:spacing w:after="60"/>
            </w:pPr>
            <w:r>
              <w:rPr>
                <w:sz w:val="20"/>
                <w:szCs w:val="20"/>
              </w:rPr>
              <w:t xml:space="preserve">Yes (manager + HRBP)</w:t>
            </w:r>
          </w:p>
        </w:tc>
        <w:tc>
          <w:tcPr>
            <w:tcW w:type="dxa" w:w="1400"/>
            <w:shd w:fill="FFFFFF" w:color="FFFFFF" w:val="clear"/>
          </w:tcPr>
          <w:p>
            <w:pPr>
              <w:spacing w:after="60"/>
            </w:pPr>
            <w:r>
              <w:rPr>
                <w:sz w:val="20"/>
                <w:szCs w:val="20"/>
              </w:rPr>
              <w:t xml:space="preserve">Yes</w:t>
            </w:r>
          </w:p>
        </w:tc>
        <w:tc>
          <w:tcPr>
            <w:tcW w:type="dxa" w:w="1900"/>
            <w:shd w:fill="FFFFFF" w:color="FFFFFF" w:val="clear"/>
          </w:tcPr>
          <w:p>
            <w:pPr>
              <w:spacing w:after="60"/>
            </w:pPr>
            <w:r>
              <w:rPr>
                <w:sz w:val="20"/>
                <w:szCs w:val="20"/>
              </w:rPr>
              <w:t xml:space="preserve">See Employee Handbook Section 15 and HR-SG-001 Sheet 5</w:t>
            </w:r>
          </w:p>
        </w:tc>
      </w:tr>
      <w:tr>
        <w:tc>
          <w:tcPr>
            <w:tcW w:type="dxa" w:w="2500"/>
            <w:shd w:fill="EBF5FB" w:color="EBF5FB" w:val="clear"/>
          </w:tcPr>
          <w:p>
            <w:pPr>
              <w:spacing w:after="60"/>
            </w:pPr>
            <w:r>
              <w:rPr>
                <w:sz w:val="20"/>
                <w:szCs w:val="20"/>
              </w:rPr>
              <w:t xml:space="preserve">Team events / off-sites</w:t>
            </w:r>
          </w:p>
        </w:tc>
        <w:tc>
          <w:tcPr>
            <w:tcW w:type="dxa" w:w="1400"/>
            <w:shd w:fill="EBF5FB" w:color="EBF5FB" w:val="clear"/>
          </w:tcPr>
          <w:p>
            <w:pPr>
              <w:spacing w:after="60"/>
            </w:pPr>
            <w:r>
              <w:rPr>
                <w:sz w:val="20"/>
                <w:szCs w:val="20"/>
              </w:rPr>
              <w:t xml:space="preserve">USD 75/person</w:t>
            </w:r>
          </w:p>
        </w:tc>
        <w:tc>
          <w:tcPr>
            <w:tcW w:type="dxa" w:w="1400"/>
            <w:shd w:fill="EBF5FB" w:color="EBF5FB" w:val="clear"/>
          </w:tcPr>
          <w:p>
            <w:pPr>
              <w:spacing w:after="60"/>
            </w:pPr>
            <w:r>
              <w:rPr>
                <w:sz w:val="20"/>
                <w:szCs w:val="20"/>
              </w:rPr>
              <w:t xml:space="preserve">USD 150/person</w:t>
            </w:r>
          </w:p>
        </w:tc>
        <w:tc>
          <w:tcPr>
            <w:tcW w:type="dxa" w:w="1500"/>
            <w:shd w:fill="EBF5FB" w:color="EBF5FB" w:val="clear"/>
          </w:tcPr>
          <w:p>
            <w:pPr>
              <w:spacing w:after="60"/>
            </w:pPr>
            <w:r>
              <w:rPr>
                <w:sz w:val="20"/>
                <w:szCs w:val="20"/>
              </w:rPr>
              <w:t xml:space="preserve">Yes (manager + Finance)</w:t>
            </w:r>
          </w:p>
        </w:tc>
        <w:tc>
          <w:tcPr>
            <w:tcW w:type="dxa" w:w="1400"/>
            <w:shd w:fill="EBF5FB" w:color="EBF5FB" w:val="clear"/>
          </w:tcPr>
          <w:p>
            <w:pPr>
              <w:spacing w:after="60"/>
            </w:pPr>
            <w:r>
              <w:rPr>
                <w:sz w:val="20"/>
                <w:szCs w:val="20"/>
              </w:rPr>
              <w:t xml:space="preserve">Yes</w:t>
            </w:r>
          </w:p>
        </w:tc>
        <w:tc>
          <w:tcPr>
            <w:tcW w:type="dxa" w:w="1900"/>
            <w:shd w:fill="EBF5FB" w:color="EBF5FB" w:val="clear"/>
          </w:tcPr>
          <w:p>
            <w:pPr>
              <w:spacing w:after="60"/>
            </w:pPr>
            <w:r>
              <w:rPr>
                <w:sz w:val="20"/>
                <w:szCs w:val="20"/>
              </w:rPr>
              <w:t xml:space="preserve">Annual team outing budget; VP approval for amounts above USD 5,000 total</w:t>
            </w:r>
          </w:p>
        </w:tc>
      </w:tr>
    </w:tbl>
    <w:p>
      <w:pPr>
        <w:spacing w:after="80"/>
      </w:pPr>
      <w:r>
        <w:t xml:space="preserve"/>
      </w:r>
    </w:p>
    <w:p>
      <w:pPr>
        <w:pStyle w:val="Heading2"/>
        <w:spacing w:after="150" w:before="300"/>
      </w:pPr>
      <w:r>
        <w:t xml:space="preserve">4.4 Non-Reimbursable Expenses</w:t>
      </w:r>
    </w:p>
    <w:p>
      <w:pPr>
        <w:spacing w:after="120" w:line="276"/>
      </w:pPr>
      <w:r>
        <w:rPr>
          <w:sz w:val="22"/>
          <w:szCs w:val="22"/>
        </w:rPr>
        <w:t xml:space="preserve">The following are never reimbursable under any circumstances:</w:t>
      </w:r>
    </w:p>
    <w:p>
      <w:pPr>
        <w:pStyle w:val="ListParagraph"/>
        <w:numPr>
          <w:ilvl w:val="0"/>
          <w:numId w:val="1"/>
        </w:numPr>
        <w:spacing w:after="80"/>
      </w:pPr>
      <w:r>
        <w:rPr>
          <w:sz w:val="22"/>
          <w:szCs w:val="22"/>
        </w:rPr>
        <w:t xml:space="preserve">Personal grooming, clothing, or fashion items (except safety equipment)</w:t>
      </w:r>
    </w:p>
    <w:p>
      <w:pPr>
        <w:pStyle w:val="ListParagraph"/>
        <w:numPr>
          <w:ilvl w:val="0"/>
          <w:numId w:val="1"/>
        </w:numPr>
        <w:spacing w:after="80"/>
      </w:pPr>
      <w:r>
        <w:rPr>
          <w:sz w:val="22"/>
          <w:szCs w:val="22"/>
        </w:rPr>
        <w:t xml:space="preserve">Traffic or parking fines, speeding tickets</w:t>
      </w:r>
    </w:p>
    <w:p>
      <w:pPr>
        <w:pStyle w:val="ListParagraph"/>
        <w:numPr>
          <w:ilvl w:val="0"/>
          <w:numId w:val="1"/>
        </w:numPr>
        <w:spacing w:after="80"/>
      </w:pPr>
      <w:r>
        <w:rPr>
          <w:sz w:val="22"/>
          <w:szCs w:val="22"/>
        </w:rPr>
        <w:t xml:space="preserve">Personal entertainment (movies, personal streaming, concerts not for client purposes)</w:t>
      </w:r>
    </w:p>
    <w:p>
      <w:pPr>
        <w:pStyle w:val="ListParagraph"/>
        <w:numPr>
          <w:ilvl w:val="0"/>
          <w:numId w:val="1"/>
        </w:numPr>
        <w:spacing w:after="80"/>
      </w:pPr>
      <w:r>
        <w:rPr>
          <w:sz w:val="22"/>
          <w:szCs w:val="22"/>
        </w:rPr>
        <w:t xml:space="preserve">Spouse, partner, or family member expenses (unless explicitly pre-approved for a specific company event)</w:t>
      </w:r>
    </w:p>
    <w:p>
      <w:pPr>
        <w:pStyle w:val="ListParagraph"/>
        <w:numPr>
          <w:ilvl w:val="0"/>
          <w:numId w:val="1"/>
        </w:numPr>
        <w:spacing w:after="80"/>
      </w:pPr>
      <w:r>
        <w:rPr>
          <w:sz w:val="22"/>
          <w:szCs w:val="22"/>
        </w:rPr>
        <w:t xml:space="preserve">Losses due to currency exchange on personal transactions</w:t>
      </w:r>
    </w:p>
    <w:p>
      <w:pPr>
        <w:pStyle w:val="ListParagraph"/>
        <w:numPr>
          <w:ilvl w:val="0"/>
          <w:numId w:val="1"/>
        </w:numPr>
        <w:spacing w:after="80"/>
      </w:pPr>
      <w:r>
        <w:rPr>
          <w:sz w:val="22"/>
          <w:szCs w:val="22"/>
        </w:rPr>
        <w:t xml:space="preserve">Mini-bar charges at hotels</w:t>
      </w:r>
    </w:p>
    <w:p>
      <w:pPr>
        <w:pStyle w:val="ListParagraph"/>
        <w:numPr>
          <w:ilvl w:val="0"/>
          <w:numId w:val="1"/>
        </w:numPr>
        <w:spacing w:after="80"/>
      </w:pPr>
      <w:r>
        <w:rPr>
          <w:sz w:val="22"/>
          <w:szCs w:val="22"/>
        </w:rPr>
        <w:t xml:space="preserve">First-class airfare (never permitted regardless of level)</w:t>
      </w:r>
    </w:p>
    <w:p>
      <w:pPr>
        <w:pStyle w:val="ListParagraph"/>
        <w:numPr>
          <w:ilvl w:val="0"/>
          <w:numId w:val="1"/>
        </w:numPr>
        <w:spacing w:after="80"/>
      </w:pPr>
      <w:r>
        <w:rPr>
          <w:sz w:val="22"/>
          <w:szCs w:val="22"/>
        </w:rPr>
        <w:t xml:space="preserve">Costs incurred due to personal negligence (e.g., lost baggage due to personal error)</w:t>
      </w:r>
    </w:p>
    <w:p>
      <w:pPr>
        <w:pStyle w:val="ListParagraph"/>
        <w:numPr>
          <w:ilvl w:val="0"/>
          <w:numId w:val="1"/>
        </w:numPr>
        <w:spacing w:after="80"/>
      </w:pPr>
      <w:r>
        <w:rPr>
          <w:sz w:val="22"/>
          <w:szCs w:val="22"/>
        </w:rPr>
        <w:t xml:space="preserve">Any expense incurred in violation of company policy</w:t>
      </w:r>
    </w:p>
    <w:p>
      <w:pPr>
        <w:pStyle w:val="Heading2"/>
        <w:spacing w:after="150" w:before="300"/>
      </w:pPr>
      <w:r>
        <w:t xml:space="preserve">4.5 Corporate Credit Cards</w:t>
      </w:r>
    </w:p>
    <w:p>
      <w:pPr>
        <w:spacing w:after="120" w:line="276"/>
      </w:pPr>
      <w:r>
        <w:rPr>
          <w:sz w:val="22"/>
          <w:szCs w:val="22"/>
        </w:rPr>
        <w:t xml:space="preserve">Corporate credit cards (Visa Signature Business, issued via JPMorgan Chase) are available to IC5+ employees, all managers (M1+), and frequent travelers (4+ trips per year). Cards are for business use only. Monthly reconciliation in Workday is mandatory by the 5th of the following month. Personal charges on a corporate card must be repaid within 14 days. Repeated personal use of a corporate card is a disciplinary matter. Apply for a card via finance.ap@optiagent.com.</w:t>
      </w:r>
    </w:p>
    <w:p>
      <w:r>
        <w:br w:type="page"/>
      </w:r>
    </w:p>
    <w:p>
      <w:pPr>
        <w:pStyle w:val="Heading1"/>
        <w:spacing w:after="200" w:before="400"/>
      </w:pPr>
      <w:r>
        <w:t xml:space="preserve">5. Corporate Travel Policy</w:t>
      </w:r>
    </w:p>
    <w:p>
      <w:pPr>
        <w:pStyle w:val="Heading2"/>
        <w:spacing w:after="150" w:before="300"/>
      </w:pPr>
      <w:r>
        <w:t xml:space="preserve">5.1 Booking Requirements</w:t>
      </w:r>
    </w:p>
    <w:p>
      <w:pPr>
        <w:spacing w:after="120" w:line="276"/>
      </w:pPr>
      <w:r>
        <w:rPr>
          <w:sz w:val="22"/>
          <w:szCs w:val="22"/>
        </w:rPr>
        <w:t xml:space="preserve">All business travel must be booked through Egencia (the OptiAgent corporate travel portal, accessible via Okta). Booking outside Egencia is only permitted when the destination or accommodation is not available in Egencia, and requires manager approval and a written justification submitted with the expense claim.</w:t>
      </w:r>
    </w:p>
    <w:p>
      <w:pPr>
        <w:spacing w:after="120" w:line="276"/>
      </w:pPr>
      <w:r>
        <w:rPr>
          <w:sz w:val="22"/>
          <w:szCs w:val="22"/>
        </w:rPr>
        <w:t xml:space="preserve">Benefits of booking via Egencia: negotiated corporate rates, automatic travel insurance activation, centralized duty of care tracking, and streamlined VAT/GST recovery.</w:t>
      </w:r>
    </w:p>
    <w:p>
      <w:pPr>
        <w:pStyle w:val="Heading2"/>
        <w:spacing w:after="150" w:before="300"/>
      </w:pPr>
      <w:r>
        <w:t xml:space="preserve">5.2 Pre-Approval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shd w:fill="1A5276" w:color="1A5276" w:val="clear"/>
          </w:tcPr>
          <w:p>
            <w:pPr>
              <w:spacing w:after="60"/>
            </w:pPr>
            <w:r>
              <w:rPr>
                <w:b/>
                <w:bCs/>
                <w:color w:val="FFFFFF"/>
                <w:sz w:val="20"/>
                <w:szCs w:val="20"/>
              </w:rPr>
              <w:t xml:space="preserve">Travel Type</w:t>
            </w:r>
          </w:p>
        </w:tc>
        <w:tc>
          <w:tcPr>
            <w:tcW w:type="dxa" w:w="3400"/>
            <w:shd w:fill="1A5276" w:color="1A5276" w:val="clear"/>
          </w:tcPr>
          <w:p>
            <w:pPr>
              <w:spacing w:after="60"/>
            </w:pPr>
            <w:r>
              <w:rPr>
                <w:b/>
                <w:bCs/>
                <w:color w:val="FFFFFF"/>
                <w:sz w:val="20"/>
                <w:szCs w:val="20"/>
              </w:rPr>
              <w:t xml:space="preserve">Pre-Approval Required From</w:t>
            </w:r>
          </w:p>
        </w:tc>
        <w:tc>
          <w:tcPr>
            <w:tcW w:type="dxa" w:w="3760"/>
            <w:shd w:fill="1A5276" w:color="1A5276" w:val="clear"/>
          </w:tcPr>
          <w:p>
            <w:pPr>
              <w:spacing w:after="60"/>
            </w:pPr>
            <w:r>
              <w:rPr>
                <w:b/>
                <w:bCs/>
                <w:color w:val="FFFFFF"/>
                <w:sz w:val="20"/>
                <w:szCs w:val="20"/>
              </w:rPr>
              <w:t xml:space="preserve">Booking Deadline</w:t>
            </w:r>
          </w:p>
        </w:tc>
      </w:tr>
      <w:tr>
        <w:tc>
          <w:tcPr>
            <w:tcW w:type="dxa" w:w="2200"/>
            <w:shd w:fill="EBF5FB" w:color="EBF5FB" w:val="clear"/>
          </w:tcPr>
          <w:p>
            <w:pPr>
              <w:spacing w:after="60"/>
            </w:pPr>
            <w:r>
              <w:rPr>
                <w:sz w:val="20"/>
                <w:szCs w:val="20"/>
              </w:rPr>
              <w:t xml:space="preserve">Domestic (same country)</w:t>
            </w:r>
          </w:p>
        </w:tc>
        <w:tc>
          <w:tcPr>
            <w:tcW w:type="dxa" w:w="3400"/>
            <w:shd w:fill="EBF5FB" w:color="EBF5FB" w:val="clear"/>
          </w:tcPr>
          <w:p>
            <w:pPr>
              <w:spacing w:after="60"/>
            </w:pPr>
            <w:r>
              <w:rPr>
                <w:sz w:val="20"/>
                <w:szCs w:val="20"/>
              </w:rPr>
              <w:t xml:space="preserve">Manager approval in Workday</w:t>
            </w:r>
          </w:p>
        </w:tc>
        <w:tc>
          <w:tcPr>
            <w:tcW w:type="dxa" w:w="3760"/>
            <w:shd w:fill="EBF5FB" w:color="EBF5FB" w:val="clear"/>
          </w:tcPr>
          <w:p>
            <w:pPr>
              <w:spacing w:after="60"/>
            </w:pPr>
            <w:r>
              <w:rPr>
                <w:sz w:val="20"/>
                <w:szCs w:val="20"/>
              </w:rPr>
              <w:t xml:space="preserve">At least 7 days in advance (book early for savings)</w:t>
            </w:r>
          </w:p>
        </w:tc>
      </w:tr>
      <w:tr>
        <w:tc>
          <w:tcPr>
            <w:tcW w:type="dxa" w:w="2200"/>
            <w:shd w:fill="FFFFFF" w:color="FFFFFF" w:val="clear"/>
          </w:tcPr>
          <w:p>
            <w:pPr>
              <w:spacing w:after="60"/>
            </w:pPr>
            <w:r>
              <w:rPr>
                <w:sz w:val="20"/>
                <w:szCs w:val="20"/>
              </w:rPr>
              <w:t xml:space="preserve">International (cross-border within region)</w:t>
            </w:r>
          </w:p>
        </w:tc>
        <w:tc>
          <w:tcPr>
            <w:tcW w:type="dxa" w:w="3400"/>
            <w:shd w:fill="FFFFFF" w:color="FFFFFF" w:val="clear"/>
          </w:tcPr>
          <w:p>
            <w:pPr>
              <w:spacing w:after="60"/>
            </w:pPr>
            <w:r>
              <w:rPr>
                <w:sz w:val="20"/>
                <w:szCs w:val="20"/>
              </w:rPr>
              <w:t xml:space="preserve">Manager + VP approval in Workday</w:t>
            </w:r>
          </w:p>
        </w:tc>
        <w:tc>
          <w:tcPr>
            <w:tcW w:type="dxa" w:w="3760"/>
            <w:shd w:fill="FFFFFF" w:color="FFFFFF" w:val="clear"/>
          </w:tcPr>
          <w:p>
            <w:pPr>
              <w:spacing w:after="60"/>
            </w:pPr>
            <w:r>
              <w:rPr>
                <w:sz w:val="20"/>
                <w:szCs w:val="20"/>
              </w:rPr>
              <w:t xml:space="preserve">At least 14 days in advance</w:t>
            </w:r>
          </w:p>
        </w:tc>
      </w:tr>
      <w:tr>
        <w:tc>
          <w:tcPr>
            <w:tcW w:type="dxa" w:w="2200"/>
            <w:shd w:fill="EBF5FB" w:color="EBF5FB" w:val="clear"/>
          </w:tcPr>
          <w:p>
            <w:pPr>
              <w:spacing w:after="60"/>
            </w:pPr>
            <w:r>
              <w:rPr>
                <w:sz w:val="20"/>
                <w:szCs w:val="20"/>
              </w:rPr>
              <w:t xml:space="preserve">Intercontinental</w:t>
            </w:r>
          </w:p>
        </w:tc>
        <w:tc>
          <w:tcPr>
            <w:tcW w:type="dxa" w:w="3400"/>
            <w:shd w:fill="EBF5FB" w:color="EBF5FB" w:val="clear"/>
          </w:tcPr>
          <w:p>
            <w:pPr>
              <w:spacing w:after="60"/>
            </w:pPr>
            <w:r>
              <w:rPr>
                <w:sz w:val="20"/>
                <w:szCs w:val="20"/>
              </w:rPr>
              <w:t xml:space="preserve">Manager + VP + Finance approval</w:t>
            </w:r>
          </w:p>
        </w:tc>
        <w:tc>
          <w:tcPr>
            <w:tcW w:type="dxa" w:w="3760"/>
            <w:shd w:fill="EBF5FB" w:color="EBF5FB" w:val="clear"/>
          </w:tcPr>
          <w:p>
            <w:pPr>
              <w:spacing w:after="60"/>
            </w:pPr>
            <w:r>
              <w:rPr>
                <w:sz w:val="20"/>
                <w:szCs w:val="20"/>
              </w:rPr>
              <w:t xml:space="preserve">At least 21 days in advance</w:t>
            </w:r>
          </w:p>
        </w:tc>
      </w:tr>
      <w:tr>
        <w:tc>
          <w:tcPr>
            <w:tcW w:type="dxa" w:w="2200"/>
            <w:shd w:fill="FFFFFF" w:color="FFFFFF" w:val="clear"/>
          </w:tcPr>
          <w:p>
            <w:pPr>
              <w:spacing w:after="60"/>
            </w:pPr>
            <w:r>
              <w:rPr>
                <w:sz w:val="20"/>
                <w:szCs w:val="20"/>
              </w:rPr>
              <w:t xml:space="preserve">Travel to high-risk countries (per FCO/State Dept advisory)</w:t>
            </w:r>
          </w:p>
        </w:tc>
        <w:tc>
          <w:tcPr>
            <w:tcW w:type="dxa" w:w="3400"/>
            <w:shd w:fill="FFFFFF" w:color="FFFFFF" w:val="clear"/>
          </w:tcPr>
          <w:p>
            <w:pPr>
              <w:spacing w:after="60"/>
            </w:pPr>
            <w:r>
              <w:rPr>
                <w:sz w:val="20"/>
                <w:szCs w:val="20"/>
              </w:rPr>
              <w:t xml:space="preserve">VP + CISO + Legal approval</w:t>
            </w:r>
          </w:p>
        </w:tc>
        <w:tc>
          <w:tcPr>
            <w:tcW w:type="dxa" w:w="3760"/>
            <w:shd w:fill="FFFFFF" w:color="FFFFFF" w:val="clear"/>
          </w:tcPr>
          <w:p>
            <w:pPr>
              <w:spacing w:after="60"/>
            </w:pPr>
            <w:r>
              <w:rPr>
                <w:sz w:val="20"/>
                <w:szCs w:val="20"/>
              </w:rPr>
              <w:t xml:space="preserve">At least 21 days; security briefing required</w:t>
            </w:r>
          </w:p>
        </w:tc>
      </w:tr>
      <w:tr>
        <w:tc>
          <w:tcPr>
            <w:tcW w:type="dxa" w:w="2200"/>
            <w:shd w:fill="EBF5FB" w:color="EBF5FB" w:val="clear"/>
          </w:tcPr>
          <w:p>
            <w:pPr>
              <w:spacing w:after="60"/>
            </w:pPr>
            <w:r>
              <w:rPr>
                <w:sz w:val="20"/>
                <w:szCs w:val="20"/>
              </w:rPr>
              <w:t xml:space="preserve">Group travel (5+ employees, same destination, same dates)</w:t>
            </w:r>
          </w:p>
        </w:tc>
        <w:tc>
          <w:tcPr>
            <w:tcW w:type="dxa" w:w="3400"/>
            <w:shd w:fill="EBF5FB" w:color="EBF5FB" w:val="clear"/>
          </w:tcPr>
          <w:p>
            <w:pPr>
              <w:spacing w:after="60"/>
            </w:pPr>
            <w:r>
              <w:rPr>
                <w:sz w:val="20"/>
                <w:szCs w:val="20"/>
              </w:rPr>
              <w:t xml:space="preserve">Director + Finance pre-approval</w:t>
            </w:r>
          </w:p>
        </w:tc>
        <w:tc>
          <w:tcPr>
            <w:tcW w:type="dxa" w:w="3760"/>
            <w:shd w:fill="EBF5FB" w:color="EBF5FB" w:val="clear"/>
          </w:tcPr>
          <w:p>
            <w:pPr>
              <w:spacing w:after="60"/>
            </w:pPr>
            <w:r>
              <w:rPr>
                <w:sz w:val="20"/>
                <w:szCs w:val="20"/>
              </w:rPr>
              <w:t xml:space="preserve">At least 30 days; key person concentration risk review</w:t>
            </w:r>
          </w:p>
        </w:tc>
      </w:tr>
    </w:tbl>
    <w:p>
      <w:pPr>
        <w:spacing w:after="80"/>
      </w:pPr>
      <w:r>
        <w:t xml:space="preserve"/>
      </w:r>
    </w:p>
    <w:p>
      <w:pPr>
        <w:pStyle w:val="Heading2"/>
        <w:spacing w:after="150" w:before="300"/>
      </w:pPr>
      <w:r>
        <w:t xml:space="preserve">5.3 Fly Policy</w:t>
      </w:r>
    </w:p>
    <w:p>
      <w:pPr>
        <w:spacing w:after="120" w:line="276"/>
      </w:pPr>
      <w:r>
        <w:rPr>
          <w:sz w:val="22"/>
          <w:szCs w:val="22"/>
        </w:rPr>
        <w:t xml:space="preserve">Economy class is the default for all employees for all flights. Exceptions:</w:t>
      </w:r>
    </w:p>
    <w:p>
      <w:pPr>
        <w:pStyle w:val="ListParagraph"/>
        <w:numPr>
          <w:ilvl w:val="0"/>
          <w:numId w:val="1"/>
        </w:numPr>
        <w:spacing w:after="80"/>
      </w:pPr>
      <w:r>
        <w:rPr>
          <w:sz w:val="22"/>
          <w:szCs w:val="22"/>
        </w:rPr>
        <w:t xml:space="preserve">Business class is permitted for flights of 6+ hours for Director (M3) and above — requires Director approval in Workday travel request</w:t>
      </w:r>
    </w:p>
    <w:p>
      <w:pPr>
        <w:pStyle w:val="ListParagraph"/>
        <w:numPr>
          <w:ilvl w:val="0"/>
          <w:numId w:val="1"/>
        </w:numPr>
        <w:spacing w:after="80"/>
      </w:pPr>
      <w:r>
        <w:rPr>
          <w:sz w:val="22"/>
          <w:szCs w:val="22"/>
        </w:rPr>
        <w:t xml:space="preserve">Business class for IC-level employees on flights of 6+ hours requires VP approval and must be justified (e.g., arriving to present to a major customer)</w:t>
      </w:r>
    </w:p>
    <w:p>
      <w:pPr>
        <w:pStyle w:val="ListParagraph"/>
        <w:numPr>
          <w:ilvl w:val="0"/>
          <w:numId w:val="1"/>
        </w:numPr>
        <w:spacing w:after="80"/>
      </w:pPr>
      <w:r>
        <w:rPr>
          <w:sz w:val="22"/>
          <w:szCs w:val="22"/>
        </w:rPr>
        <w:t xml:space="preserve">Premium economy is always permitted as an upgrade option without additional approval</w:t>
      </w:r>
    </w:p>
    <w:p>
      <w:pPr>
        <w:pStyle w:val="ListParagraph"/>
        <w:numPr>
          <w:ilvl w:val="0"/>
          <w:numId w:val="1"/>
        </w:numPr>
        <w:spacing w:after="80"/>
      </w:pPr>
      <w:r>
        <w:rPr>
          <w:sz w:val="22"/>
          <w:szCs w:val="22"/>
        </w:rPr>
        <w:t xml:space="preserve">First class is never permitted for any employee at any level</w:t>
      </w:r>
    </w:p>
    <w:p>
      <w:pPr>
        <w:pStyle w:val="ListParagraph"/>
        <w:numPr>
          <w:ilvl w:val="0"/>
          <w:numId w:val="1"/>
        </w:numPr>
        <w:spacing w:after="80"/>
      </w:pPr>
      <w:r>
        <w:rPr>
          <w:sz w:val="22"/>
          <w:szCs w:val="22"/>
        </w:rPr>
        <w:t xml:space="preserve">If a business class seat costs less than an economy seat on the same day (rare but possible), economy class must still be booked</w:t>
      </w:r>
    </w:p>
    <w:p>
      <w:pPr>
        <w:pStyle w:val="Heading2"/>
        <w:spacing w:after="150" w:before="300"/>
      </w:pPr>
      <w:r>
        <w:t xml:space="preserve">5.4 Hotel Policy</w:t>
      </w:r>
    </w:p>
    <w:p>
      <w:pPr>
        <w:spacing w:after="120" w:line="276"/>
      </w:pPr>
      <w:r>
        <w:rPr>
          <w:sz w:val="22"/>
          <w:szCs w:val="22"/>
        </w:rPr>
        <w:t xml:space="preserve">Hotels must be booked via Egencia. See per-night limits in Section 4.3. If a suitable hotel within policy limits is not available (sold out, location impractical), the employee must obtain manager approval before booking above the limit and note this in the expense claim. Extended stays (7+ nights): the employee should explore serviced apartments which typically offer better rates for long stays; approval required from Finance.</w:t>
      </w:r>
    </w:p>
    <w:p>
      <w:pPr>
        <w:pStyle w:val="Heading2"/>
        <w:spacing w:after="150" w:before="300"/>
      </w:pPr>
      <w:r>
        <w:t xml:space="preserve">5.5 Ground Transport</w:t>
      </w:r>
    </w:p>
    <w:p>
      <w:pPr>
        <w:spacing w:after="120" w:line="276"/>
      </w:pPr>
      <w:r>
        <w:rPr>
          <w:sz w:val="22"/>
          <w:szCs w:val="22"/>
        </w:rPr>
        <w:t xml:space="preserve">At the destination, preferred options in order: public transit, rideshare (Uber Business account), taxi. Car rentals require manager approval and must be booked via Egencia. Employees must decline the car rental company's collision damage waiver (CDW) as this is covered by the company travel insurance (Allianz Business Travel). Employees who drive a personal vehicle for business travel are reimbursed at the IRS mileage rate (USA), HMRC advisory rate (UK), or local equivalent in other countries.</w:t>
      </w:r>
    </w:p>
    <w:p>
      <w:pPr>
        <w:pStyle w:val="Heading2"/>
        <w:spacing w:after="150" w:before="300"/>
      </w:pPr>
      <w:r>
        <w:t xml:space="preserve">5.6 Travel Insurance &amp; Duty of Care</w:t>
      </w:r>
    </w:p>
    <w:p>
      <w:pPr>
        <w:spacing w:after="120" w:line="276"/>
      </w:pPr>
      <w:r>
        <w:rPr>
          <w:sz w:val="22"/>
          <w:szCs w:val="22"/>
        </w:rPr>
        <w:t xml:space="preserve">All employees travelling on company business are covered by the OptiAgent Business Travel Insurance policy via Allianz. Coverage activates automatically when travel is booked via Egencia. Coverage includes: emergency medical, medical evacuation, trip cancellation, delayed baggage, and accidental death and dismemberment. For travel to countries with elevated risk (per FCDO/State Department advisory), contact the Security team (security@optiagent.com) for a pre-travel security briefing.</w:t>
      </w:r>
    </w:p>
    <w:p>
      <w:pPr>
        <w:spacing w:after="120" w:line="276"/>
      </w:pPr>
      <w:r>
        <w:rPr>
          <w:sz w:val="22"/>
          <w:szCs w:val="22"/>
        </w:rPr>
        <w:t xml:space="preserve">In a travel emergency: Call the Allianz Emergency Assistance line (printed on your Allianz travel card, distributed via Egencia booking confirmation) and notify your manager and the Security team.</w:t>
      </w:r>
    </w:p>
    <w:p>
      <w:r>
        <w:br w:type="page"/>
      </w:r>
    </w:p>
    <w:p>
      <w:pPr>
        <w:pStyle w:val="Heading1"/>
        <w:spacing w:after="200" w:before="400"/>
      </w:pPr>
      <w:r>
        <w:t xml:space="preserve">6. Procurement &amp; Vendor Management Policy</w:t>
      </w:r>
    </w:p>
    <w:p>
      <w:pPr>
        <w:pStyle w:val="Heading2"/>
        <w:spacing w:after="150" w:before="300"/>
      </w:pPr>
      <w:r>
        <w:t xml:space="preserve">6.1 Procurement Principles</w:t>
      </w:r>
    </w:p>
    <w:p>
      <w:pPr>
        <w:spacing w:after="120" w:line="276"/>
      </w:pPr>
      <w:r>
        <w:rPr>
          <w:sz w:val="22"/>
          <w:szCs w:val="22"/>
        </w:rPr>
        <w:t xml:space="preserve">OptiAgent Technologies procures goods and services through a competitive, transparent, and ethical process. The goal is to obtain value for money, manage risk, and ensure vendors meet the company's standards on quality, security, and ethics. All procurement activity must comply with this policy and the Financial Authority Matrix (Section 2).</w:t>
      </w:r>
    </w:p>
    <w:p>
      <w:pPr>
        <w:pStyle w:val="Heading2"/>
        <w:spacing w:after="150" w:before="300"/>
      </w:pPr>
      <w:r>
        <w:t xml:space="preserve">6.2 Procurement Process by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000"/>
        <w:gridCol w:w="2560"/>
      </w:tblGrid>
      <w:tr>
        <w:tc>
          <w:tcPr>
            <w:tcW w:type="dxa" w:w="2200"/>
            <w:shd w:fill="1A5276" w:color="1A5276" w:val="clear"/>
          </w:tcPr>
          <w:p>
            <w:pPr>
              <w:spacing w:after="60"/>
            </w:pPr>
            <w:r>
              <w:rPr>
                <w:b/>
                <w:bCs/>
                <w:color w:val="FFFFFF"/>
                <w:sz w:val="20"/>
                <w:szCs w:val="20"/>
              </w:rPr>
              <w:t xml:space="preserve">Purchase Value</w:t>
            </w:r>
          </w:p>
        </w:tc>
        <w:tc>
          <w:tcPr>
            <w:tcW w:type="dxa" w:w="2600"/>
            <w:shd w:fill="1A5276" w:color="1A5276" w:val="clear"/>
          </w:tcPr>
          <w:p>
            <w:pPr>
              <w:spacing w:after="60"/>
            </w:pPr>
            <w:r>
              <w:rPr>
                <w:b/>
                <w:bCs/>
                <w:color w:val="FFFFFF"/>
                <w:sz w:val="20"/>
                <w:szCs w:val="20"/>
              </w:rPr>
              <w:t xml:space="preserve">Process Required</w:t>
            </w:r>
          </w:p>
        </w:tc>
        <w:tc>
          <w:tcPr>
            <w:tcW w:type="dxa" w:w="2000"/>
            <w:shd w:fill="1A5276" w:color="1A5276" w:val="clear"/>
          </w:tcPr>
          <w:p>
            <w:pPr>
              <w:spacing w:after="60"/>
            </w:pPr>
            <w:r>
              <w:rPr>
                <w:b/>
                <w:bCs/>
                <w:color w:val="FFFFFF"/>
                <w:sz w:val="20"/>
                <w:szCs w:val="20"/>
              </w:rPr>
              <w:t xml:space="preserve">Minimum Quotes</w:t>
            </w:r>
          </w:p>
        </w:tc>
        <w:tc>
          <w:tcPr>
            <w:tcW w:type="dxa" w:w="2560"/>
            <w:shd w:fill="1A5276" w:color="1A5276" w:val="clear"/>
          </w:tcPr>
          <w:p>
            <w:pPr>
              <w:spacing w:after="60"/>
            </w:pPr>
            <w:r>
              <w:rPr>
                <w:b/>
                <w:bCs/>
                <w:color w:val="FFFFFF"/>
                <w:sz w:val="20"/>
                <w:szCs w:val="20"/>
              </w:rPr>
              <w:t xml:space="preserve">Approval</w:t>
            </w:r>
          </w:p>
        </w:tc>
      </w:tr>
      <w:tr>
        <w:tc>
          <w:tcPr>
            <w:tcW w:type="dxa" w:w="2200"/>
            <w:shd w:fill="EBF5FB" w:color="EBF5FB" w:val="clear"/>
          </w:tcPr>
          <w:p>
            <w:pPr>
              <w:spacing w:after="60"/>
            </w:pPr>
            <w:r>
              <w:rPr>
                <w:sz w:val="20"/>
                <w:szCs w:val="20"/>
              </w:rPr>
              <w:t xml:space="preserve">Under USD 1,000</w:t>
            </w:r>
          </w:p>
        </w:tc>
        <w:tc>
          <w:tcPr>
            <w:tcW w:type="dxa" w:w="2600"/>
            <w:shd w:fill="EBF5FB" w:color="EBF5FB" w:val="clear"/>
          </w:tcPr>
          <w:p>
            <w:pPr>
              <w:spacing w:after="60"/>
            </w:pPr>
            <w:r>
              <w:rPr>
                <w:sz w:val="20"/>
                <w:szCs w:val="20"/>
              </w:rPr>
              <w:t xml:space="preserve">Purchase in Workday; manager approval</w:t>
            </w:r>
          </w:p>
        </w:tc>
        <w:tc>
          <w:tcPr>
            <w:tcW w:type="dxa" w:w="2000"/>
            <w:shd w:fill="EBF5FB" w:color="EBF5FB" w:val="clear"/>
          </w:tcPr>
          <w:p>
            <w:pPr>
              <w:spacing w:after="60"/>
            </w:pPr>
            <w:r>
              <w:rPr>
                <w:sz w:val="20"/>
                <w:szCs w:val="20"/>
              </w:rPr>
              <w:t xml:space="preserve">1 (existing vendor) or 1 preferred vendor</w:t>
            </w:r>
          </w:p>
        </w:tc>
        <w:tc>
          <w:tcPr>
            <w:tcW w:type="dxa" w:w="2560"/>
            <w:shd w:fill="EBF5FB" w:color="EBF5FB" w:val="clear"/>
          </w:tcPr>
          <w:p>
            <w:pPr>
              <w:spacing w:after="60"/>
            </w:pPr>
            <w:r>
              <w:rPr>
                <w:sz w:val="20"/>
                <w:szCs w:val="20"/>
              </w:rPr>
              <w:t xml:space="preserve">Manager</w:t>
            </w:r>
          </w:p>
        </w:tc>
      </w:tr>
      <w:tr>
        <w:tc>
          <w:tcPr>
            <w:tcW w:type="dxa" w:w="2200"/>
            <w:shd w:fill="FFFFFF" w:color="FFFFFF" w:val="clear"/>
          </w:tcPr>
          <w:p>
            <w:pPr>
              <w:spacing w:after="60"/>
            </w:pPr>
            <w:r>
              <w:rPr>
                <w:sz w:val="20"/>
                <w:szCs w:val="20"/>
              </w:rPr>
              <w:t xml:space="preserve">USD 1,000 – USD 10,000</w:t>
            </w:r>
          </w:p>
        </w:tc>
        <w:tc>
          <w:tcPr>
            <w:tcW w:type="dxa" w:w="2600"/>
            <w:shd w:fill="FFFFFF" w:color="FFFFFF" w:val="clear"/>
          </w:tcPr>
          <w:p>
            <w:pPr>
              <w:spacing w:after="60"/>
            </w:pPr>
            <w:r>
              <w:rPr>
                <w:sz w:val="20"/>
                <w:szCs w:val="20"/>
              </w:rPr>
              <w:t xml:space="preserve">Purchase Order in NetSuite; vendor must be in approved vendor list</w:t>
            </w:r>
          </w:p>
        </w:tc>
        <w:tc>
          <w:tcPr>
            <w:tcW w:type="dxa" w:w="2000"/>
            <w:shd w:fill="FFFFFF" w:color="FFFFFF" w:val="clear"/>
          </w:tcPr>
          <w:p>
            <w:pPr>
              <w:spacing w:after="60"/>
            </w:pPr>
            <w:r>
              <w:rPr>
                <w:sz w:val="20"/>
                <w:szCs w:val="20"/>
              </w:rPr>
              <w:t xml:space="preserve">2 quotes recommended</w:t>
            </w:r>
          </w:p>
        </w:tc>
        <w:tc>
          <w:tcPr>
            <w:tcW w:type="dxa" w:w="2560"/>
            <w:shd w:fill="FFFFFF" w:color="FFFFFF" w:val="clear"/>
          </w:tcPr>
          <w:p>
            <w:pPr>
              <w:spacing w:after="60"/>
            </w:pPr>
            <w:r>
              <w:rPr>
                <w:sz w:val="20"/>
                <w:szCs w:val="20"/>
              </w:rPr>
              <w:t xml:space="preserve">Manager + Finance</w:t>
            </w:r>
          </w:p>
        </w:tc>
      </w:tr>
      <w:tr>
        <w:tc>
          <w:tcPr>
            <w:tcW w:type="dxa" w:w="2200"/>
            <w:shd w:fill="EBF5FB" w:color="EBF5FB" w:val="clear"/>
          </w:tcPr>
          <w:p>
            <w:pPr>
              <w:spacing w:after="60"/>
            </w:pPr>
            <w:r>
              <w:rPr>
                <w:sz w:val="20"/>
                <w:szCs w:val="20"/>
              </w:rPr>
              <w:t xml:space="preserve">USD 10,001 – USD 50,000</w:t>
            </w:r>
          </w:p>
        </w:tc>
        <w:tc>
          <w:tcPr>
            <w:tcW w:type="dxa" w:w="2600"/>
            <w:shd w:fill="EBF5FB" w:color="EBF5FB" w:val="clear"/>
          </w:tcPr>
          <w:p>
            <w:pPr>
              <w:spacing w:after="60"/>
            </w:pPr>
            <w:r>
              <w:rPr>
                <w:sz w:val="20"/>
                <w:szCs w:val="20"/>
              </w:rPr>
              <w:t xml:space="preserve">Formal RFQ (Request for Quotation); vendor due diligence required</w:t>
            </w:r>
          </w:p>
        </w:tc>
        <w:tc>
          <w:tcPr>
            <w:tcW w:type="dxa" w:w="2000"/>
            <w:shd w:fill="EBF5FB" w:color="EBF5FB" w:val="clear"/>
          </w:tcPr>
          <w:p>
            <w:pPr>
              <w:spacing w:after="60"/>
            </w:pPr>
            <w:r>
              <w:rPr>
                <w:sz w:val="20"/>
                <w:szCs w:val="20"/>
              </w:rPr>
              <w:t xml:space="preserve">3 quotes minimum</w:t>
            </w:r>
          </w:p>
        </w:tc>
        <w:tc>
          <w:tcPr>
            <w:tcW w:type="dxa" w:w="2560"/>
            <w:shd w:fill="EBF5FB" w:color="EBF5FB" w:val="clear"/>
          </w:tcPr>
          <w:p>
            <w:pPr>
              <w:spacing w:after="60"/>
            </w:pPr>
            <w:r>
              <w:rPr>
                <w:sz w:val="20"/>
                <w:szCs w:val="20"/>
              </w:rPr>
              <w:t xml:space="preserve">Director + Finance</w:t>
            </w:r>
          </w:p>
        </w:tc>
      </w:tr>
      <w:tr>
        <w:tc>
          <w:tcPr>
            <w:tcW w:type="dxa" w:w="2200"/>
            <w:shd w:fill="FFFFFF" w:color="FFFFFF" w:val="clear"/>
          </w:tcPr>
          <w:p>
            <w:pPr>
              <w:spacing w:after="60"/>
            </w:pPr>
            <w:r>
              <w:rPr>
                <w:sz w:val="20"/>
                <w:szCs w:val="20"/>
              </w:rPr>
              <w:t xml:space="preserve">USD 50,001 – USD 250,000</w:t>
            </w:r>
          </w:p>
        </w:tc>
        <w:tc>
          <w:tcPr>
            <w:tcW w:type="dxa" w:w="2600"/>
            <w:shd w:fill="FFFFFF" w:color="FFFFFF" w:val="clear"/>
          </w:tcPr>
          <w:p>
            <w:pPr>
              <w:spacing w:after="60"/>
            </w:pPr>
            <w:r>
              <w:rPr>
                <w:sz w:val="20"/>
                <w:szCs w:val="20"/>
              </w:rPr>
              <w:t xml:space="preserve">Formal RFP (Request for Proposal); Legal contract review required</w:t>
            </w:r>
          </w:p>
        </w:tc>
        <w:tc>
          <w:tcPr>
            <w:tcW w:type="dxa" w:w="2000"/>
            <w:shd w:fill="FFFFFF" w:color="FFFFFF" w:val="clear"/>
          </w:tcPr>
          <w:p>
            <w:pPr>
              <w:spacing w:after="60"/>
            </w:pPr>
            <w:r>
              <w:rPr>
                <w:sz w:val="20"/>
                <w:szCs w:val="20"/>
              </w:rPr>
              <w:t xml:space="preserve">3 proposals minimum</w:t>
            </w:r>
          </w:p>
        </w:tc>
        <w:tc>
          <w:tcPr>
            <w:tcW w:type="dxa" w:w="2560"/>
            <w:shd w:fill="FFFFFF" w:color="FFFFFF" w:val="clear"/>
          </w:tcPr>
          <w:p>
            <w:pPr>
              <w:spacing w:after="60"/>
            </w:pPr>
            <w:r>
              <w:rPr>
                <w:sz w:val="20"/>
                <w:szCs w:val="20"/>
              </w:rPr>
              <w:t xml:space="preserve">VP + CFO</w:t>
            </w:r>
          </w:p>
        </w:tc>
      </w:tr>
      <w:tr>
        <w:tc>
          <w:tcPr>
            <w:tcW w:type="dxa" w:w="2200"/>
            <w:shd w:fill="EBF5FB" w:color="EBF5FB" w:val="clear"/>
          </w:tcPr>
          <w:p>
            <w:pPr>
              <w:spacing w:after="60"/>
            </w:pPr>
            <w:r>
              <w:rPr>
                <w:sz w:val="20"/>
                <w:szCs w:val="20"/>
              </w:rPr>
              <w:t xml:space="preserve">Above USD 250,000</w:t>
            </w:r>
          </w:p>
        </w:tc>
        <w:tc>
          <w:tcPr>
            <w:tcW w:type="dxa" w:w="2600"/>
            <w:shd w:fill="EBF5FB" w:color="EBF5FB" w:val="clear"/>
          </w:tcPr>
          <w:p>
            <w:pPr>
              <w:spacing w:after="60"/>
            </w:pPr>
            <w:r>
              <w:rPr>
                <w:sz w:val="20"/>
                <w:szCs w:val="20"/>
              </w:rPr>
              <w:t xml:space="preserve">Full tender process; Legal + Security review; Board notification above USD 500K</w:t>
            </w:r>
          </w:p>
        </w:tc>
        <w:tc>
          <w:tcPr>
            <w:tcW w:type="dxa" w:w="2000"/>
            <w:shd w:fill="EBF5FB" w:color="EBF5FB" w:val="clear"/>
          </w:tcPr>
          <w:p>
            <w:pPr>
              <w:spacing w:after="60"/>
            </w:pPr>
            <w:r>
              <w:rPr>
                <w:sz w:val="20"/>
                <w:szCs w:val="20"/>
              </w:rPr>
              <w:t xml:space="preserve">3+ proposals minimum</w:t>
            </w:r>
          </w:p>
        </w:tc>
        <w:tc>
          <w:tcPr>
            <w:tcW w:type="dxa" w:w="2560"/>
            <w:shd w:fill="EBF5FB" w:color="EBF5FB" w:val="clear"/>
          </w:tcPr>
          <w:p>
            <w:pPr>
              <w:spacing w:after="60"/>
            </w:pPr>
            <w:r>
              <w:rPr>
                <w:sz w:val="20"/>
                <w:szCs w:val="20"/>
              </w:rPr>
              <w:t xml:space="preserve">CFO + CEO (Board above USD 500K)</w:t>
            </w:r>
          </w:p>
        </w:tc>
      </w:tr>
      <w:tr>
        <w:tc>
          <w:tcPr>
            <w:tcW w:type="dxa" w:w="2200"/>
            <w:shd w:fill="FFFFFF" w:color="FFFFFF" w:val="clear"/>
          </w:tcPr>
          <w:p>
            <w:pPr>
              <w:spacing w:after="60"/>
            </w:pPr>
            <w:r>
              <w:rPr>
                <w:sz w:val="20"/>
                <w:szCs w:val="20"/>
              </w:rPr>
              <w:t xml:space="preserve">Sole-source (any value above USD 10,000)</w:t>
            </w:r>
          </w:p>
        </w:tc>
        <w:tc>
          <w:tcPr>
            <w:tcW w:type="dxa" w:w="2600"/>
            <w:shd w:fill="FFFFFF" w:color="FFFFFF" w:val="clear"/>
          </w:tcPr>
          <w:p>
            <w:pPr>
              <w:spacing w:after="60"/>
            </w:pPr>
            <w:r>
              <w:rPr>
                <w:sz w:val="20"/>
                <w:szCs w:val="20"/>
              </w:rPr>
              <w:t xml:space="preserve">Written justification required; Director approval + Finance sign-off</w:t>
            </w:r>
          </w:p>
        </w:tc>
        <w:tc>
          <w:tcPr>
            <w:tcW w:type="dxa" w:w="2000"/>
            <w:shd w:fill="FFFFFF" w:color="FFFFFF" w:val="clear"/>
          </w:tcPr>
          <w:p>
            <w:pPr>
              <w:spacing w:after="60"/>
            </w:pPr>
            <w:r>
              <w:rPr>
                <w:sz w:val="20"/>
                <w:szCs w:val="20"/>
              </w:rPr>
              <w:t xml:space="preserve">Sole-source justification form</w:t>
            </w:r>
          </w:p>
        </w:tc>
        <w:tc>
          <w:tcPr>
            <w:tcW w:type="dxa" w:w="2560"/>
            <w:shd w:fill="FFFFFF" w:color="FFFFFF" w:val="clear"/>
          </w:tcPr>
          <w:p>
            <w:pPr>
              <w:spacing w:after="60"/>
            </w:pPr>
            <w:r>
              <w:rPr>
                <w:sz w:val="20"/>
                <w:szCs w:val="20"/>
              </w:rPr>
              <w:t xml:space="preserve">Director + Finance</w:t>
            </w:r>
          </w:p>
        </w:tc>
      </w:tr>
    </w:tbl>
    <w:p>
      <w:pPr>
        <w:spacing w:after="80"/>
      </w:pPr>
      <w:r>
        <w:t xml:space="preserve"/>
      </w:r>
    </w:p>
    <w:p>
      <w:pPr>
        <w:pStyle w:val="Heading2"/>
        <w:spacing w:after="150" w:before="300"/>
      </w:pPr>
      <w:r>
        <w:t xml:space="preserve">6.3 Vendor Due Diligence &amp; Onboarding</w:t>
      </w:r>
    </w:p>
    <w:p>
      <w:pPr>
        <w:spacing w:after="120" w:line="276"/>
      </w:pPr>
      <w:r>
        <w:rPr>
          <w:sz w:val="22"/>
          <w:szCs w:val="22"/>
        </w:rPr>
        <w:t xml:space="preserve">All new vendors must complete the vendor onboarding process before any purchase order is raised or payment is made. The vendor onboarding process:</w:t>
      </w:r>
    </w:p>
    <w:p>
      <w:pPr>
        <w:pStyle w:val="ListParagraph"/>
        <w:numPr>
          <w:ilvl w:val="0"/>
          <w:numId w:val="1"/>
        </w:numPr>
        <w:spacing w:after="80"/>
      </w:pPr>
      <w:r>
        <w:rPr>
          <w:sz w:val="22"/>
          <w:szCs w:val="22"/>
        </w:rPr>
        <w:t xml:space="preserve">Step 1: Vendor completes the OptiAgent Vendor Questionnaire (via the Vendor Portal at vendors.optiagent.com)</w:t>
      </w:r>
    </w:p>
    <w:p>
      <w:pPr>
        <w:pStyle w:val="ListParagraph"/>
        <w:numPr>
          <w:ilvl w:val="0"/>
          <w:numId w:val="1"/>
        </w:numPr>
        <w:spacing w:after="80"/>
      </w:pPr>
      <w:r>
        <w:rPr>
          <w:sz w:val="22"/>
          <w:szCs w:val="22"/>
        </w:rPr>
        <w:t xml:space="preserve">Step 2: Procurement reviews the questionnaire for financial stability, sanctions screening, and cyber risk</w:t>
      </w:r>
    </w:p>
    <w:p>
      <w:pPr>
        <w:pStyle w:val="ListParagraph"/>
        <w:numPr>
          <w:ilvl w:val="0"/>
          <w:numId w:val="1"/>
        </w:numPr>
        <w:spacing w:after="80"/>
      </w:pPr>
      <w:r>
        <w:rPr>
          <w:sz w:val="22"/>
          <w:szCs w:val="22"/>
        </w:rPr>
        <w:t xml:space="preserve">Step 3: For vendors accessing Restricted data: IT Security conducts a vendor security assessment (VSA)</w:t>
      </w:r>
    </w:p>
    <w:p>
      <w:pPr>
        <w:pStyle w:val="ListParagraph"/>
        <w:numPr>
          <w:ilvl w:val="0"/>
          <w:numId w:val="1"/>
        </w:numPr>
        <w:spacing w:after="80"/>
      </w:pPr>
      <w:r>
        <w:rPr>
          <w:sz w:val="22"/>
          <w:szCs w:val="22"/>
        </w:rPr>
        <w:t xml:space="preserve">Step 4: For vendors providing professional services: Legal reviews and executes the Master Service Agreement (MSA) and Data Processing Agreement (DPA) where applicable</w:t>
      </w:r>
    </w:p>
    <w:p>
      <w:pPr>
        <w:pStyle w:val="ListParagraph"/>
        <w:numPr>
          <w:ilvl w:val="0"/>
          <w:numId w:val="1"/>
        </w:numPr>
        <w:spacing w:after="80"/>
      </w:pPr>
      <w:r>
        <w:rPr>
          <w:sz w:val="22"/>
          <w:szCs w:val="22"/>
        </w:rPr>
        <w:t xml:space="preserve">Step 5: Finance adds the vendor to the approved vendor list in NetSuite</w:t>
      </w:r>
    </w:p>
    <w:p>
      <w:pPr>
        <w:spacing w:after="120" w:line="276"/>
      </w:pPr>
      <w:r>
        <w:rPr>
          <w:sz w:val="22"/>
          <w:szCs w:val="22"/>
        </w:rPr>
        <w:t xml:space="preserve">Vendors who access OptiAgent's Restricted data (as defined in Company Policy OAT-CP-001 Section 8) are subject to annual security re-assessment. Vendors with access to personal data of EU/UK individuals must have a signed DPA before any data is shared.</w:t>
      </w:r>
    </w:p>
    <w:p>
      <w:pPr>
        <w:pStyle w:val="Heading2"/>
        <w:spacing w:after="150" w:before="300"/>
      </w:pPr>
      <w:r>
        <w:t xml:space="preserve">6.4 Conflicts of Interest in Procurement</w:t>
      </w:r>
    </w:p>
    <w:p>
      <w:pPr>
        <w:spacing w:after="120" w:line="276"/>
      </w:pPr>
      <w:r>
        <w:rPr>
          <w:sz w:val="22"/>
          <w:szCs w:val="22"/>
        </w:rPr>
        <w:t xml:space="preserve">Employees involved in a procurement decision must disclose any personal relationship, financial interest, or prior business connection with any vendor under consideration. The disclosure must be made via the Conflict of Interest form in Workday before the procurement process begins. Employees with a conflict must recuse themselves from the decision. Failure to disclose is a violation of the Anti-Fraud Policy (Section 17).</w:t>
      </w:r>
    </w:p>
    <w:p>
      <w:pPr>
        <w:pStyle w:val="Heading2"/>
        <w:spacing w:after="150" w:before="300"/>
      </w:pPr>
      <w:r>
        <w:t xml:space="preserve">6.5 Software &amp; SaaS Procurement</w:t>
      </w:r>
    </w:p>
    <w:p>
      <w:pPr>
        <w:spacing w:after="120" w:line="276"/>
      </w:pPr>
      <w:r>
        <w:rPr>
          <w:sz w:val="22"/>
          <w:szCs w:val="22"/>
        </w:rPr>
        <w:t xml:space="preserve">All software and SaaS tool purchases require IT Security review before procurement. Employees must not subscribe to SaaS tools using company credit cards or personal cards (to be expensed) without first obtaining IT Security and Finance approval. The IT Security review ensures the tool is compatible with our security posture, SSO integration with Okta, and data classification requirements. See Company Policy Section 2.3.</w:t>
      </w:r>
    </w:p>
    <w:p>
      <w:r>
        <w:br w:type="page"/>
      </w:r>
    </w:p>
    <w:p>
      <w:pPr>
        <w:pStyle w:val="Heading1"/>
        <w:spacing w:after="200" w:before="400"/>
      </w:pPr>
      <w:r>
        <w:t xml:space="preserve">7. Accounts Payable Policy</w:t>
      </w:r>
    </w:p>
    <w:p>
      <w:pPr>
        <w:pStyle w:val="Heading2"/>
        <w:spacing w:after="150" w:before="300"/>
      </w:pPr>
      <w:r>
        <w:t xml:space="preserve">7.1 Invoice Processing</w:t>
      </w:r>
    </w:p>
    <w:p>
      <w:pPr>
        <w:spacing w:after="120" w:line="276"/>
      </w:pPr>
      <w:r>
        <w:rPr>
          <w:sz w:val="22"/>
          <w:szCs w:val="22"/>
        </w:rPr>
        <w:t xml:space="preserve">All vendor invoices must be submitted to ap@optiagent.com or via the vendor portal at vendors.optiagent.com. Invoices submitted directly to employees (rather than AP) must be forwarded to ap@optiagent.com within 2 business days of receipt. Invoices must include:</w:t>
      </w:r>
    </w:p>
    <w:p>
      <w:pPr>
        <w:pStyle w:val="ListParagraph"/>
        <w:numPr>
          <w:ilvl w:val="0"/>
          <w:numId w:val="1"/>
        </w:numPr>
        <w:spacing w:after="80"/>
      </w:pPr>
      <w:r>
        <w:rPr>
          <w:sz w:val="22"/>
          <w:szCs w:val="22"/>
        </w:rPr>
        <w:t xml:space="preserve">OptiAgent Technologies legal entity name and billing address</w:t>
      </w:r>
    </w:p>
    <w:p>
      <w:pPr>
        <w:pStyle w:val="ListParagraph"/>
        <w:numPr>
          <w:ilvl w:val="0"/>
          <w:numId w:val="1"/>
        </w:numPr>
        <w:spacing w:after="80"/>
      </w:pPr>
      <w:r>
        <w:rPr>
          <w:sz w:val="22"/>
          <w:szCs w:val="22"/>
        </w:rPr>
        <w:t xml:space="preserve">Vendor's registered company name, address, and VAT/GST registration number (where applicable)</w:t>
      </w:r>
    </w:p>
    <w:p>
      <w:pPr>
        <w:pStyle w:val="ListParagraph"/>
        <w:numPr>
          <w:ilvl w:val="0"/>
          <w:numId w:val="1"/>
        </w:numPr>
        <w:spacing w:after="80"/>
      </w:pPr>
      <w:r>
        <w:rPr>
          <w:sz w:val="22"/>
          <w:szCs w:val="22"/>
        </w:rPr>
        <w:t xml:space="preserve">Purchase Order (PO) number or pre-approved contract reference</w:t>
      </w:r>
    </w:p>
    <w:p>
      <w:pPr>
        <w:pStyle w:val="ListParagraph"/>
        <w:numPr>
          <w:ilvl w:val="0"/>
          <w:numId w:val="1"/>
        </w:numPr>
        <w:spacing w:after="80"/>
      </w:pPr>
      <w:r>
        <w:rPr>
          <w:sz w:val="22"/>
          <w:szCs w:val="22"/>
        </w:rPr>
        <w:t xml:space="preserve">Clear description of goods or services provided and the period covered</w:t>
      </w:r>
    </w:p>
    <w:p>
      <w:pPr>
        <w:pStyle w:val="ListParagraph"/>
        <w:numPr>
          <w:ilvl w:val="0"/>
          <w:numId w:val="1"/>
        </w:numPr>
        <w:spacing w:after="80"/>
      </w:pPr>
      <w:r>
        <w:rPr>
          <w:sz w:val="22"/>
          <w:szCs w:val="22"/>
        </w:rPr>
        <w:t xml:space="preserve">Invoice number, invoice date, and payment due date</w:t>
      </w:r>
    </w:p>
    <w:p>
      <w:pPr>
        <w:pStyle w:val="ListParagraph"/>
        <w:numPr>
          <w:ilvl w:val="0"/>
          <w:numId w:val="1"/>
        </w:numPr>
        <w:spacing w:after="80"/>
      </w:pPr>
      <w:r>
        <w:rPr>
          <w:sz w:val="22"/>
          <w:szCs w:val="22"/>
        </w:rPr>
        <w:t xml:space="preserve">Bank account details for payment</w:t>
      </w:r>
    </w:p>
    <w:p>
      <w:pPr>
        <w:spacing w:after="120" w:line="276"/>
      </w:pPr>
      <w:r>
        <w:rPr>
          <w:sz w:val="22"/>
          <w:szCs w:val="22"/>
        </w:rPr>
        <w:t xml:space="preserve">Invoices without a valid PO number will be placed on hold and the requesting employee notified. A PO must be raised retroactively or the invoice rejected. Three-way matching (PO → Goods Receipt → Invoice) is required for all purchases above USD 1,000.</w:t>
      </w:r>
    </w:p>
    <w:p>
      <w:pPr>
        <w:pStyle w:val="Heading2"/>
        <w:spacing w:after="150" w:before="300"/>
      </w:pPr>
      <w:r>
        <w:t xml:space="preserve">7.2 Payment Terms &amp;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shd w:fill="1A5276" w:color="1A5276" w:val="clear"/>
          </w:tcPr>
          <w:p>
            <w:pPr>
              <w:spacing w:after="60"/>
            </w:pPr>
            <w:r>
              <w:rPr>
                <w:b/>
                <w:bCs/>
                <w:color w:val="FFFFFF"/>
                <w:sz w:val="20"/>
                <w:szCs w:val="20"/>
              </w:rPr>
              <w:t xml:space="preserve">Vendor Type</w:t>
            </w:r>
          </w:p>
        </w:tc>
        <w:tc>
          <w:tcPr>
            <w:tcW w:type="dxa" w:w="2500"/>
            <w:shd w:fill="1A5276" w:color="1A5276" w:val="clear"/>
          </w:tcPr>
          <w:p>
            <w:pPr>
              <w:spacing w:after="60"/>
            </w:pPr>
            <w:r>
              <w:rPr>
                <w:b/>
                <w:bCs/>
                <w:color w:val="FFFFFF"/>
                <w:sz w:val="20"/>
                <w:szCs w:val="20"/>
              </w:rPr>
              <w:t xml:space="preserve">Standard Payment Terms</w:t>
            </w:r>
          </w:p>
        </w:tc>
        <w:tc>
          <w:tcPr>
            <w:tcW w:type="dxa" w:w="4360"/>
            <w:shd w:fill="1A5276" w:color="1A5276" w:val="clear"/>
          </w:tcPr>
          <w:p>
            <w:pPr>
              <w:spacing w:after="60"/>
            </w:pPr>
            <w:r>
              <w:rPr>
                <w:b/>
                <w:bCs/>
                <w:color w:val="FFFFFF"/>
                <w:sz w:val="20"/>
                <w:szCs w:val="20"/>
              </w:rPr>
              <w:t xml:space="preserve">Preferred Payment Method</w:t>
            </w:r>
          </w:p>
        </w:tc>
      </w:tr>
      <w:tr>
        <w:tc>
          <w:tcPr>
            <w:tcW w:type="dxa" w:w="2500"/>
            <w:shd w:fill="EBF5FB" w:color="EBF5FB" w:val="clear"/>
          </w:tcPr>
          <w:p>
            <w:pPr>
              <w:spacing w:after="60"/>
            </w:pPr>
            <w:r>
              <w:rPr>
                <w:sz w:val="20"/>
                <w:szCs w:val="20"/>
              </w:rPr>
              <w:t xml:space="preserve">Standard vendors</w:t>
            </w:r>
          </w:p>
        </w:tc>
        <w:tc>
          <w:tcPr>
            <w:tcW w:type="dxa" w:w="2500"/>
            <w:shd w:fill="EBF5FB" w:color="EBF5FB" w:val="clear"/>
          </w:tcPr>
          <w:p>
            <w:pPr>
              <w:spacing w:after="60"/>
            </w:pPr>
            <w:r>
              <w:rPr>
                <w:sz w:val="20"/>
                <w:szCs w:val="20"/>
              </w:rPr>
              <w:t xml:space="preserve">Net 30 (30 days from invoice date)</w:t>
            </w:r>
          </w:p>
        </w:tc>
        <w:tc>
          <w:tcPr>
            <w:tcW w:type="dxa" w:w="4360"/>
            <w:shd w:fill="EBF5FB" w:color="EBF5FB" w:val="clear"/>
          </w:tcPr>
          <w:p>
            <w:pPr>
              <w:spacing w:after="60"/>
            </w:pPr>
            <w:r>
              <w:rPr>
                <w:sz w:val="20"/>
                <w:szCs w:val="20"/>
              </w:rPr>
              <w:t xml:space="preserve">ACH / BACS / SEPA / NEFT / PayNow</w:t>
            </w:r>
          </w:p>
        </w:tc>
      </w:tr>
      <w:tr>
        <w:tc>
          <w:tcPr>
            <w:tcW w:type="dxa" w:w="2500"/>
            <w:shd w:fill="FFFFFF" w:color="FFFFFF" w:val="clear"/>
          </w:tcPr>
          <w:p>
            <w:pPr>
              <w:spacing w:after="60"/>
            </w:pPr>
            <w:r>
              <w:rPr>
                <w:sz w:val="20"/>
                <w:szCs w:val="20"/>
              </w:rPr>
              <w:t xml:space="preserve">Strategic / preferred vendors</w:t>
            </w:r>
          </w:p>
        </w:tc>
        <w:tc>
          <w:tcPr>
            <w:tcW w:type="dxa" w:w="2500"/>
            <w:shd w:fill="FFFFFF" w:color="FFFFFF" w:val="clear"/>
          </w:tcPr>
          <w:p>
            <w:pPr>
              <w:spacing w:after="60"/>
            </w:pPr>
            <w:r>
              <w:rPr>
                <w:sz w:val="20"/>
                <w:szCs w:val="20"/>
              </w:rPr>
              <w:t xml:space="preserve">Net 45 (negotiated)</w:t>
            </w:r>
          </w:p>
        </w:tc>
        <w:tc>
          <w:tcPr>
            <w:tcW w:type="dxa" w:w="4360"/>
            <w:shd w:fill="FFFFFF" w:color="FFFFFF" w:val="clear"/>
          </w:tcPr>
          <w:p>
            <w:pPr>
              <w:spacing w:after="60"/>
            </w:pPr>
            <w:r>
              <w:rPr>
                <w:sz w:val="20"/>
                <w:szCs w:val="20"/>
              </w:rPr>
              <w:t xml:space="preserve">ACH / Wire Transfer</w:t>
            </w:r>
          </w:p>
        </w:tc>
      </w:tr>
      <w:tr>
        <w:tc>
          <w:tcPr>
            <w:tcW w:type="dxa" w:w="2500"/>
            <w:shd w:fill="EBF5FB" w:color="EBF5FB" w:val="clear"/>
          </w:tcPr>
          <w:p>
            <w:pPr>
              <w:spacing w:after="60"/>
            </w:pPr>
            <w:r>
              <w:rPr>
                <w:sz w:val="20"/>
                <w:szCs w:val="20"/>
              </w:rPr>
              <w:t xml:space="preserve">Small vendors (&lt; USD 5,000 annual spend)</w:t>
            </w:r>
          </w:p>
        </w:tc>
        <w:tc>
          <w:tcPr>
            <w:tcW w:type="dxa" w:w="2500"/>
            <w:shd w:fill="EBF5FB" w:color="EBF5FB" w:val="clear"/>
          </w:tcPr>
          <w:p>
            <w:pPr>
              <w:spacing w:after="60"/>
            </w:pPr>
            <w:r>
              <w:rPr>
                <w:sz w:val="20"/>
                <w:szCs w:val="20"/>
              </w:rPr>
              <w:t xml:space="preserve">Net 15</w:t>
            </w:r>
          </w:p>
        </w:tc>
        <w:tc>
          <w:tcPr>
            <w:tcW w:type="dxa" w:w="4360"/>
            <w:shd w:fill="EBF5FB" w:color="EBF5FB" w:val="clear"/>
          </w:tcPr>
          <w:p>
            <w:pPr>
              <w:spacing w:after="60"/>
            </w:pPr>
            <w:r>
              <w:rPr>
                <w:sz w:val="20"/>
                <w:szCs w:val="20"/>
              </w:rPr>
              <w:t xml:space="preserve">ACH / local bank transfer</w:t>
            </w:r>
          </w:p>
        </w:tc>
      </w:tr>
      <w:tr>
        <w:tc>
          <w:tcPr>
            <w:tcW w:type="dxa" w:w="2500"/>
            <w:shd w:fill="FFFFFF" w:color="FFFFFF" w:val="clear"/>
          </w:tcPr>
          <w:p>
            <w:pPr>
              <w:spacing w:after="60"/>
            </w:pPr>
            <w:r>
              <w:rPr>
                <w:sz w:val="20"/>
                <w:szCs w:val="20"/>
              </w:rPr>
              <w:t xml:space="preserve">Freelancers and contractors</w:t>
            </w:r>
          </w:p>
        </w:tc>
        <w:tc>
          <w:tcPr>
            <w:tcW w:type="dxa" w:w="2500"/>
            <w:shd w:fill="FFFFFF" w:color="FFFFFF" w:val="clear"/>
          </w:tcPr>
          <w:p>
            <w:pPr>
              <w:spacing w:after="60"/>
            </w:pPr>
            <w:r>
              <w:rPr>
                <w:sz w:val="20"/>
                <w:szCs w:val="20"/>
              </w:rPr>
              <w:t xml:space="preserve">Net 15 per contract terms</w:t>
            </w:r>
          </w:p>
        </w:tc>
        <w:tc>
          <w:tcPr>
            <w:tcW w:type="dxa" w:w="4360"/>
            <w:shd w:fill="FFFFFF" w:color="FFFFFF" w:val="clear"/>
          </w:tcPr>
          <w:p>
            <w:pPr>
              <w:spacing w:after="60"/>
            </w:pPr>
            <w:r>
              <w:rPr>
                <w:sz w:val="20"/>
                <w:szCs w:val="20"/>
              </w:rPr>
              <w:t xml:space="preserve">ACH or local equivalent</w:t>
            </w:r>
          </w:p>
        </w:tc>
      </w:tr>
      <w:tr>
        <w:tc>
          <w:tcPr>
            <w:tcW w:type="dxa" w:w="2500"/>
            <w:shd w:fill="EBF5FB" w:color="EBF5FB" w:val="clear"/>
          </w:tcPr>
          <w:p>
            <w:pPr>
              <w:spacing w:after="60"/>
            </w:pPr>
            <w:r>
              <w:rPr>
                <w:sz w:val="20"/>
                <w:szCs w:val="20"/>
              </w:rPr>
              <w:t xml:space="preserve">International vendors (wire transfer required)</w:t>
            </w:r>
          </w:p>
        </w:tc>
        <w:tc>
          <w:tcPr>
            <w:tcW w:type="dxa" w:w="2500"/>
            <w:shd w:fill="EBF5FB" w:color="EBF5FB" w:val="clear"/>
          </w:tcPr>
          <w:p>
            <w:pPr>
              <w:spacing w:after="60"/>
            </w:pPr>
            <w:r>
              <w:rPr>
                <w:sz w:val="20"/>
                <w:szCs w:val="20"/>
              </w:rPr>
              <w:t xml:space="preserve">Net 30 + 5 days for wire processing</w:t>
            </w:r>
          </w:p>
        </w:tc>
        <w:tc>
          <w:tcPr>
            <w:tcW w:type="dxa" w:w="4360"/>
            <w:shd w:fill="EBF5FB" w:color="EBF5FB" w:val="clear"/>
          </w:tcPr>
          <w:p>
            <w:pPr>
              <w:spacing w:after="60"/>
            </w:pPr>
            <w:r>
              <w:rPr>
                <w:sz w:val="20"/>
                <w:szCs w:val="20"/>
              </w:rPr>
              <w:t xml:space="preserve">International wire; dual approval above USD 50K</w:t>
            </w:r>
          </w:p>
        </w:tc>
      </w:tr>
      <w:tr>
        <w:tc>
          <w:tcPr>
            <w:tcW w:type="dxa" w:w="2500"/>
            <w:shd w:fill="FFFFFF" w:color="FFFFFF" w:val="clear"/>
          </w:tcPr>
          <w:p>
            <w:pPr>
              <w:spacing w:after="60"/>
            </w:pPr>
            <w:r>
              <w:rPr>
                <w:sz w:val="20"/>
                <w:szCs w:val="20"/>
              </w:rPr>
              <w:t xml:space="preserve">Urgent/emergency payments</w:t>
            </w:r>
          </w:p>
        </w:tc>
        <w:tc>
          <w:tcPr>
            <w:tcW w:type="dxa" w:w="2500"/>
            <w:shd w:fill="FFFFFF" w:color="FFFFFF" w:val="clear"/>
          </w:tcPr>
          <w:p>
            <w:pPr>
              <w:spacing w:after="60"/>
            </w:pPr>
            <w:r>
              <w:rPr>
                <w:sz w:val="20"/>
                <w:szCs w:val="20"/>
              </w:rPr>
              <w:t xml:space="preserve">Same day or next day — requires CFO approval</w:t>
            </w:r>
          </w:p>
        </w:tc>
        <w:tc>
          <w:tcPr>
            <w:tcW w:type="dxa" w:w="4360"/>
            <w:shd w:fill="FFFFFF" w:color="FFFFFF" w:val="clear"/>
          </w:tcPr>
          <w:p>
            <w:pPr>
              <w:spacing w:after="60"/>
            </w:pPr>
            <w:r>
              <w:rPr>
                <w:sz w:val="20"/>
                <w:szCs w:val="20"/>
              </w:rPr>
              <w:t xml:space="preserve">Wire transfer only</w:t>
            </w:r>
          </w:p>
        </w:tc>
      </w:tr>
    </w:tbl>
    <w:p>
      <w:pPr>
        <w:spacing w:after="80"/>
      </w:pPr>
      <w:r>
        <w:t xml:space="preserve"/>
      </w:r>
    </w:p>
    <w:p>
      <w:pPr>
        <w:pStyle w:val="Heading2"/>
        <w:spacing w:after="150" w:before="300"/>
      </w:pPr>
      <w:r>
        <w:t xml:space="preserve">7.3 Payment Approval &amp; Controls</w:t>
      </w:r>
    </w:p>
    <w:p>
      <w:pPr>
        <w:spacing w:after="120" w:line="276"/>
      </w:pPr>
      <w:r>
        <w:rPr>
          <w:sz w:val="22"/>
          <w:szCs w:val="22"/>
        </w:rPr>
        <w:t xml:space="preserve">All payments above USD 10,000 require dual approval in NetSuite (the AP Manager and the Controller or above). Payments above USD 50,000 require three approvals (AP Manager + Controller + CFO). No single individual may initiate and approve their own payment request. Bank account change requests from vendors must be verified via a phone call to a known contact at the vendor before the new account details are added to NetSuite.</w:t>
      </w:r>
    </w:p>
    <w:p>
      <w:pPr>
        <w:pStyle w:val="Heading2"/>
        <w:spacing w:after="150" w:before="300"/>
      </w:pPr>
      <w:r>
        <w:t xml:space="preserve">7.4 Preventing Payment Fraud</w:t>
      </w:r>
    </w:p>
    <w:p>
      <w:pPr>
        <w:spacing w:after="120" w:line="276"/>
      </w:pPr>
      <w:r>
        <w:rPr>
          <w:sz w:val="22"/>
          <w:szCs w:val="22"/>
        </w:rPr>
        <w:t xml:space="preserve">Business Email Compromise (BEC) fraud — where attackers impersonate executives or vendors to redirect payments — is a significant risk. Controls:</w:t>
      </w:r>
    </w:p>
    <w:p>
      <w:pPr>
        <w:pStyle w:val="ListParagraph"/>
        <w:numPr>
          <w:ilvl w:val="0"/>
          <w:numId w:val="1"/>
        </w:numPr>
        <w:spacing w:after="80"/>
      </w:pPr>
      <w:r>
        <w:rPr>
          <w:sz w:val="22"/>
          <w:szCs w:val="22"/>
        </w:rPr>
        <w:t xml:space="preserve">Never change a vendor's bank account based solely on an email request — always verify by phone</w:t>
      </w:r>
    </w:p>
    <w:p>
      <w:pPr>
        <w:pStyle w:val="ListParagraph"/>
        <w:numPr>
          <w:ilvl w:val="0"/>
          <w:numId w:val="1"/>
        </w:numPr>
        <w:spacing w:after="80"/>
      </w:pPr>
      <w:r>
        <w:rPr>
          <w:sz w:val="22"/>
          <w:szCs w:val="22"/>
        </w:rPr>
        <w:t xml:space="preserve">If an email from a senior executive requests an urgent wire transfer, call the executive directly before processing</w:t>
      </w:r>
    </w:p>
    <w:p>
      <w:pPr>
        <w:pStyle w:val="ListParagraph"/>
        <w:numPr>
          <w:ilvl w:val="0"/>
          <w:numId w:val="1"/>
        </w:numPr>
        <w:spacing w:after="80"/>
      </w:pPr>
      <w:r>
        <w:rPr>
          <w:sz w:val="22"/>
          <w:szCs w:val="22"/>
        </w:rPr>
        <w:t xml:space="preserve">All new international wire transfer destinations must be verified by Treasury before the first payment</w:t>
      </w:r>
    </w:p>
    <w:p>
      <w:pPr>
        <w:pStyle w:val="ListParagraph"/>
        <w:numPr>
          <w:ilvl w:val="0"/>
          <w:numId w:val="1"/>
        </w:numPr>
        <w:spacing w:after="80"/>
      </w:pPr>
      <w:r>
        <w:rPr>
          <w:sz w:val="22"/>
          <w:szCs w:val="22"/>
        </w:rPr>
        <w:t xml:space="preserve">Any suspected fraud attempt must be reported immediately to security@optiagent.com and finance.ap@optiagent.com</w:t>
      </w:r>
    </w:p>
    <w:p>
      <w:r>
        <w:br w:type="page"/>
      </w:r>
    </w:p>
    <w:p>
      <w:pPr>
        <w:pStyle w:val="Heading1"/>
        <w:spacing w:after="200" w:before="400"/>
      </w:pPr>
      <w:r>
        <w:t xml:space="preserve">8. Accounts Receivable &amp; Revenue Recognition</w:t>
      </w:r>
    </w:p>
    <w:p>
      <w:pPr>
        <w:pStyle w:val="Heading2"/>
        <w:spacing w:after="150" w:before="300"/>
      </w:pPr>
      <w:r>
        <w:t xml:space="preserve">8.1 Revenue Recognition Standard</w:t>
      </w:r>
    </w:p>
    <w:p>
      <w:pPr>
        <w:spacing w:after="120" w:line="276"/>
      </w:pPr>
      <w:r>
        <w:rPr>
          <w:sz w:val="22"/>
          <w:szCs w:val="22"/>
        </w:rPr>
        <w:t xml:space="preserve">OptiAgent Technologies recognizes revenue in accordance with ASC 606 (USA GAAP) and IFRS 15 (for UK and international statutory reporting). Revenue is recognized when — and to the extent that — control of a promised good or service is transferred to the customer. The five-step model applies:</w:t>
      </w:r>
    </w:p>
    <w:p>
      <w:pPr>
        <w:pStyle w:val="ListParagraph"/>
        <w:numPr>
          <w:ilvl w:val="0"/>
          <w:numId w:val="1"/>
        </w:numPr>
        <w:spacing w:after="80"/>
      </w:pPr>
      <w:r>
        <w:rPr>
          <w:sz w:val="22"/>
          <w:szCs w:val="22"/>
        </w:rPr>
        <w:t xml:space="preserve">Step 1: Identify the contract(s) with a customer</w:t>
      </w:r>
    </w:p>
    <w:p>
      <w:pPr>
        <w:pStyle w:val="ListParagraph"/>
        <w:numPr>
          <w:ilvl w:val="0"/>
          <w:numId w:val="1"/>
        </w:numPr>
        <w:spacing w:after="80"/>
      </w:pPr>
      <w:r>
        <w:rPr>
          <w:sz w:val="22"/>
          <w:szCs w:val="22"/>
        </w:rPr>
        <w:t xml:space="preserve">Step 2: Identify the performance obligations in the contract</w:t>
      </w:r>
    </w:p>
    <w:p>
      <w:pPr>
        <w:pStyle w:val="ListParagraph"/>
        <w:numPr>
          <w:ilvl w:val="0"/>
          <w:numId w:val="1"/>
        </w:numPr>
        <w:spacing w:after="80"/>
      </w:pPr>
      <w:r>
        <w:rPr>
          <w:sz w:val="22"/>
          <w:szCs w:val="22"/>
        </w:rPr>
        <w:t xml:space="preserve">Step 3: Determine the transaction price</w:t>
      </w:r>
    </w:p>
    <w:p>
      <w:pPr>
        <w:pStyle w:val="ListParagraph"/>
        <w:numPr>
          <w:ilvl w:val="0"/>
          <w:numId w:val="1"/>
        </w:numPr>
        <w:spacing w:after="80"/>
      </w:pPr>
      <w:r>
        <w:rPr>
          <w:sz w:val="22"/>
          <w:szCs w:val="22"/>
        </w:rPr>
        <w:t xml:space="preserve">Step 4: Allocate the transaction price to performance obligations</w:t>
      </w:r>
    </w:p>
    <w:p>
      <w:pPr>
        <w:pStyle w:val="ListParagraph"/>
        <w:numPr>
          <w:ilvl w:val="0"/>
          <w:numId w:val="1"/>
        </w:numPr>
        <w:spacing w:after="80"/>
      </w:pPr>
      <w:r>
        <w:rPr>
          <w:sz w:val="22"/>
          <w:szCs w:val="22"/>
        </w:rPr>
        <w:t xml:space="preserve">Step 5: Recognize revenue when (or as) each performance obligation is satisfied</w:t>
      </w:r>
    </w:p>
    <w:p>
      <w:pPr>
        <w:spacing w:after="120" w:line="276"/>
      </w:pPr>
      <w:r>
        <w:rPr>
          <w:sz w:val="22"/>
          <w:szCs w:val="22"/>
        </w:rPr>
        <w:t xml:space="preserve">All new or non-standard customer contracts must be reviewed by the Revenue Accounting team before execution to assess the revenue recognition treatment. Non-standard terms (discounts, variable consideration, rights of return, usage-based pricing) require Technical Accounting sign-off.</w:t>
      </w:r>
    </w:p>
    <w:p>
      <w:pPr>
        <w:pStyle w:val="Heading2"/>
        <w:spacing w:after="150" w:before="300"/>
      </w:pPr>
      <w:r>
        <w:t xml:space="preserve">8.2 Invoicing &amp; Collections</w:t>
      </w:r>
    </w:p>
    <w:p>
      <w:pPr>
        <w:spacing w:after="120" w:line="276"/>
      </w:pPr>
      <w:r>
        <w:rPr>
          <w:sz w:val="22"/>
          <w:szCs w:val="22"/>
        </w:rPr>
        <w:t xml:space="preserve">Customer invoicing is performed by the Revenue Operations team in Salesforce CPQ and synced to NetSuite. Standard invoice terms are Net 30 unless otherwise specified in the customer contract. The AR team manages collections and escalates overdue accounts 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c>
          <w:tcPr>
            <w:tcW w:type="dxa" w:w="1600"/>
            <w:shd w:fill="1A5276" w:color="1A5276" w:val="clear"/>
          </w:tcPr>
          <w:p>
            <w:pPr>
              <w:spacing w:after="60"/>
            </w:pPr>
            <w:r>
              <w:rPr>
                <w:b/>
                <w:bCs/>
                <w:color w:val="FFFFFF"/>
                <w:sz w:val="20"/>
                <w:szCs w:val="20"/>
              </w:rPr>
              <w:t xml:space="preserve">Days Past Due</w:t>
            </w:r>
          </w:p>
        </w:tc>
        <w:tc>
          <w:tcPr>
            <w:tcW w:type="dxa" w:w="3600"/>
            <w:shd w:fill="1A5276" w:color="1A5276" w:val="clear"/>
          </w:tcPr>
          <w:p>
            <w:pPr>
              <w:spacing w:after="60"/>
            </w:pPr>
            <w:r>
              <w:rPr>
                <w:b/>
                <w:bCs/>
                <w:color w:val="FFFFFF"/>
                <w:sz w:val="20"/>
                <w:szCs w:val="20"/>
              </w:rPr>
              <w:t xml:space="preserve">Action</w:t>
            </w:r>
          </w:p>
        </w:tc>
        <w:tc>
          <w:tcPr>
            <w:tcW w:type="dxa" w:w="4160"/>
            <w:shd w:fill="1A5276" w:color="1A5276" w:val="clear"/>
          </w:tcPr>
          <w:p>
            <w:pPr>
              <w:spacing w:after="60"/>
            </w:pPr>
            <w:r>
              <w:rPr>
                <w:b/>
                <w:bCs/>
                <w:color w:val="FFFFFF"/>
                <w:sz w:val="20"/>
                <w:szCs w:val="20"/>
              </w:rPr>
              <w:t xml:space="preserve">Escalation</w:t>
            </w:r>
          </w:p>
        </w:tc>
      </w:tr>
      <w:tr>
        <w:tc>
          <w:tcPr>
            <w:tcW w:type="dxa" w:w="1600"/>
            <w:shd w:fill="EBF5FB" w:color="EBF5FB" w:val="clear"/>
          </w:tcPr>
          <w:p>
            <w:pPr>
              <w:spacing w:after="60"/>
            </w:pPr>
            <w:r>
              <w:rPr>
                <w:sz w:val="20"/>
                <w:szCs w:val="20"/>
              </w:rPr>
              <w:t xml:space="preserve">1–30 days</w:t>
            </w:r>
          </w:p>
        </w:tc>
        <w:tc>
          <w:tcPr>
            <w:tcW w:type="dxa" w:w="3600"/>
            <w:shd w:fill="EBF5FB" w:color="EBF5FB" w:val="clear"/>
          </w:tcPr>
          <w:p>
            <w:pPr>
              <w:spacing w:after="60"/>
            </w:pPr>
            <w:r>
              <w:rPr>
                <w:sz w:val="20"/>
                <w:szCs w:val="20"/>
              </w:rPr>
              <w:t xml:space="preserve">Automated payment reminder email (Salesforce)</w:t>
            </w:r>
          </w:p>
        </w:tc>
        <w:tc>
          <w:tcPr>
            <w:tcW w:type="dxa" w:w="4160"/>
            <w:shd w:fill="EBF5FB" w:color="EBF5FB" w:val="clear"/>
          </w:tcPr>
          <w:p>
            <w:pPr>
              <w:spacing w:after="60"/>
            </w:pPr>
            <w:r>
              <w:rPr>
                <w:sz w:val="20"/>
                <w:szCs w:val="20"/>
              </w:rPr>
              <w:t xml:space="preserve">None</w:t>
            </w:r>
          </w:p>
        </w:tc>
      </w:tr>
      <w:tr>
        <w:tc>
          <w:tcPr>
            <w:tcW w:type="dxa" w:w="1600"/>
            <w:shd w:fill="FFFFFF" w:color="FFFFFF" w:val="clear"/>
          </w:tcPr>
          <w:p>
            <w:pPr>
              <w:spacing w:after="60"/>
            </w:pPr>
            <w:r>
              <w:rPr>
                <w:sz w:val="20"/>
                <w:szCs w:val="20"/>
              </w:rPr>
              <w:t xml:space="preserve">31–60 days</w:t>
            </w:r>
          </w:p>
        </w:tc>
        <w:tc>
          <w:tcPr>
            <w:tcW w:type="dxa" w:w="3600"/>
            <w:shd w:fill="FFFFFF" w:color="FFFFFF" w:val="clear"/>
          </w:tcPr>
          <w:p>
            <w:pPr>
              <w:spacing w:after="60"/>
            </w:pPr>
            <w:r>
              <w:rPr>
                <w:sz w:val="20"/>
                <w:szCs w:val="20"/>
              </w:rPr>
              <w:t xml:space="preserve">Personal outreach from AR Analyst + Customer Success Manager</w:t>
            </w:r>
          </w:p>
        </w:tc>
        <w:tc>
          <w:tcPr>
            <w:tcW w:type="dxa" w:w="4160"/>
            <w:shd w:fill="FFFFFF" w:color="FFFFFF" w:val="clear"/>
          </w:tcPr>
          <w:p>
            <w:pPr>
              <w:spacing w:after="60"/>
            </w:pPr>
            <w:r>
              <w:rPr>
                <w:sz w:val="20"/>
                <w:szCs w:val="20"/>
              </w:rPr>
              <w:t xml:space="preserve">AR Manager informed</w:t>
            </w:r>
          </w:p>
        </w:tc>
      </w:tr>
      <w:tr>
        <w:tc>
          <w:tcPr>
            <w:tcW w:type="dxa" w:w="1600"/>
            <w:shd w:fill="EBF5FB" w:color="EBF5FB" w:val="clear"/>
          </w:tcPr>
          <w:p>
            <w:pPr>
              <w:spacing w:after="60"/>
            </w:pPr>
            <w:r>
              <w:rPr>
                <w:sz w:val="20"/>
                <w:szCs w:val="20"/>
              </w:rPr>
              <w:t xml:space="preserve">61–90 days</w:t>
            </w:r>
          </w:p>
        </w:tc>
        <w:tc>
          <w:tcPr>
            <w:tcW w:type="dxa" w:w="3600"/>
            <w:shd w:fill="EBF5FB" w:color="EBF5FB" w:val="clear"/>
          </w:tcPr>
          <w:p>
            <w:pPr>
              <w:spacing w:after="60"/>
            </w:pPr>
            <w:r>
              <w:rPr>
                <w:sz w:val="20"/>
                <w:szCs w:val="20"/>
              </w:rPr>
              <w:t xml:space="preserve">Formal demand letter; credit hold on new orders</w:t>
            </w:r>
          </w:p>
        </w:tc>
        <w:tc>
          <w:tcPr>
            <w:tcW w:type="dxa" w:w="4160"/>
            <w:shd w:fill="EBF5FB" w:color="EBF5FB" w:val="clear"/>
          </w:tcPr>
          <w:p>
            <w:pPr>
              <w:spacing w:after="60"/>
            </w:pPr>
            <w:r>
              <w:rPr>
                <w:sz w:val="20"/>
                <w:szCs w:val="20"/>
              </w:rPr>
              <w:t xml:space="preserve">CFO notified; Legal review begins</w:t>
            </w:r>
          </w:p>
        </w:tc>
      </w:tr>
      <w:tr>
        <w:tc>
          <w:tcPr>
            <w:tcW w:type="dxa" w:w="1600"/>
            <w:shd w:fill="FFFFFF" w:color="FFFFFF" w:val="clear"/>
          </w:tcPr>
          <w:p>
            <w:pPr>
              <w:spacing w:after="60"/>
            </w:pPr>
            <w:r>
              <w:rPr>
                <w:sz w:val="20"/>
                <w:szCs w:val="20"/>
              </w:rPr>
              <w:t xml:space="preserve">91+ days</w:t>
            </w:r>
          </w:p>
        </w:tc>
        <w:tc>
          <w:tcPr>
            <w:tcW w:type="dxa" w:w="3600"/>
            <w:shd w:fill="FFFFFF" w:color="FFFFFF" w:val="clear"/>
          </w:tcPr>
          <w:p>
            <w:pPr>
              <w:spacing w:after="60"/>
            </w:pPr>
            <w:r>
              <w:rPr>
                <w:sz w:val="20"/>
                <w:szCs w:val="20"/>
              </w:rPr>
              <w:t xml:space="preserve">Refer to collections agency or initiate legal proceedings</w:t>
            </w:r>
          </w:p>
        </w:tc>
        <w:tc>
          <w:tcPr>
            <w:tcW w:type="dxa" w:w="4160"/>
            <w:shd w:fill="FFFFFF" w:color="FFFFFF" w:val="clear"/>
          </w:tcPr>
          <w:p>
            <w:pPr>
              <w:spacing w:after="60"/>
            </w:pPr>
            <w:r>
              <w:rPr>
                <w:sz w:val="20"/>
                <w:szCs w:val="20"/>
              </w:rPr>
              <w:t xml:space="preserve">VP Finance + Legal + CFO decision</w:t>
            </w:r>
          </w:p>
        </w:tc>
      </w:tr>
    </w:tbl>
    <w:p>
      <w:pPr>
        <w:spacing w:after="80"/>
      </w:pPr>
      <w:r>
        <w:t xml:space="preserve"/>
      </w:r>
    </w:p>
    <w:p>
      <w:r>
        <w:br w:type="page"/>
      </w:r>
    </w:p>
    <w:p>
      <w:pPr>
        <w:pStyle w:val="Heading1"/>
        <w:spacing w:after="200" w:before="400"/>
      </w:pPr>
      <w:r>
        <w:t xml:space="preserve">9. Cash Management &amp; Treasury Policy</w:t>
      </w:r>
    </w:p>
    <w:p>
      <w:pPr>
        <w:pStyle w:val="Heading2"/>
        <w:spacing w:after="150" w:before="300"/>
      </w:pPr>
      <w:r>
        <w:t xml:space="preserve">9.1 Banking Relationships</w:t>
      </w:r>
    </w:p>
    <w:p>
      <w:pPr>
        <w:spacing w:after="120" w:line="276"/>
      </w:pPr>
      <w:r>
        <w:rPr>
          <w:sz w:val="22"/>
          <w:szCs w:val="22"/>
        </w:rPr>
        <w:t xml:space="preserve">OptiAgent Technologies maintains primary banking relationships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shd w:fill="1A5276" w:color="1A5276" w:val="clear"/>
          </w:tcPr>
          <w:p>
            <w:pPr>
              <w:spacing w:after="60"/>
            </w:pPr>
            <w:r>
              <w:rPr>
                <w:b/>
                <w:bCs/>
                <w:color w:val="FFFFFF"/>
                <w:sz w:val="20"/>
                <w:szCs w:val="20"/>
              </w:rPr>
              <w:t xml:space="preserve">Region</w:t>
            </w:r>
          </w:p>
        </w:tc>
        <w:tc>
          <w:tcPr>
            <w:tcW w:type="dxa" w:w="2200"/>
            <w:shd w:fill="1A5276" w:color="1A5276" w:val="clear"/>
          </w:tcPr>
          <w:p>
            <w:pPr>
              <w:spacing w:after="60"/>
            </w:pPr>
            <w:r>
              <w:rPr>
                <w:b/>
                <w:bCs/>
                <w:color w:val="FFFFFF"/>
                <w:sz w:val="20"/>
                <w:szCs w:val="20"/>
              </w:rPr>
              <w:t xml:space="preserve">Primary Bank</w:t>
            </w:r>
          </w:p>
        </w:tc>
        <w:tc>
          <w:tcPr>
            <w:tcW w:type="dxa" w:w="5760"/>
            <w:shd w:fill="1A5276" w:color="1A5276" w:val="clear"/>
          </w:tcPr>
          <w:p>
            <w:pPr>
              <w:spacing w:after="60"/>
            </w:pPr>
            <w:r>
              <w:rPr>
                <w:b/>
                <w:bCs/>
                <w:color w:val="FFFFFF"/>
                <w:sz w:val="20"/>
                <w:szCs w:val="20"/>
              </w:rPr>
              <w:t xml:space="preserve">Account Type</w:t>
            </w:r>
          </w:p>
        </w:tc>
      </w:tr>
      <w:tr>
        <w:tc>
          <w:tcPr>
            <w:tcW w:type="dxa" w:w="1400"/>
            <w:shd w:fill="EBF5FB" w:color="EBF5FB" w:val="clear"/>
          </w:tcPr>
          <w:p>
            <w:pPr>
              <w:spacing w:after="60"/>
            </w:pPr>
            <w:r>
              <w:rPr>
                <w:sz w:val="20"/>
                <w:szCs w:val="20"/>
              </w:rPr>
              <w:t xml:space="preserve">USA</w:t>
            </w:r>
          </w:p>
        </w:tc>
        <w:tc>
          <w:tcPr>
            <w:tcW w:type="dxa" w:w="2200"/>
            <w:shd w:fill="EBF5FB" w:color="EBF5FB" w:val="clear"/>
          </w:tcPr>
          <w:p>
            <w:pPr>
              <w:spacing w:after="60"/>
            </w:pPr>
            <w:r>
              <w:rPr>
                <w:sz w:val="20"/>
                <w:szCs w:val="20"/>
              </w:rPr>
              <w:t xml:space="preserve">JPMorgan Chase</w:t>
            </w:r>
          </w:p>
        </w:tc>
        <w:tc>
          <w:tcPr>
            <w:tcW w:type="dxa" w:w="5760"/>
            <w:shd w:fill="EBF5FB" w:color="EBF5FB" w:val="clear"/>
          </w:tcPr>
          <w:p>
            <w:pPr>
              <w:spacing w:after="60"/>
            </w:pPr>
            <w:r>
              <w:rPr>
                <w:sz w:val="20"/>
                <w:szCs w:val="20"/>
              </w:rPr>
              <w:t xml:space="preserve">Operating, payroll, and sweep accounts</w:t>
            </w:r>
          </w:p>
        </w:tc>
      </w:tr>
      <w:tr>
        <w:tc>
          <w:tcPr>
            <w:tcW w:type="dxa" w:w="1400"/>
            <w:shd w:fill="FFFFFF" w:color="FFFFFF" w:val="clear"/>
          </w:tcPr>
          <w:p>
            <w:pPr>
              <w:spacing w:after="60"/>
            </w:pPr>
            <w:r>
              <w:rPr>
                <w:sz w:val="20"/>
                <w:szCs w:val="20"/>
              </w:rPr>
              <w:t xml:space="preserve">UK</w:t>
            </w:r>
          </w:p>
        </w:tc>
        <w:tc>
          <w:tcPr>
            <w:tcW w:type="dxa" w:w="2200"/>
            <w:shd w:fill="FFFFFF" w:color="FFFFFF" w:val="clear"/>
          </w:tcPr>
          <w:p>
            <w:pPr>
              <w:spacing w:after="60"/>
            </w:pPr>
            <w:r>
              <w:rPr>
                <w:sz w:val="20"/>
                <w:szCs w:val="20"/>
              </w:rPr>
              <w:t xml:space="preserve">Barclays Bank</w:t>
            </w:r>
          </w:p>
        </w:tc>
        <w:tc>
          <w:tcPr>
            <w:tcW w:type="dxa" w:w="5760"/>
            <w:shd w:fill="FFFFFF" w:color="FFFFFF" w:val="clear"/>
          </w:tcPr>
          <w:p>
            <w:pPr>
              <w:spacing w:after="60"/>
            </w:pPr>
            <w:r>
              <w:rPr>
                <w:sz w:val="20"/>
                <w:szCs w:val="20"/>
              </w:rPr>
              <w:t xml:space="preserve">GBP operating and payroll account</w:t>
            </w:r>
          </w:p>
        </w:tc>
      </w:tr>
      <w:tr>
        <w:tc>
          <w:tcPr>
            <w:tcW w:type="dxa" w:w="1400"/>
            <w:shd w:fill="EBF5FB" w:color="EBF5FB" w:val="clear"/>
          </w:tcPr>
          <w:p>
            <w:pPr>
              <w:spacing w:after="60"/>
            </w:pPr>
            <w:r>
              <w:rPr>
                <w:sz w:val="20"/>
                <w:szCs w:val="20"/>
              </w:rPr>
              <w:t xml:space="preserve">India</w:t>
            </w:r>
          </w:p>
        </w:tc>
        <w:tc>
          <w:tcPr>
            <w:tcW w:type="dxa" w:w="2200"/>
            <w:shd w:fill="EBF5FB" w:color="EBF5FB" w:val="clear"/>
          </w:tcPr>
          <w:p>
            <w:pPr>
              <w:spacing w:after="60"/>
            </w:pPr>
            <w:r>
              <w:rPr>
                <w:sz w:val="20"/>
                <w:szCs w:val="20"/>
              </w:rPr>
              <w:t xml:space="preserve">HDFC Bank</w:t>
            </w:r>
          </w:p>
        </w:tc>
        <w:tc>
          <w:tcPr>
            <w:tcW w:type="dxa" w:w="5760"/>
            <w:shd w:fill="EBF5FB" w:color="EBF5FB" w:val="clear"/>
          </w:tcPr>
          <w:p>
            <w:pPr>
              <w:spacing w:after="60"/>
            </w:pPr>
            <w:r>
              <w:rPr>
                <w:sz w:val="20"/>
                <w:szCs w:val="20"/>
              </w:rPr>
              <w:t xml:space="preserve">INR operating and payroll account; HDFC for EPF/gratuity trust</w:t>
            </w:r>
          </w:p>
        </w:tc>
      </w:tr>
      <w:tr>
        <w:tc>
          <w:tcPr>
            <w:tcW w:type="dxa" w:w="1400"/>
            <w:shd w:fill="FFFFFF" w:color="FFFFFF" w:val="clear"/>
          </w:tcPr>
          <w:p>
            <w:pPr>
              <w:spacing w:after="60"/>
            </w:pPr>
            <w:r>
              <w:rPr>
                <w:sz w:val="20"/>
                <w:szCs w:val="20"/>
              </w:rPr>
              <w:t xml:space="preserve">Germany</w:t>
            </w:r>
          </w:p>
        </w:tc>
        <w:tc>
          <w:tcPr>
            <w:tcW w:type="dxa" w:w="2200"/>
            <w:shd w:fill="FFFFFF" w:color="FFFFFF" w:val="clear"/>
          </w:tcPr>
          <w:p>
            <w:pPr>
              <w:spacing w:after="60"/>
            </w:pPr>
            <w:r>
              <w:rPr>
                <w:sz w:val="20"/>
                <w:szCs w:val="20"/>
              </w:rPr>
              <w:t xml:space="preserve">Deutsche Bank</w:t>
            </w:r>
          </w:p>
        </w:tc>
        <w:tc>
          <w:tcPr>
            <w:tcW w:type="dxa" w:w="5760"/>
            <w:shd w:fill="FFFFFF" w:color="FFFFFF" w:val="clear"/>
          </w:tcPr>
          <w:p>
            <w:pPr>
              <w:spacing w:after="60"/>
            </w:pPr>
            <w:r>
              <w:rPr>
                <w:sz w:val="20"/>
                <w:szCs w:val="20"/>
              </w:rPr>
              <w:t xml:space="preserve">EUR operating and payroll account</w:t>
            </w:r>
          </w:p>
        </w:tc>
      </w:tr>
      <w:tr>
        <w:tc>
          <w:tcPr>
            <w:tcW w:type="dxa" w:w="1400"/>
            <w:shd w:fill="EBF5FB" w:color="EBF5FB" w:val="clear"/>
          </w:tcPr>
          <w:p>
            <w:pPr>
              <w:spacing w:after="60"/>
            </w:pPr>
            <w:r>
              <w:rPr>
                <w:sz w:val="20"/>
                <w:szCs w:val="20"/>
              </w:rPr>
              <w:t xml:space="preserve">Singapore</w:t>
            </w:r>
          </w:p>
        </w:tc>
        <w:tc>
          <w:tcPr>
            <w:tcW w:type="dxa" w:w="2200"/>
            <w:shd w:fill="EBF5FB" w:color="EBF5FB" w:val="clear"/>
          </w:tcPr>
          <w:p>
            <w:pPr>
              <w:spacing w:after="60"/>
            </w:pPr>
            <w:r>
              <w:rPr>
                <w:sz w:val="20"/>
                <w:szCs w:val="20"/>
              </w:rPr>
              <w:t xml:space="preserve">DBS Bank</w:t>
            </w:r>
          </w:p>
        </w:tc>
        <w:tc>
          <w:tcPr>
            <w:tcW w:type="dxa" w:w="5760"/>
            <w:shd w:fill="EBF5FB" w:color="EBF5FB" w:val="clear"/>
          </w:tcPr>
          <w:p>
            <w:pPr>
              <w:spacing w:after="60"/>
            </w:pPr>
            <w:r>
              <w:rPr>
                <w:sz w:val="20"/>
                <w:szCs w:val="20"/>
              </w:rPr>
              <w:t xml:space="preserve">SGD operating account; multi-currency account for APAC</w:t>
            </w:r>
          </w:p>
        </w:tc>
      </w:tr>
      <w:tr>
        <w:tc>
          <w:tcPr>
            <w:tcW w:type="dxa" w:w="1400"/>
            <w:shd w:fill="FFFFFF" w:color="FFFFFF" w:val="clear"/>
          </w:tcPr>
          <w:p>
            <w:pPr>
              <w:spacing w:after="60"/>
            </w:pPr>
            <w:r>
              <w:rPr>
                <w:sz w:val="20"/>
                <w:szCs w:val="20"/>
              </w:rPr>
              <w:t xml:space="preserve">Global (USD sweep)</w:t>
            </w:r>
          </w:p>
        </w:tc>
        <w:tc>
          <w:tcPr>
            <w:tcW w:type="dxa" w:w="2200"/>
            <w:shd w:fill="FFFFFF" w:color="FFFFFF" w:val="clear"/>
          </w:tcPr>
          <w:p>
            <w:pPr>
              <w:spacing w:after="60"/>
            </w:pPr>
            <w:r>
              <w:rPr>
                <w:sz w:val="20"/>
                <w:szCs w:val="20"/>
              </w:rPr>
              <w:t xml:space="preserve">JPMorgan Chase</w:t>
            </w:r>
          </w:p>
        </w:tc>
        <w:tc>
          <w:tcPr>
            <w:tcW w:type="dxa" w:w="5760"/>
            <w:shd w:fill="FFFFFF" w:color="FFFFFF" w:val="clear"/>
          </w:tcPr>
          <w:p>
            <w:pPr>
              <w:spacing w:after="60"/>
            </w:pPr>
            <w:r>
              <w:rPr>
                <w:sz w:val="20"/>
                <w:szCs w:val="20"/>
              </w:rPr>
              <w:t xml:space="preserve">Zero-balance sweep from all subsidiaries to USD concentration account</w:t>
            </w:r>
          </w:p>
        </w:tc>
      </w:tr>
    </w:tbl>
    <w:p>
      <w:pPr>
        <w:spacing w:after="80"/>
      </w:pPr>
      <w:r>
        <w:t xml:space="preserve"/>
      </w:r>
    </w:p>
    <w:p>
      <w:pPr>
        <w:spacing w:after="120" w:line="276"/>
      </w:pPr>
      <w:r>
        <w:rPr>
          <w:sz w:val="22"/>
          <w:szCs w:val="22"/>
        </w:rPr>
        <w:t xml:space="preserve">Opening or closing bank accounts, adding authorized signatories, or changing banking relationships requires CFO + Controller approval and board resolution where required by local law.</w:t>
      </w:r>
    </w:p>
    <w:p>
      <w:pPr>
        <w:pStyle w:val="Heading2"/>
        <w:spacing w:after="150" w:before="300"/>
      </w:pPr>
      <w:r>
        <w:t xml:space="preserve">9.2 Cash Controls</w:t>
      </w:r>
    </w:p>
    <w:p>
      <w:pPr>
        <w:pStyle w:val="ListParagraph"/>
        <w:numPr>
          <w:ilvl w:val="0"/>
          <w:numId w:val="1"/>
        </w:numPr>
        <w:spacing w:after="80"/>
      </w:pPr>
      <w:r>
        <w:rPr>
          <w:sz w:val="22"/>
          <w:szCs w:val="22"/>
        </w:rPr>
        <w:t xml:space="preserve">Petty cash funds must not exceed USD 500 (or local equivalent) at any location</w:t>
      </w:r>
    </w:p>
    <w:p>
      <w:pPr>
        <w:pStyle w:val="ListParagraph"/>
        <w:numPr>
          <w:ilvl w:val="0"/>
          <w:numId w:val="1"/>
        </w:numPr>
        <w:spacing w:after="80"/>
      </w:pPr>
      <w:r>
        <w:rPr>
          <w:sz w:val="22"/>
          <w:szCs w:val="22"/>
        </w:rPr>
        <w:t xml:space="preserve">All petty cash disbursements must be recorded and reconciled monthly</w:t>
      </w:r>
    </w:p>
    <w:p>
      <w:pPr>
        <w:pStyle w:val="ListParagraph"/>
        <w:numPr>
          <w:ilvl w:val="0"/>
          <w:numId w:val="1"/>
        </w:numPr>
        <w:spacing w:after="80"/>
      </w:pPr>
      <w:r>
        <w:rPr>
          <w:sz w:val="22"/>
          <w:szCs w:val="22"/>
        </w:rPr>
        <w:t xml:space="preserve">Physical cash handling is restricted to Facilities and Finance staff only</w:t>
      </w:r>
    </w:p>
    <w:p>
      <w:pPr>
        <w:pStyle w:val="ListParagraph"/>
        <w:numPr>
          <w:ilvl w:val="0"/>
          <w:numId w:val="1"/>
        </w:numPr>
        <w:spacing w:after="80"/>
      </w:pPr>
      <w:r>
        <w:rPr>
          <w:sz w:val="22"/>
          <w:szCs w:val="22"/>
        </w:rPr>
        <w:t xml:space="preserve">No employee may maintain a company bank account without Finance authorization</w:t>
      </w:r>
    </w:p>
    <w:p>
      <w:pPr>
        <w:pStyle w:val="ListParagraph"/>
        <w:numPr>
          <w:ilvl w:val="0"/>
          <w:numId w:val="1"/>
        </w:numPr>
        <w:spacing w:after="80"/>
      </w:pPr>
      <w:r>
        <w:rPr>
          <w:sz w:val="22"/>
          <w:szCs w:val="22"/>
        </w:rPr>
        <w:t xml:space="preserve">Foreign exchange transactions above USD 10,000 must be approved by Treasury</w:t>
      </w:r>
    </w:p>
    <w:p>
      <w:pPr>
        <w:pStyle w:val="Heading2"/>
        <w:spacing w:after="150" w:before="300"/>
      </w:pPr>
      <w:r>
        <w:t xml:space="preserve">9.3 Foreign Exchange (FX) Policy</w:t>
      </w:r>
    </w:p>
    <w:p>
      <w:pPr>
        <w:spacing w:after="120" w:line="276"/>
      </w:pPr>
      <w:r>
        <w:rPr>
          <w:sz w:val="22"/>
          <w:szCs w:val="22"/>
        </w:rPr>
        <w:t xml:space="preserve">OptiAgent's functional currency is USD. Subsidiaries in the UK (GBP), India (INR), Germany (EUR), and Singapore (SGD) report in local currency and are consolidated at the average and closing rates per ASC 830 / IAS 21. Material FX exposures (e.g., large GBP or EUR denominated contracts) may be hedged using forward contracts subject to CFO approval. Speculative FX trading is strictly prohibited.</w:t>
      </w:r>
    </w:p>
    <w:p>
      <w:r>
        <w:br w:type="page"/>
      </w:r>
    </w:p>
    <w:p>
      <w:pPr>
        <w:pStyle w:val="Heading1"/>
        <w:spacing w:after="200" w:before="400"/>
      </w:pPr>
      <w:r>
        <w:t xml:space="preserve">10. Capital Expenditure (CapEx) Policy</w:t>
      </w:r>
    </w:p>
    <w:p>
      <w:pPr>
        <w:pStyle w:val="Heading2"/>
        <w:spacing w:after="150" w:before="300"/>
      </w:pPr>
      <w:r>
        <w:t xml:space="preserve">10.1 Definition of CapEx</w:t>
      </w:r>
    </w:p>
    <w:p>
      <w:pPr>
        <w:spacing w:after="120" w:line="276"/>
      </w:pPr>
      <w:r>
        <w:rPr>
          <w:sz w:val="22"/>
          <w:szCs w:val="22"/>
        </w:rPr>
        <w:t xml:space="preserve">Capital expenditure includes any purchase of a tangible or intangible asset with a useful life of more than 12 months and a cost above the capitalization threshold of USD 2,500 (or local equivalent). Items below USD 2,500 are expensed immediately as operating expenditure (OpEx). Examples of CapEx:</w:t>
      </w:r>
    </w:p>
    <w:p>
      <w:pPr>
        <w:pStyle w:val="ListParagraph"/>
        <w:numPr>
          <w:ilvl w:val="0"/>
          <w:numId w:val="1"/>
        </w:numPr>
        <w:spacing w:after="80"/>
      </w:pPr>
      <w:r>
        <w:rPr>
          <w:sz w:val="22"/>
          <w:szCs w:val="22"/>
        </w:rPr>
        <w:t xml:space="preserve">Computer hardware, servers, and networking equipment</w:t>
      </w:r>
    </w:p>
    <w:p>
      <w:pPr>
        <w:pStyle w:val="ListParagraph"/>
        <w:numPr>
          <w:ilvl w:val="0"/>
          <w:numId w:val="1"/>
        </w:numPr>
        <w:spacing w:after="80"/>
      </w:pPr>
      <w:r>
        <w:rPr>
          <w:sz w:val="22"/>
          <w:szCs w:val="22"/>
        </w:rPr>
        <w:t xml:space="preserve">Office furniture and fit-out above USD 2,500</w:t>
      </w:r>
    </w:p>
    <w:p>
      <w:pPr>
        <w:pStyle w:val="ListParagraph"/>
        <w:numPr>
          <w:ilvl w:val="0"/>
          <w:numId w:val="1"/>
        </w:numPr>
        <w:spacing w:after="80"/>
      </w:pPr>
      <w:r>
        <w:rPr>
          <w:sz w:val="22"/>
          <w:szCs w:val="22"/>
        </w:rPr>
        <w:t xml:space="preserve">Internally developed software (capitalized development costs per ASC 350-40 / IAS 38)</w:t>
      </w:r>
    </w:p>
    <w:p>
      <w:pPr>
        <w:pStyle w:val="ListParagraph"/>
        <w:numPr>
          <w:ilvl w:val="0"/>
          <w:numId w:val="1"/>
        </w:numPr>
        <w:spacing w:after="80"/>
      </w:pPr>
      <w:r>
        <w:rPr>
          <w:sz w:val="22"/>
          <w:szCs w:val="22"/>
        </w:rPr>
        <w:t xml:space="preserve">Leasehold improvements</w:t>
      </w:r>
    </w:p>
    <w:p>
      <w:pPr>
        <w:pStyle w:val="ListParagraph"/>
        <w:numPr>
          <w:ilvl w:val="0"/>
          <w:numId w:val="1"/>
        </w:numPr>
        <w:spacing w:after="80"/>
      </w:pPr>
      <w:r>
        <w:rPr>
          <w:sz w:val="22"/>
          <w:szCs w:val="22"/>
        </w:rPr>
        <w:t xml:space="preserve">Acquired intellectual property and patents</w:t>
      </w:r>
    </w:p>
    <w:p>
      <w:pPr>
        <w:pStyle w:val="Heading2"/>
        <w:spacing w:after="150" w:before="300"/>
      </w:pPr>
      <w:r>
        <w:t xml:space="preserve">10.2 CapEx Approval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shd w:fill="1A5276" w:color="1A5276" w:val="clear"/>
          </w:tcPr>
          <w:p>
            <w:pPr>
              <w:spacing w:after="60"/>
            </w:pPr>
            <w:r>
              <w:rPr>
                <w:b/>
                <w:bCs/>
                <w:color w:val="FFFFFF"/>
                <w:sz w:val="20"/>
                <w:szCs w:val="20"/>
              </w:rPr>
              <w:t xml:space="preserve">CapEx Value</w:t>
            </w:r>
          </w:p>
        </w:tc>
        <w:tc>
          <w:tcPr>
            <w:tcW w:type="dxa" w:w="2800"/>
            <w:shd w:fill="1A5276" w:color="1A5276" w:val="clear"/>
          </w:tcPr>
          <w:p>
            <w:pPr>
              <w:spacing w:after="60"/>
            </w:pPr>
            <w:r>
              <w:rPr>
                <w:b/>
                <w:bCs/>
                <w:color w:val="FFFFFF"/>
                <w:sz w:val="20"/>
                <w:szCs w:val="20"/>
              </w:rPr>
              <w:t xml:space="preserve">Approval Required</w:t>
            </w:r>
          </w:p>
        </w:tc>
        <w:tc>
          <w:tcPr>
            <w:tcW w:type="dxa" w:w="4360"/>
            <w:shd w:fill="1A5276" w:color="1A5276" w:val="clear"/>
          </w:tcPr>
          <w:p>
            <w:pPr>
              <w:spacing w:after="60"/>
            </w:pPr>
            <w:r>
              <w:rPr>
                <w:b/>
                <w:bCs/>
                <w:color w:val="FFFFFF"/>
                <w:sz w:val="20"/>
                <w:szCs w:val="20"/>
              </w:rPr>
              <w:t xml:space="preserve">Form</w:t>
            </w:r>
          </w:p>
        </w:tc>
      </w:tr>
      <w:tr>
        <w:tc>
          <w:tcPr>
            <w:tcW w:type="dxa" w:w="2200"/>
            <w:shd w:fill="EBF5FB" w:color="EBF5FB" w:val="clear"/>
          </w:tcPr>
          <w:p>
            <w:pPr>
              <w:spacing w:after="60"/>
            </w:pPr>
            <w:r>
              <w:rPr>
                <w:sz w:val="20"/>
                <w:szCs w:val="20"/>
              </w:rPr>
              <w:t xml:space="preserve">USD 2,500 – USD 25,000</w:t>
            </w:r>
          </w:p>
        </w:tc>
        <w:tc>
          <w:tcPr>
            <w:tcW w:type="dxa" w:w="2800"/>
            <w:shd w:fill="EBF5FB" w:color="EBF5FB" w:val="clear"/>
          </w:tcPr>
          <w:p>
            <w:pPr>
              <w:spacing w:after="60"/>
            </w:pPr>
            <w:r>
              <w:rPr>
                <w:sz w:val="20"/>
                <w:szCs w:val="20"/>
              </w:rPr>
              <w:t xml:space="preserve">Manager + Finance (Controller)</w:t>
            </w:r>
          </w:p>
        </w:tc>
        <w:tc>
          <w:tcPr>
            <w:tcW w:type="dxa" w:w="4360"/>
            <w:shd w:fill="EBF5FB" w:color="EBF5FB" w:val="clear"/>
          </w:tcPr>
          <w:p>
            <w:pPr>
              <w:spacing w:after="60"/>
            </w:pPr>
            <w:r>
              <w:rPr>
                <w:sz w:val="20"/>
                <w:szCs w:val="20"/>
              </w:rPr>
              <w:t xml:space="preserve">CapEx Request Form in NetSuite</w:t>
            </w:r>
          </w:p>
        </w:tc>
      </w:tr>
      <w:tr>
        <w:tc>
          <w:tcPr>
            <w:tcW w:type="dxa" w:w="2200"/>
            <w:shd w:fill="FFFFFF" w:color="FFFFFF" w:val="clear"/>
          </w:tcPr>
          <w:p>
            <w:pPr>
              <w:spacing w:after="60"/>
            </w:pPr>
            <w:r>
              <w:rPr>
                <w:sz w:val="20"/>
                <w:szCs w:val="20"/>
              </w:rPr>
              <w:t xml:space="preserve">USD 25,001 – USD 100,000</w:t>
            </w:r>
          </w:p>
        </w:tc>
        <w:tc>
          <w:tcPr>
            <w:tcW w:type="dxa" w:w="2800"/>
            <w:shd w:fill="FFFFFF" w:color="FFFFFF" w:val="clear"/>
          </w:tcPr>
          <w:p>
            <w:pPr>
              <w:spacing w:after="60"/>
            </w:pPr>
            <w:r>
              <w:rPr>
                <w:sz w:val="20"/>
                <w:szCs w:val="20"/>
              </w:rPr>
              <w:t xml:space="preserve">Director + CFO</w:t>
            </w:r>
          </w:p>
        </w:tc>
        <w:tc>
          <w:tcPr>
            <w:tcW w:type="dxa" w:w="4360"/>
            <w:shd w:fill="FFFFFF" w:color="FFFFFF" w:val="clear"/>
          </w:tcPr>
          <w:p>
            <w:pPr>
              <w:spacing w:after="60"/>
            </w:pPr>
            <w:r>
              <w:rPr>
                <w:sz w:val="20"/>
                <w:szCs w:val="20"/>
              </w:rPr>
              <w:t xml:space="preserve">CapEx Request Form + business case</w:t>
            </w:r>
          </w:p>
        </w:tc>
      </w:tr>
      <w:tr>
        <w:tc>
          <w:tcPr>
            <w:tcW w:type="dxa" w:w="2200"/>
            <w:shd w:fill="EBF5FB" w:color="EBF5FB" w:val="clear"/>
          </w:tcPr>
          <w:p>
            <w:pPr>
              <w:spacing w:after="60"/>
            </w:pPr>
            <w:r>
              <w:rPr>
                <w:sz w:val="20"/>
                <w:szCs w:val="20"/>
              </w:rPr>
              <w:t xml:space="preserve">USD 100,001 – USD 500,000</w:t>
            </w:r>
          </w:p>
        </w:tc>
        <w:tc>
          <w:tcPr>
            <w:tcW w:type="dxa" w:w="2800"/>
            <w:shd w:fill="EBF5FB" w:color="EBF5FB" w:val="clear"/>
          </w:tcPr>
          <w:p>
            <w:pPr>
              <w:spacing w:after="60"/>
            </w:pPr>
            <w:r>
              <w:rPr>
                <w:sz w:val="20"/>
                <w:szCs w:val="20"/>
              </w:rPr>
              <w:t xml:space="preserve">VP + CFO + CEO</w:t>
            </w:r>
          </w:p>
        </w:tc>
        <w:tc>
          <w:tcPr>
            <w:tcW w:type="dxa" w:w="4360"/>
            <w:shd w:fill="EBF5FB" w:color="EBF5FB" w:val="clear"/>
          </w:tcPr>
          <w:p>
            <w:pPr>
              <w:spacing w:after="60"/>
            </w:pPr>
            <w:r>
              <w:rPr>
                <w:sz w:val="20"/>
                <w:szCs w:val="20"/>
              </w:rPr>
              <w:t xml:space="preserve">CapEx Request Form + full business case + ROI analysis</w:t>
            </w:r>
          </w:p>
        </w:tc>
      </w:tr>
      <w:tr>
        <w:tc>
          <w:tcPr>
            <w:tcW w:type="dxa" w:w="2200"/>
            <w:shd w:fill="FFFFFF" w:color="FFFFFF" w:val="clear"/>
          </w:tcPr>
          <w:p>
            <w:pPr>
              <w:spacing w:after="60"/>
            </w:pPr>
            <w:r>
              <w:rPr>
                <w:sz w:val="20"/>
                <w:szCs w:val="20"/>
              </w:rPr>
              <w:t xml:space="preserve">Above USD 500,000</w:t>
            </w:r>
          </w:p>
        </w:tc>
        <w:tc>
          <w:tcPr>
            <w:tcW w:type="dxa" w:w="2800"/>
            <w:shd w:fill="FFFFFF" w:color="FFFFFF" w:val="clear"/>
          </w:tcPr>
          <w:p>
            <w:pPr>
              <w:spacing w:after="60"/>
            </w:pPr>
            <w:r>
              <w:rPr>
                <w:sz w:val="20"/>
                <w:szCs w:val="20"/>
              </w:rPr>
              <w:t xml:space="preserve">CEO + Board approval</w:t>
            </w:r>
          </w:p>
        </w:tc>
        <w:tc>
          <w:tcPr>
            <w:tcW w:type="dxa" w:w="4360"/>
            <w:shd w:fill="FFFFFF" w:color="FFFFFF" w:val="clear"/>
          </w:tcPr>
          <w:p>
            <w:pPr>
              <w:spacing w:after="60"/>
            </w:pPr>
            <w:r>
              <w:rPr>
                <w:sz w:val="20"/>
                <w:szCs w:val="20"/>
              </w:rPr>
              <w:t xml:space="preserve">Board paper required</w:t>
            </w:r>
          </w:p>
        </w:tc>
      </w:tr>
    </w:tbl>
    <w:p>
      <w:pPr>
        <w:spacing w:after="80"/>
      </w:pPr>
      <w:r>
        <w:t xml:space="preserve"/>
      </w:r>
    </w:p>
    <w:p>
      <w:pPr>
        <w:pStyle w:val="Heading2"/>
        <w:spacing w:after="150" w:before="300"/>
      </w:pPr>
      <w:r>
        <w:t xml:space="preserve">10.3 Capitalized Software Development Costs</w:t>
      </w:r>
    </w:p>
    <w:p>
      <w:pPr>
        <w:spacing w:after="120" w:line="276"/>
      </w:pPr>
      <w:r>
        <w:rPr>
          <w:sz w:val="22"/>
          <w:szCs w:val="22"/>
        </w:rPr>
        <w:t xml:space="preserve">Internal software development costs are capitalized during the application development stage per ASC 350-40. Preliminary project stage and post-implementation/operation stage costs are expensed. Engineering managers must tag development projects in Jira with the correct accounting phase (Preliminary, Development, Operation) to enable accurate cost capitalization. Finance will work with Engineering to identify capitalizable vs. expensable activities quarterly.</w:t>
      </w:r>
    </w:p>
    <w:p>
      <w:r>
        <w:br w:type="page"/>
      </w:r>
    </w:p>
    <w:p>
      <w:pPr>
        <w:pStyle w:val="Heading1"/>
        <w:spacing w:after="200" w:before="400"/>
      </w:pPr>
      <w:r>
        <w:t xml:space="preserve">11. Fixed Asset Management</w:t>
      </w:r>
    </w:p>
    <w:p>
      <w:pPr>
        <w:pStyle w:val="Heading2"/>
        <w:spacing w:after="150" w:before="300"/>
      </w:pPr>
      <w:r>
        <w:t xml:space="preserve">11.1 Asset Register</w:t>
      </w:r>
    </w:p>
    <w:p>
      <w:pPr>
        <w:spacing w:after="120" w:line="276"/>
      </w:pPr>
      <w:r>
        <w:rPr>
          <w:sz w:val="22"/>
          <w:szCs w:val="22"/>
        </w:rPr>
        <w:t xml:space="preserve">All capitalized assets are recorded in the Fixed Asset Register maintained in NetSuite. The IT Asset Register (maintained in ServiceNow) tracks all IT hardware regardless of capitalization status. The two systems are reconciled quarterly by Finance and IT Operations.</w:t>
      </w:r>
    </w:p>
    <w:p>
      <w:pPr>
        <w:pStyle w:val="Heading2"/>
        <w:spacing w:after="150" w:before="300"/>
      </w:pPr>
      <w:r>
        <w:t xml:space="preserve">11.2 Depreciation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2560"/>
      </w:tblGrid>
      <w:tr>
        <w:tc>
          <w:tcPr>
            <w:tcW w:type="dxa" w:w="2800"/>
            <w:shd w:fill="1A5276" w:color="1A5276" w:val="clear"/>
          </w:tcPr>
          <w:p>
            <w:pPr>
              <w:spacing w:after="60"/>
            </w:pPr>
            <w:r>
              <w:rPr>
                <w:b/>
                <w:bCs/>
                <w:color w:val="FFFFFF"/>
                <w:sz w:val="20"/>
                <w:szCs w:val="20"/>
              </w:rPr>
              <w:t xml:space="preserve">Asset Class</w:t>
            </w:r>
          </w:p>
        </w:tc>
        <w:tc>
          <w:tcPr>
            <w:tcW w:type="dxa" w:w="1800"/>
            <w:shd w:fill="1A5276" w:color="1A5276" w:val="clear"/>
          </w:tcPr>
          <w:p>
            <w:pPr>
              <w:spacing w:after="60"/>
            </w:pPr>
            <w:r>
              <w:rPr>
                <w:b/>
                <w:bCs/>
                <w:color w:val="FFFFFF"/>
                <w:sz w:val="20"/>
                <w:szCs w:val="20"/>
              </w:rPr>
              <w:t xml:space="preserve">Useful Life</w:t>
            </w:r>
          </w:p>
        </w:tc>
        <w:tc>
          <w:tcPr>
            <w:tcW w:type="dxa" w:w="2200"/>
            <w:shd w:fill="1A5276" w:color="1A5276" w:val="clear"/>
          </w:tcPr>
          <w:p>
            <w:pPr>
              <w:spacing w:after="60"/>
            </w:pPr>
            <w:r>
              <w:rPr>
                <w:b/>
                <w:bCs/>
                <w:color w:val="FFFFFF"/>
                <w:sz w:val="20"/>
                <w:szCs w:val="20"/>
              </w:rPr>
              <w:t xml:space="preserve">Depreciation Method</w:t>
            </w:r>
          </w:p>
        </w:tc>
        <w:tc>
          <w:tcPr>
            <w:tcW w:type="dxa" w:w="2560"/>
            <w:shd w:fill="1A5276" w:color="1A5276" w:val="clear"/>
          </w:tcPr>
          <w:p>
            <w:pPr>
              <w:spacing w:after="60"/>
            </w:pPr>
            <w:r>
              <w:rPr>
                <w:b/>
                <w:bCs/>
                <w:color w:val="FFFFFF"/>
                <w:sz w:val="20"/>
                <w:szCs w:val="20"/>
              </w:rPr>
              <w:t xml:space="preserve">Salvage Value</w:t>
            </w:r>
          </w:p>
        </w:tc>
      </w:tr>
      <w:tr>
        <w:tc>
          <w:tcPr>
            <w:tcW w:type="dxa" w:w="2800"/>
            <w:shd w:fill="EBF5FB" w:color="EBF5FB" w:val="clear"/>
          </w:tcPr>
          <w:p>
            <w:pPr>
              <w:spacing w:after="60"/>
            </w:pPr>
            <w:r>
              <w:rPr>
                <w:sz w:val="20"/>
                <w:szCs w:val="20"/>
              </w:rPr>
              <w:t xml:space="preserve">Computer hardware (laptops, servers, workstations)</w:t>
            </w:r>
          </w:p>
        </w:tc>
        <w:tc>
          <w:tcPr>
            <w:tcW w:type="dxa" w:w="1800"/>
            <w:shd w:fill="EBF5FB" w:color="EBF5FB" w:val="clear"/>
          </w:tcPr>
          <w:p>
            <w:pPr>
              <w:spacing w:after="60"/>
            </w:pPr>
            <w:r>
              <w:rPr>
                <w:sz w:val="20"/>
                <w:szCs w:val="20"/>
              </w:rPr>
              <w:t xml:space="preserve">3 years</w:t>
            </w:r>
          </w:p>
        </w:tc>
        <w:tc>
          <w:tcPr>
            <w:tcW w:type="dxa" w:w="2200"/>
            <w:shd w:fill="EBF5FB" w:color="EBF5FB" w:val="clear"/>
          </w:tcPr>
          <w:p>
            <w:pPr>
              <w:spacing w:after="60"/>
            </w:pPr>
            <w:r>
              <w:rPr>
                <w:sz w:val="20"/>
                <w:szCs w:val="20"/>
              </w:rPr>
              <w:t xml:space="preserve">Straight-line</w:t>
            </w:r>
          </w:p>
        </w:tc>
        <w:tc>
          <w:tcPr>
            <w:tcW w:type="dxa" w:w="2560"/>
            <w:shd w:fill="EBF5FB" w:color="EBF5FB" w:val="clear"/>
          </w:tcPr>
          <w:p>
            <w:pPr>
              <w:spacing w:after="60"/>
            </w:pPr>
            <w:r>
              <w:rPr>
                <w:sz w:val="20"/>
                <w:szCs w:val="20"/>
              </w:rPr>
              <w:t xml:space="preserve">USD 0</w:t>
            </w:r>
          </w:p>
        </w:tc>
      </w:tr>
      <w:tr>
        <w:tc>
          <w:tcPr>
            <w:tcW w:type="dxa" w:w="2800"/>
            <w:shd w:fill="FFFFFF" w:color="FFFFFF" w:val="clear"/>
          </w:tcPr>
          <w:p>
            <w:pPr>
              <w:spacing w:after="60"/>
            </w:pPr>
            <w:r>
              <w:rPr>
                <w:sz w:val="20"/>
                <w:szCs w:val="20"/>
              </w:rPr>
              <w:t xml:space="preserve">Network infrastructure</w:t>
            </w:r>
          </w:p>
        </w:tc>
        <w:tc>
          <w:tcPr>
            <w:tcW w:type="dxa" w:w="1800"/>
            <w:shd w:fill="FFFFFF" w:color="FFFFFF" w:val="clear"/>
          </w:tcPr>
          <w:p>
            <w:pPr>
              <w:spacing w:after="60"/>
            </w:pPr>
            <w:r>
              <w:rPr>
                <w:sz w:val="20"/>
                <w:szCs w:val="20"/>
              </w:rPr>
              <w:t xml:space="preserve">5 years</w:t>
            </w:r>
          </w:p>
        </w:tc>
        <w:tc>
          <w:tcPr>
            <w:tcW w:type="dxa" w:w="2200"/>
            <w:shd w:fill="FFFFFF" w:color="FFFFFF" w:val="clear"/>
          </w:tcPr>
          <w:p>
            <w:pPr>
              <w:spacing w:after="60"/>
            </w:pPr>
            <w:r>
              <w:rPr>
                <w:sz w:val="20"/>
                <w:szCs w:val="20"/>
              </w:rPr>
              <w:t xml:space="preserve">Straight-line</w:t>
            </w:r>
          </w:p>
        </w:tc>
        <w:tc>
          <w:tcPr>
            <w:tcW w:type="dxa" w:w="2560"/>
            <w:shd w:fill="FFFFFF" w:color="FFFFFF" w:val="clear"/>
          </w:tcPr>
          <w:p>
            <w:pPr>
              <w:spacing w:after="60"/>
            </w:pPr>
            <w:r>
              <w:rPr>
                <w:sz w:val="20"/>
                <w:szCs w:val="20"/>
              </w:rPr>
              <w:t xml:space="preserve">5%</w:t>
            </w:r>
          </w:p>
        </w:tc>
      </w:tr>
      <w:tr>
        <w:tc>
          <w:tcPr>
            <w:tcW w:type="dxa" w:w="2800"/>
            <w:shd w:fill="EBF5FB" w:color="EBF5FB" w:val="clear"/>
          </w:tcPr>
          <w:p>
            <w:pPr>
              <w:spacing w:after="60"/>
            </w:pPr>
            <w:r>
              <w:rPr>
                <w:sz w:val="20"/>
                <w:szCs w:val="20"/>
              </w:rPr>
              <w:t xml:space="preserve">Office furniture</w:t>
            </w:r>
          </w:p>
        </w:tc>
        <w:tc>
          <w:tcPr>
            <w:tcW w:type="dxa" w:w="1800"/>
            <w:shd w:fill="EBF5FB" w:color="EBF5FB" w:val="clear"/>
          </w:tcPr>
          <w:p>
            <w:pPr>
              <w:spacing w:after="60"/>
            </w:pPr>
            <w:r>
              <w:rPr>
                <w:sz w:val="20"/>
                <w:szCs w:val="20"/>
              </w:rPr>
              <w:t xml:space="preserve">7 years</w:t>
            </w:r>
          </w:p>
        </w:tc>
        <w:tc>
          <w:tcPr>
            <w:tcW w:type="dxa" w:w="2200"/>
            <w:shd w:fill="EBF5FB" w:color="EBF5FB" w:val="clear"/>
          </w:tcPr>
          <w:p>
            <w:pPr>
              <w:spacing w:after="60"/>
            </w:pPr>
            <w:r>
              <w:rPr>
                <w:sz w:val="20"/>
                <w:szCs w:val="20"/>
              </w:rPr>
              <w:t xml:space="preserve">Straight-line</w:t>
            </w:r>
          </w:p>
        </w:tc>
        <w:tc>
          <w:tcPr>
            <w:tcW w:type="dxa" w:w="2560"/>
            <w:shd w:fill="EBF5FB" w:color="EBF5FB" w:val="clear"/>
          </w:tcPr>
          <w:p>
            <w:pPr>
              <w:spacing w:after="60"/>
            </w:pPr>
            <w:r>
              <w:rPr>
                <w:sz w:val="20"/>
                <w:szCs w:val="20"/>
              </w:rPr>
              <w:t xml:space="preserve">0%</w:t>
            </w:r>
          </w:p>
        </w:tc>
      </w:tr>
      <w:tr>
        <w:tc>
          <w:tcPr>
            <w:tcW w:type="dxa" w:w="2800"/>
            <w:shd w:fill="FFFFFF" w:color="FFFFFF" w:val="clear"/>
          </w:tcPr>
          <w:p>
            <w:pPr>
              <w:spacing w:after="60"/>
            </w:pPr>
            <w:r>
              <w:rPr>
                <w:sz w:val="20"/>
                <w:szCs w:val="20"/>
              </w:rPr>
              <w:t xml:space="preserve">Leasehold improvements</w:t>
            </w:r>
          </w:p>
        </w:tc>
        <w:tc>
          <w:tcPr>
            <w:tcW w:type="dxa" w:w="1800"/>
            <w:shd w:fill="FFFFFF" w:color="FFFFFF" w:val="clear"/>
          </w:tcPr>
          <w:p>
            <w:pPr>
              <w:spacing w:after="60"/>
            </w:pPr>
            <w:r>
              <w:rPr>
                <w:sz w:val="20"/>
                <w:szCs w:val="20"/>
              </w:rPr>
              <w:t xml:space="preserve">Shorter of lease term or useful life</w:t>
            </w:r>
          </w:p>
        </w:tc>
        <w:tc>
          <w:tcPr>
            <w:tcW w:type="dxa" w:w="2200"/>
            <w:shd w:fill="FFFFFF" w:color="FFFFFF" w:val="clear"/>
          </w:tcPr>
          <w:p>
            <w:pPr>
              <w:spacing w:after="60"/>
            </w:pPr>
            <w:r>
              <w:rPr>
                <w:sz w:val="20"/>
                <w:szCs w:val="20"/>
              </w:rPr>
              <w:t xml:space="preserve">Straight-line</w:t>
            </w:r>
          </w:p>
        </w:tc>
        <w:tc>
          <w:tcPr>
            <w:tcW w:type="dxa" w:w="2560"/>
            <w:shd w:fill="FFFFFF" w:color="FFFFFF" w:val="clear"/>
          </w:tcPr>
          <w:p>
            <w:pPr>
              <w:spacing w:after="60"/>
            </w:pPr>
            <w:r>
              <w:rPr>
                <w:sz w:val="20"/>
                <w:szCs w:val="20"/>
              </w:rPr>
              <w:t xml:space="preserve">0%</w:t>
            </w:r>
          </w:p>
        </w:tc>
      </w:tr>
      <w:tr>
        <w:tc>
          <w:tcPr>
            <w:tcW w:type="dxa" w:w="2800"/>
            <w:shd w:fill="EBF5FB" w:color="EBF5FB" w:val="clear"/>
          </w:tcPr>
          <w:p>
            <w:pPr>
              <w:spacing w:after="60"/>
            </w:pPr>
            <w:r>
              <w:rPr>
                <w:sz w:val="20"/>
                <w:szCs w:val="20"/>
              </w:rPr>
              <w:t xml:space="preserve">Capitalized software (purchased)</w:t>
            </w:r>
          </w:p>
        </w:tc>
        <w:tc>
          <w:tcPr>
            <w:tcW w:type="dxa" w:w="1800"/>
            <w:shd w:fill="EBF5FB" w:color="EBF5FB" w:val="clear"/>
          </w:tcPr>
          <w:p>
            <w:pPr>
              <w:spacing w:after="60"/>
            </w:pPr>
            <w:r>
              <w:rPr>
                <w:sz w:val="20"/>
                <w:szCs w:val="20"/>
              </w:rPr>
              <w:t xml:space="preserve">3–5 years (per license term)</w:t>
            </w:r>
          </w:p>
        </w:tc>
        <w:tc>
          <w:tcPr>
            <w:tcW w:type="dxa" w:w="2200"/>
            <w:shd w:fill="EBF5FB" w:color="EBF5FB" w:val="clear"/>
          </w:tcPr>
          <w:p>
            <w:pPr>
              <w:spacing w:after="60"/>
            </w:pPr>
            <w:r>
              <w:rPr>
                <w:sz w:val="20"/>
                <w:szCs w:val="20"/>
              </w:rPr>
              <w:t xml:space="preserve">Straight-line</w:t>
            </w:r>
          </w:p>
        </w:tc>
        <w:tc>
          <w:tcPr>
            <w:tcW w:type="dxa" w:w="2560"/>
            <w:shd w:fill="EBF5FB" w:color="EBF5FB" w:val="clear"/>
          </w:tcPr>
          <w:p>
            <w:pPr>
              <w:spacing w:after="60"/>
            </w:pPr>
            <w:r>
              <w:rPr>
                <w:sz w:val="20"/>
                <w:szCs w:val="20"/>
              </w:rPr>
              <w:t xml:space="preserve">0%</w:t>
            </w:r>
          </w:p>
        </w:tc>
      </w:tr>
      <w:tr>
        <w:tc>
          <w:tcPr>
            <w:tcW w:type="dxa" w:w="2800"/>
            <w:shd w:fill="FFFFFF" w:color="FFFFFF" w:val="clear"/>
          </w:tcPr>
          <w:p>
            <w:pPr>
              <w:spacing w:after="60"/>
            </w:pPr>
            <w:r>
              <w:rPr>
                <w:sz w:val="20"/>
                <w:szCs w:val="20"/>
              </w:rPr>
              <w:t xml:space="preserve">Capitalized software (internally developed)</w:t>
            </w:r>
          </w:p>
        </w:tc>
        <w:tc>
          <w:tcPr>
            <w:tcW w:type="dxa" w:w="1800"/>
            <w:shd w:fill="FFFFFF" w:color="FFFFFF" w:val="clear"/>
          </w:tcPr>
          <w:p>
            <w:pPr>
              <w:spacing w:after="60"/>
            </w:pPr>
            <w:r>
              <w:rPr>
                <w:sz w:val="20"/>
                <w:szCs w:val="20"/>
              </w:rPr>
              <w:t xml:space="preserve">3 years</w:t>
            </w:r>
          </w:p>
        </w:tc>
        <w:tc>
          <w:tcPr>
            <w:tcW w:type="dxa" w:w="2200"/>
            <w:shd w:fill="FFFFFF" w:color="FFFFFF" w:val="clear"/>
          </w:tcPr>
          <w:p>
            <w:pPr>
              <w:spacing w:after="60"/>
            </w:pPr>
            <w:r>
              <w:rPr>
                <w:sz w:val="20"/>
                <w:szCs w:val="20"/>
              </w:rPr>
              <w:t xml:space="preserve">Straight-line</w:t>
            </w:r>
          </w:p>
        </w:tc>
        <w:tc>
          <w:tcPr>
            <w:tcW w:type="dxa" w:w="2560"/>
            <w:shd w:fill="FFFFFF" w:color="FFFFFF" w:val="clear"/>
          </w:tcPr>
          <w:p>
            <w:pPr>
              <w:spacing w:after="60"/>
            </w:pPr>
            <w:r>
              <w:rPr>
                <w:sz w:val="20"/>
                <w:szCs w:val="20"/>
              </w:rPr>
              <w:t xml:space="preserve">0%</w:t>
            </w:r>
          </w:p>
        </w:tc>
      </w:tr>
      <w:tr>
        <w:tc>
          <w:tcPr>
            <w:tcW w:type="dxa" w:w="2800"/>
            <w:shd w:fill="EBF5FB" w:color="EBF5FB" w:val="clear"/>
          </w:tcPr>
          <w:p>
            <w:pPr>
              <w:spacing w:after="60"/>
            </w:pPr>
            <w:r>
              <w:rPr>
                <w:sz w:val="20"/>
                <w:szCs w:val="20"/>
              </w:rPr>
              <w:t xml:space="preserve">Vehicles (where applicable)</w:t>
            </w:r>
          </w:p>
        </w:tc>
        <w:tc>
          <w:tcPr>
            <w:tcW w:type="dxa" w:w="1800"/>
            <w:shd w:fill="EBF5FB" w:color="EBF5FB" w:val="clear"/>
          </w:tcPr>
          <w:p>
            <w:pPr>
              <w:spacing w:after="60"/>
            </w:pPr>
            <w:r>
              <w:rPr>
                <w:sz w:val="20"/>
                <w:szCs w:val="20"/>
              </w:rPr>
              <w:t xml:space="preserve">5 years</w:t>
            </w:r>
          </w:p>
        </w:tc>
        <w:tc>
          <w:tcPr>
            <w:tcW w:type="dxa" w:w="2200"/>
            <w:shd w:fill="EBF5FB" w:color="EBF5FB" w:val="clear"/>
          </w:tcPr>
          <w:p>
            <w:pPr>
              <w:spacing w:after="60"/>
            </w:pPr>
            <w:r>
              <w:rPr>
                <w:sz w:val="20"/>
                <w:szCs w:val="20"/>
              </w:rPr>
              <w:t xml:space="preserve">Declining balance</w:t>
            </w:r>
          </w:p>
        </w:tc>
        <w:tc>
          <w:tcPr>
            <w:tcW w:type="dxa" w:w="2560"/>
            <w:shd w:fill="EBF5FB" w:color="EBF5FB" w:val="clear"/>
          </w:tcPr>
          <w:p>
            <w:pPr>
              <w:spacing w:after="60"/>
            </w:pPr>
            <w:r>
              <w:rPr>
                <w:sz w:val="20"/>
                <w:szCs w:val="20"/>
              </w:rPr>
              <w:t xml:space="preserve">10%</w:t>
            </w:r>
          </w:p>
        </w:tc>
      </w:tr>
      <w:tr>
        <w:tc>
          <w:tcPr>
            <w:tcW w:type="dxa" w:w="2800"/>
            <w:shd w:fill="FFFFFF" w:color="FFFFFF" w:val="clear"/>
          </w:tcPr>
          <w:p>
            <w:pPr>
              <w:spacing w:after="60"/>
            </w:pPr>
            <w:r>
              <w:rPr>
                <w:sz w:val="20"/>
                <w:szCs w:val="20"/>
              </w:rPr>
              <w:t xml:space="preserve">Right-of-use assets (IFRS 16 leases)</w:t>
            </w:r>
          </w:p>
        </w:tc>
        <w:tc>
          <w:tcPr>
            <w:tcW w:type="dxa" w:w="1800"/>
            <w:shd w:fill="FFFFFF" w:color="FFFFFF" w:val="clear"/>
          </w:tcPr>
          <w:p>
            <w:pPr>
              <w:spacing w:after="60"/>
            </w:pPr>
            <w:r>
              <w:rPr>
                <w:sz w:val="20"/>
                <w:szCs w:val="20"/>
              </w:rPr>
              <w:t xml:space="preserve">Lease term</w:t>
            </w:r>
          </w:p>
        </w:tc>
        <w:tc>
          <w:tcPr>
            <w:tcW w:type="dxa" w:w="2200"/>
            <w:shd w:fill="FFFFFF" w:color="FFFFFF" w:val="clear"/>
          </w:tcPr>
          <w:p>
            <w:pPr>
              <w:spacing w:after="60"/>
            </w:pPr>
            <w:r>
              <w:rPr>
                <w:sz w:val="20"/>
                <w:szCs w:val="20"/>
              </w:rPr>
              <w:t xml:space="preserve">Straight-line</w:t>
            </w:r>
          </w:p>
        </w:tc>
        <w:tc>
          <w:tcPr>
            <w:tcW w:type="dxa" w:w="2560"/>
            <w:shd w:fill="FFFFFF" w:color="FFFFFF" w:val="clear"/>
          </w:tcPr>
          <w:p>
            <w:pPr>
              <w:spacing w:after="60"/>
            </w:pPr>
            <w:r>
              <w:rPr>
                <w:sz w:val="20"/>
                <w:szCs w:val="20"/>
              </w:rPr>
              <w:t xml:space="preserve">0%</w:t>
            </w:r>
          </w:p>
        </w:tc>
      </w:tr>
    </w:tbl>
    <w:p>
      <w:pPr>
        <w:spacing w:after="80"/>
      </w:pPr>
      <w:r>
        <w:t xml:space="preserve"/>
      </w:r>
    </w:p>
    <w:p>
      <w:pPr>
        <w:pStyle w:val="Heading2"/>
        <w:spacing w:after="150" w:before="300"/>
      </w:pPr>
      <w:r>
        <w:t xml:space="preserve">11.3 Asset Disposal</w:t>
      </w:r>
    </w:p>
    <w:p>
      <w:pPr>
        <w:spacing w:after="120" w:line="276"/>
      </w:pPr>
      <w:r>
        <w:rPr>
          <w:sz w:val="22"/>
          <w:szCs w:val="22"/>
        </w:rPr>
        <w:t xml:space="preserve">Disposal of any capitalized asset (sale, write-off, or donation) requires Finance approval. IT assets must follow the secure data destruction process (NIST 800-88 compliant wipe or physical destruction) before disposal. The Fixed Asset Register must be updated by Finance within 5 business days of asset disposal.</w:t>
      </w:r>
    </w:p>
    <w:p>
      <w:r>
        <w:br w:type="page"/>
      </w:r>
    </w:p>
    <w:p>
      <w:pPr>
        <w:pStyle w:val="Heading1"/>
        <w:spacing w:after="200" w:before="400"/>
      </w:pPr>
      <w:r>
        <w:t xml:space="preserve">12. Payroll Policy</w:t>
      </w:r>
    </w:p>
    <w:p>
      <w:pPr>
        <w:pStyle w:val="Heading2"/>
        <w:spacing w:after="150" w:before="300"/>
      </w:pPr>
      <w:r>
        <w:t xml:space="preserve">12.1 Payroll Processing</w:t>
      </w:r>
    </w:p>
    <w:p>
      <w:pPr>
        <w:spacing w:after="120" w:line="276"/>
      </w:pPr>
      <w:r>
        <w:rPr>
          <w:sz w:val="22"/>
          <w:szCs w:val="22"/>
        </w:rPr>
        <w:t xml:space="preserve">OptiAgent Technologies processes payroll in-house using ADP GlobalView (USA, UK, Germany, Singapore) and Greytip (India). Payroll cutoff 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2000"/>
        <w:gridCol w:w="2200"/>
        <w:gridCol w:w="3860"/>
      </w:tblGrid>
      <w:tr>
        <w:tc>
          <w:tcPr>
            <w:tcW w:type="dxa" w:w="1400"/>
            <w:shd w:fill="1A5276" w:color="1A5276" w:val="clear"/>
          </w:tcPr>
          <w:p>
            <w:pPr>
              <w:spacing w:after="60"/>
            </w:pPr>
            <w:r>
              <w:rPr>
                <w:b/>
                <w:bCs/>
                <w:color w:val="FFFFFF"/>
                <w:sz w:val="20"/>
                <w:szCs w:val="20"/>
              </w:rPr>
              <w:t xml:space="preserve">Country</w:t>
            </w:r>
          </w:p>
        </w:tc>
        <w:tc>
          <w:tcPr>
            <w:tcW w:type="dxa" w:w="1900"/>
            <w:shd w:fill="1A5276" w:color="1A5276" w:val="clear"/>
          </w:tcPr>
          <w:p>
            <w:pPr>
              <w:spacing w:after="60"/>
            </w:pPr>
            <w:r>
              <w:rPr>
                <w:b/>
                <w:bCs/>
                <w:color w:val="FFFFFF"/>
                <w:sz w:val="20"/>
                <w:szCs w:val="20"/>
              </w:rPr>
              <w:t xml:space="preserve">Payroll Frequency</w:t>
            </w:r>
          </w:p>
        </w:tc>
        <w:tc>
          <w:tcPr>
            <w:tcW w:type="dxa" w:w="2000"/>
            <w:shd w:fill="1A5276" w:color="1A5276" w:val="clear"/>
          </w:tcPr>
          <w:p>
            <w:pPr>
              <w:spacing w:after="60"/>
            </w:pPr>
            <w:r>
              <w:rPr>
                <w:b/>
                <w:bCs/>
                <w:color w:val="FFFFFF"/>
                <w:sz w:val="20"/>
                <w:szCs w:val="20"/>
              </w:rPr>
              <w:t xml:space="preserve">Cutoff Date</w:t>
            </w:r>
          </w:p>
        </w:tc>
        <w:tc>
          <w:tcPr>
            <w:tcW w:type="dxa" w:w="2200"/>
            <w:shd w:fill="1A5276" w:color="1A5276" w:val="clear"/>
          </w:tcPr>
          <w:p>
            <w:pPr>
              <w:spacing w:after="60"/>
            </w:pPr>
            <w:r>
              <w:rPr>
                <w:b/>
                <w:bCs/>
                <w:color w:val="FFFFFF"/>
                <w:sz w:val="20"/>
                <w:szCs w:val="20"/>
              </w:rPr>
              <w:t xml:space="preserve">Pay Date</w:t>
            </w:r>
          </w:p>
        </w:tc>
        <w:tc>
          <w:tcPr>
            <w:tcW w:type="dxa" w:w="3860"/>
            <w:shd w:fill="1A5276" w:color="1A5276" w:val="clear"/>
          </w:tcPr>
          <w:p>
            <w:pPr>
              <w:spacing w:after="60"/>
            </w:pPr>
            <w:r>
              <w:rPr>
                <w:b/>
                <w:bCs/>
                <w:color w:val="FFFFFF"/>
                <w:sz w:val="20"/>
                <w:szCs w:val="20"/>
              </w:rPr>
              <w:t xml:space="preserve">Payroll Provider</w:t>
            </w:r>
          </w:p>
        </w:tc>
      </w:tr>
      <w:tr>
        <w:tc>
          <w:tcPr>
            <w:tcW w:type="dxa" w:w="1400"/>
            <w:shd w:fill="EBF5FB" w:color="EBF5FB" w:val="clear"/>
          </w:tcPr>
          <w:p>
            <w:pPr>
              <w:spacing w:after="60"/>
            </w:pPr>
            <w:r>
              <w:rPr>
                <w:sz w:val="20"/>
                <w:szCs w:val="20"/>
              </w:rPr>
              <w:t xml:space="preserve">USA</w:t>
            </w:r>
          </w:p>
        </w:tc>
        <w:tc>
          <w:tcPr>
            <w:tcW w:type="dxa" w:w="1900"/>
            <w:shd w:fill="EBF5FB" w:color="EBF5FB" w:val="clear"/>
          </w:tcPr>
          <w:p>
            <w:pPr>
              <w:spacing w:after="60"/>
            </w:pPr>
            <w:r>
              <w:rPr>
                <w:sz w:val="20"/>
                <w:szCs w:val="20"/>
              </w:rPr>
              <w:t xml:space="preserve">Semi-monthly (1st and 15th)</w:t>
            </w:r>
          </w:p>
        </w:tc>
        <w:tc>
          <w:tcPr>
            <w:tcW w:type="dxa" w:w="2000"/>
            <w:shd w:fill="EBF5FB" w:color="EBF5FB" w:val="clear"/>
          </w:tcPr>
          <w:p>
            <w:pPr>
              <w:spacing w:after="60"/>
            </w:pPr>
            <w:r>
              <w:rPr>
                <w:sz w:val="20"/>
                <w:szCs w:val="20"/>
              </w:rPr>
              <w:t xml:space="preserve">5 business days before pay date</w:t>
            </w:r>
          </w:p>
        </w:tc>
        <w:tc>
          <w:tcPr>
            <w:tcW w:type="dxa" w:w="2200"/>
            <w:shd w:fill="EBF5FB" w:color="EBF5FB" w:val="clear"/>
          </w:tcPr>
          <w:p>
            <w:pPr>
              <w:spacing w:after="60"/>
            </w:pPr>
            <w:r>
              <w:rPr>
                <w:sz w:val="20"/>
                <w:szCs w:val="20"/>
              </w:rPr>
              <w:t xml:space="preserve">1st and 15th of the month</w:t>
            </w:r>
          </w:p>
        </w:tc>
        <w:tc>
          <w:tcPr>
            <w:tcW w:type="dxa" w:w="3860"/>
            <w:shd w:fill="EBF5FB" w:color="EBF5FB" w:val="clear"/>
          </w:tcPr>
          <w:p>
            <w:pPr>
              <w:spacing w:after="60"/>
            </w:pPr>
            <w:r>
              <w:rPr>
                <w:sz w:val="20"/>
                <w:szCs w:val="20"/>
              </w:rPr>
              <w:t xml:space="preserve">ADP GlobalView</w:t>
            </w:r>
          </w:p>
        </w:tc>
      </w:tr>
      <w:tr>
        <w:tc>
          <w:tcPr>
            <w:tcW w:type="dxa" w:w="1400"/>
            <w:shd w:fill="FFFFFF" w:color="FFFFFF" w:val="clear"/>
          </w:tcPr>
          <w:p>
            <w:pPr>
              <w:spacing w:after="60"/>
            </w:pPr>
            <w:r>
              <w:rPr>
                <w:sz w:val="20"/>
                <w:szCs w:val="20"/>
              </w:rPr>
              <w:t xml:space="preserve">UK</w:t>
            </w:r>
          </w:p>
        </w:tc>
        <w:tc>
          <w:tcPr>
            <w:tcW w:type="dxa" w:w="1900"/>
            <w:shd w:fill="FFFFFF" w:color="FFFFFF" w:val="clear"/>
          </w:tcPr>
          <w:p>
            <w:pPr>
              <w:spacing w:after="60"/>
            </w:pPr>
            <w:r>
              <w:rPr>
                <w:sz w:val="20"/>
                <w:szCs w:val="20"/>
              </w:rPr>
              <w:t xml:space="preserve">Monthly</w:t>
            </w:r>
          </w:p>
        </w:tc>
        <w:tc>
          <w:tcPr>
            <w:tcW w:type="dxa" w:w="2000"/>
            <w:shd w:fill="FFFFFF" w:color="FFFFFF" w:val="clear"/>
          </w:tcPr>
          <w:p>
            <w:pPr>
              <w:spacing w:after="60"/>
            </w:pPr>
            <w:r>
              <w:rPr>
                <w:sz w:val="20"/>
                <w:szCs w:val="20"/>
              </w:rPr>
              <w:t xml:space="preserve">10th of the month</w:t>
            </w:r>
          </w:p>
        </w:tc>
        <w:tc>
          <w:tcPr>
            <w:tcW w:type="dxa" w:w="2200"/>
            <w:shd w:fill="FFFFFF" w:color="FFFFFF" w:val="clear"/>
          </w:tcPr>
          <w:p>
            <w:pPr>
              <w:spacing w:after="60"/>
            </w:pPr>
            <w:r>
              <w:rPr>
                <w:sz w:val="20"/>
                <w:szCs w:val="20"/>
              </w:rPr>
              <w:t xml:space="preserve">Last business day of the month</w:t>
            </w:r>
          </w:p>
        </w:tc>
        <w:tc>
          <w:tcPr>
            <w:tcW w:type="dxa" w:w="3860"/>
            <w:shd w:fill="FFFFFF" w:color="FFFFFF" w:val="clear"/>
          </w:tcPr>
          <w:p>
            <w:pPr>
              <w:spacing w:after="60"/>
            </w:pPr>
            <w:r>
              <w:rPr>
                <w:sz w:val="20"/>
                <w:szCs w:val="20"/>
              </w:rPr>
              <w:t xml:space="preserve">ADP GlobalView</w:t>
            </w:r>
          </w:p>
        </w:tc>
      </w:tr>
      <w:tr>
        <w:tc>
          <w:tcPr>
            <w:tcW w:type="dxa" w:w="1400"/>
            <w:shd w:fill="EBF5FB" w:color="EBF5FB" w:val="clear"/>
          </w:tcPr>
          <w:p>
            <w:pPr>
              <w:spacing w:after="60"/>
            </w:pPr>
            <w:r>
              <w:rPr>
                <w:sz w:val="20"/>
                <w:szCs w:val="20"/>
              </w:rPr>
              <w:t xml:space="preserve">India</w:t>
            </w:r>
          </w:p>
        </w:tc>
        <w:tc>
          <w:tcPr>
            <w:tcW w:type="dxa" w:w="1900"/>
            <w:shd w:fill="EBF5FB" w:color="EBF5FB" w:val="clear"/>
          </w:tcPr>
          <w:p>
            <w:pPr>
              <w:spacing w:after="60"/>
            </w:pPr>
            <w:r>
              <w:rPr>
                <w:sz w:val="20"/>
                <w:szCs w:val="20"/>
              </w:rPr>
              <w:t xml:space="preserve">Monthly</w:t>
            </w:r>
          </w:p>
        </w:tc>
        <w:tc>
          <w:tcPr>
            <w:tcW w:type="dxa" w:w="2000"/>
            <w:shd w:fill="EBF5FB" w:color="EBF5FB" w:val="clear"/>
          </w:tcPr>
          <w:p>
            <w:pPr>
              <w:spacing w:after="60"/>
            </w:pPr>
            <w:r>
              <w:rPr>
                <w:sz w:val="20"/>
                <w:szCs w:val="20"/>
              </w:rPr>
              <w:t xml:space="preserve">10th of the month</w:t>
            </w:r>
          </w:p>
        </w:tc>
        <w:tc>
          <w:tcPr>
            <w:tcW w:type="dxa" w:w="2200"/>
            <w:shd w:fill="EBF5FB" w:color="EBF5FB" w:val="clear"/>
          </w:tcPr>
          <w:p>
            <w:pPr>
              <w:spacing w:after="60"/>
            </w:pPr>
            <w:r>
              <w:rPr>
                <w:sz w:val="20"/>
                <w:szCs w:val="20"/>
              </w:rPr>
              <w:t xml:space="preserve">Last business day of the month</w:t>
            </w:r>
          </w:p>
        </w:tc>
        <w:tc>
          <w:tcPr>
            <w:tcW w:type="dxa" w:w="3860"/>
            <w:shd w:fill="EBF5FB" w:color="EBF5FB" w:val="clear"/>
          </w:tcPr>
          <w:p>
            <w:pPr>
              <w:spacing w:after="60"/>
            </w:pPr>
            <w:r>
              <w:rPr>
                <w:sz w:val="20"/>
                <w:szCs w:val="20"/>
              </w:rPr>
              <w:t xml:space="preserve">Greytip</w:t>
            </w:r>
          </w:p>
        </w:tc>
      </w:tr>
      <w:tr>
        <w:tc>
          <w:tcPr>
            <w:tcW w:type="dxa" w:w="1400"/>
            <w:shd w:fill="FFFFFF" w:color="FFFFFF" w:val="clear"/>
          </w:tcPr>
          <w:p>
            <w:pPr>
              <w:spacing w:after="60"/>
            </w:pPr>
            <w:r>
              <w:rPr>
                <w:sz w:val="20"/>
                <w:szCs w:val="20"/>
              </w:rPr>
              <w:t xml:space="preserve">Germany</w:t>
            </w:r>
          </w:p>
        </w:tc>
        <w:tc>
          <w:tcPr>
            <w:tcW w:type="dxa" w:w="1900"/>
            <w:shd w:fill="FFFFFF" w:color="FFFFFF" w:val="clear"/>
          </w:tcPr>
          <w:p>
            <w:pPr>
              <w:spacing w:after="60"/>
            </w:pPr>
            <w:r>
              <w:rPr>
                <w:sz w:val="20"/>
                <w:szCs w:val="20"/>
              </w:rPr>
              <w:t xml:space="preserve">Monthly</w:t>
            </w:r>
          </w:p>
        </w:tc>
        <w:tc>
          <w:tcPr>
            <w:tcW w:type="dxa" w:w="2000"/>
            <w:shd w:fill="FFFFFF" w:color="FFFFFF" w:val="clear"/>
          </w:tcPr>
          <w:p>
            <w:pPr>
              <w:spacing w:after="60"/>
            </w:pPr>
            <w:r>
              <w:rPr>
                <w:sz w:val="20"/>
                <w:szCs w:val="20"/>
              </w:rPr>
              <w:t xml:space="preserve">10th of the month</w:t>
            </w:r>
          </w:p>
        </w:tc>
        <w:tc>
          <w:tcPr>
            <w:tcW w:type="dxa" w:w="2200"/>
            <w:shd w:fill="FFFFFF" w:color="FFFFFF" w:val="clear"/>
          </w:tcPr>
          <w:p>
            <w:pPr>
              <w:spacing w:after="60"/>
            </w:pPr>
            <w:r>
              <w:rPr>
                <w:sz w:val="20"/>
                <w:szCs w:val="20"/>
              </w:rPr>
              <w:t xml:space="preserve">Last business day of the month</w:t>
            </w:r>
          </w:p>
        </w:tc>
        <w:tc>
          <w:tcPr>
            <w:tcW w:type="dxa" w:w="3860"/>
            <w:shd w:fill="FFFFFF" w:color="FFFFFF" w:val="clear"/>
          </w:tcPr>
          <w:p>
            <w:pPr>
              <w:spacing w:after="60"/>
            </w:pPr>
            <w:r>
              <w:rPr>
                <w:sz w:val="20"/>
                <w:szCs w:val="20"/>
              </w:rPr>
              <w:t xml:space="preserve">ADP GlobalView</w:t>
            </w:r>
          </w:p>
        </w:tc>
      </w:tr>
      <w:tr>
        <w:tc>
          <w:tcPr>
            <w:tcW w:type="dxa" w:w="1400"/>
            <w:shd w:fill="EBF5FB" w:color="EBF5FB" w:val="clear"/>
          </w:tcPr>
          <w:p>
            <w:pPr>
              <w:spacing w:after="60"/>
            </w:pPr>
            <w:r>
              <w:rPr>
                <w:sz w:val="20"/>
                <w:szCs w:val="20"/>
              </w:rPr>
              <w:t xml:space="preserve">Singapore</w:t>
            </w:r>
          </w:p>
        </w:tc>
        <w:tc>
          <w:tcPr>
            <w:tcW w:type="dxa" w:w="1900"/>
            <w:shd w:fill="EBF5FB" w:color="EBF5FB" w:val="clear"/>
          </w:tcPr>
          <w:p>
            <w:pPr>
              <w:spacing w:after="60"/>
            </w:pPr>
            <w:r>
              <w:rPr>
                <w:sz w:val="20"/>
                <w:szCs w:val="20"/>
              </w:rPr>
              <w:t xml:space="preserve">Monthly</w:t>
            </w:r>
          </w:p>
        </w:tc>
        <w:tc>
          <w:tcPr>
            <w:tcW w:type="dxa" w:w="2000"/>
            <w:shd w:fill="EBF5FB" w:color="EBF5FB" w:val="clear"/>
          </w:tcPr>
          <w:p>
            <w:pPr>
              <w:spacing w:after="60"/>
            </w:pPr>
            <w:r>
              <w:rPr>
                <w:sz w:val="20"/>
                <w:szCs w:val="20"/>
              </w:rPr>
              <w:t xml:space="preserve">10th of the month</w:t>
            </w:r>
          </w:p>
        </w:tc>
        <w:tc>
          <w:tcPr>
            <w:tcW w:type="dxa" w:w="2200"/>
            <w:shd w:fill="EBF5FB" w:color="EBF5FB" w:val="clear"/>
          </w:tcPr>
          <w:p>
            <w:pPr>
              <w:spacing w:after="60"/>
            </w:pPr>
            <w:r>
              <w:rPr>
                <w:sz w:val="20"/>
                <w:szCs w:val="20"/>
              </w:rPr>
              <w:t xml:space="preserve">Last business day of the month</w:t>
            </w:r>
          </w:p>
        </w:tc>
        <w:tc>
          <w:tcPr>
            <w:tcW w:type="dxa" w:w="3860"/>
            <w:shd w:fill="EBF5FB" w:color="EBF5FB" w:val="clear"/>
          </w:tcPr>
          <w:p>
            <w:pPr>
              <w:spacing w:after="60"/>
            </w:pPr>
            <w:r>
              <w:rPr>
                <w:sz w:val="20"/>
                <w:szCs w:val="20"/>
              </w:rPr>
              <w:t xml:space="preserve">ADP GlobalView</w:t>
            </w:r>
          </w:p>
        </w:tc>
      </w:tr>
    </w:tbl>
    <w:p>
      <w:pPr>
        <w:spacing w:after="80"/>
      </w:pPr>
      <w:r>
        <w:t xml:space="preserve"/>
      </w:r>
    </w:p>
    <w:p>
      <w:pPr>
        <w:pStyle w:val="Heading2"/>
        <w:spacing w:after="150" w:before="300"/>
      </w:pPr>
      <w:r>
        <w:t xml:space="preserve">12.2 Payroll Controls</w:t>
      </w:r>
    </w:p>
    <w:p>
      <w:pPr>
        <w:pStyle w:val="ListParagraph"/>
        <w:numPr>
          <w:ilvl w:val="0"/>
          <w:numId w:val="1"/>
        </w:numPr>
        <w:spacing w:after="80"/>
      </w:pPr>
      <w:r>
        <w:rPr>
          <w:sz w:val="22"/>
          <w:szCs w:val="22"/>
        </w:rPr>
        <w:t xml:space="preserve">All payroll changes (new hires, terminations, salary changes, allowance changes) must be initiated by HR in Workday and flow to the payroll system via the HR-Payroll integration</w:t>
      </w:r>
    </w:p>
    <w:p>
      <w:pPr>
        <w:pStyle w:val="ListParagraph"/>
        <w:numPr>
          <w:ilvl w:val="0"/>
          <w:numId w:val="1"/>
        </w:numPr>
        <w:spacing w:after="80"/>
      </w:pPr>
      <w:r>
        <w:rPr>
          <w:sz w:val="22"/>
          <w:szCs w:val="22"/>
        </w:rPr>
        <w:t xml:space="preserve">No manual payroll input is permitted without dual Finance authorization and HR confirmation</w:t>
      </w:r>
    </w:p>
    <w:p>
      <w:pPr>
        <w:pStyle w:val="ListParagraph"/>
        <w:numPr>
          <w:ilvl w:val="0"/>
          <w:numId w:val="1"/>
        </w:numPr>
        <w:spacing w:after="80"/>
      </w:pPr>
      <w:r>
        <w:rPr>
          <w:sz w:val="22"/>
          <w:szCs w:val="22"/>
        </w:rPr>
        <w:t xml:space="preserve">Payroll output (journal entries and summary reports) must be reviewed and signed off by the Payroll Manager and Controller before payment release</w:t>
      </w:r>
    </w:p>
    <w:p>
      <w:pPr>
        <w:pStyle w:val="ListParagraph"/>
        <w:numPr>
          <w:ilvl w:val="0"/>
          <w:numId w:val="1"/>
        </w:numPr>
        <w:spacing w:after="80"/>
      </w:pPr>
      <w:r>
        <w:rPr>
          <w:sz w:val="22"/>
          <w:szCs w:val="22"/>
        </w:rPr>
        <w:t xml:space="preserve">Ghost employee audits are conducted quarterly by Internal Audit</w:t>
      </w:r>
    </w:p>
    <w:p>
      <w:pPr>
        <w:pStyle w:val="ListParagraph"/>
        <w:numPr>
          <w:ilvl w:val="0"/>
          <w:numId w:val="1"/>
        </w:numPr>
        <w:spacing w:after="80"/>
      </w:pPr>
      <w:r>
        <w:rPr>
          <w:sz w:val="22"/>
          <w:szCs w:val="22"/>
        </w:rPr>
        <w:t xml:space="preserve">Terminated employees must be removed from payroll on their last working day — HR must notify Payroll at least 5 business days in advance</w:t>
      </w:r>
    </w:p>
    <w:p>
      <w:pPr>
        <w:pStyle w:val="Heading2"/>
        <w:spacing w:after="150" w:before="300"/>
      </w:pPr>
      <w:r>
        <w:t xml:space="preserve">12.3 Off-Cycle Payments</w:t>
      </w:r>
    </w:p>
    <w:p>
      <w:pPr>
        <w:spacing w:after="120" w:line="276"/>
      </w:pPr>
      <w:r>
        <w:rPr>
          <w:sz w:val="22"/>
          <w:szCs w:val="22"/>
        </w:rPr>
        <w:t xml:space="preserve">Off-cycle payroll runs (for corrections, missed payments, or final settlements) require approval from the Payroll Manager and VP Finance. They are processed within 3 business days of approval. Advances on salary (loans to employees) are governed by a separate Employee Advance Policy and require HR + Finance approval.</w:t>
      </w:r>
    </w:p>
    <w:p>
      <w:r>
        <w:br w:type="page"/>
      </w:r>
    </w:p>
    <w:p>
      <w:pPr>
        <w:pStyle w:val="Heading1"/>
        <w:spacing w:after="200" w:before="400"/>
      </w:pPr>
      <w:r>
        <w:t xml:space="preserve">13. Tax Compliance Policy</w:t>
      </w:r>
    </w:p>
    <w:p>
      <w:pPr>
        <w:pStyle w:val="Heading2"/>
        <w:spacing w:after="150" w:before="300"/>
      </w:pPr>
      <w:r>
        <w:t xml:space="preserve">13.1 Tax Governance</w:t>
      </w:r>
    </w:p>
    <w:p>
      <w:pPr>
        <w:spacing w:after="120" w:line="276"/>
      </w:pPr>
      <w:r>
        <w:rPr>
          <w:sz w:val="22"/>
          <w:szCs w:val="22"/>
        </w:rPr>
        <w:t xml:space="preserve">The VP Tax is responsible for OptiAgent's global tax compliance, planning, and risk management. Tax positions are documented and reviewed annually. The company does not engage in aggressive tax avoidance schemes. All tax filings are managed by the Tax team in partnership with external advisors (PwC for US federal; Deloitte for UK; KPMG for Germany; Grant Thornton for India and Singapore).</w:t>
      </w:r>
    </w:p>
    <w:p>
      <w:pPr>
        <w:pStyle w:val="Heading2"/>
        <w:spacing w:after="150" w:before="300"/>
      </w:pPr>
      <w:r>
        <w:t xml:space="preserve">13.2 Key Tax Obligations by Country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600"/>
        <w:gridCol w:w="2160"/>
      </w:tblGrid>
      <w:tr>
        <w:tc>
          <w:tcPr>
            <w:tcW w:type="dxa" w:w="1400"/>
            <w:shd w:fill="1A5276" w:color="1A5276" w:val="clear"/>
          </w:tcPr>
          <w:p>
            <w:pPr>
              <w:spacing w:after="60"/>
            </w:pPr>
            <w:r>
              <w:rPr>
                <w:b/>
                <w:bCs/>
                <w:color w:val="FFFFFF"/>
                <w:sz w:val="20"/>
                <w:szCs w:val="20"/>
              </w:rPr>
              <w:t xml:space="preserve">Country</w:t>
            </w:r>
          </w:p>
        </w:tc>
        <w:tc>
          <w:tcPr>
            <w:tcW w:type="dxa" w:w="3200"/>
            <w:shd w:fill="1A5276" w:color="1A5276" w:val="clear"/>
          </w:tcPr>
          <w:p>
            <w:pPr>
              <w:spacing w:after="60"/>
            </w:pPr>
            <w:r>
              <w:rPr>
                <w:b/>
                <w:bCs/>
                <w:color w:val="FFFFFF"/>
                <w:sz w:val="20"/>
                <w:szCs w:val="20"/>
              </w:rPr>
              <w:t xml:space="preserve">Key Taxes</w:t>
            </w:r>
          </w:p>
        </w:tc>
        <w:tc>
          <w:tcPr>
            <w:tcW w:type="dxa" w:w="2600"/>
            <w:shd w:fill="1A5276" w:color="1A5276" w:val="clear"/>
          </w:tcPr>
          <w:p>
            <w:pPr>
              <w:spacing w:after="60"/>
            </w:pPr>
            <w:r>
              <w:rPr>
                <w:b/>
                <w:bCs/>
                <w:color w:val="FFFFFF"/>
                <w:sz w:val="20"/>
                <w:szCs w:val="20"/>
              </w:rPr>
              <w:t xml:space="preserve">Filing Frequency</w:t>
            </w:r>
          </w:p>
        </w:tc>
        <w:tc>
          <w:tcPr>
            <w:tcW w:type="dxa" w:w="2160"/>
            <w:shd w:fill="1A5276" w:color="1A5276" w:val="clear"/>
          </w:tcPr>
          <w:p>
            <w:pPr>
              <w:spacing w:after="60"/>
            </w:pPr>
            <w:r>
              <w:rPr>
                <w:b/>
                <w:bCs/>
                <w:color w:val="FFFFFF"/>
                <w:sz w:val="20"/>
                <w:szCs w:val="20"/>
              </w:rPr>
              <w:t xml:space="preserve">External Advisor</w:t>
            </w:r>
          </w:p>
        </w:tc>
      </w:tr>
      <w:tr>
        <w:tc>
          <w:tcPr>
            <w:tcW w:type="dxa" w:w="1400"/>
            <w:shd w:fill="EBF5FB" w:color="EBF5FB" w:val="clear"/>
          </w:tcPr>
          <w:p>
            <w:pPr>
              <w:spacing w:after="60"/>
            </w:pPr>
            <w:r>
              <w:rPr>
                <w:sz w:val="20"/>
                <w:szCs w:val="20"/>
              </w:rPr>
              <w:t xml:space="preserve">USA</w:t>
            </w:r>
          </w:p>
        </w:tc>
        <w:tc>
          <w:tcPr>
            <w:tcW w:type="dxa" w:w="3200"/>
            <w:shd w:fill="EBF5FB" w:color="EBF5FB" w:val="clear"/>
          </w:tcPr>
          <w:p>
            <w:pPr>
              <w:spacing w:after="60"/>
            </w:pPr>
            <w:r>
              <w:rPr>
                <w:sz w:val="20"/>
                <w:szCs w:val="20"/>
              </w:rPr>
              <w:t xml:space="preserve">Federal income tax (Corp); state income tax; payroll taxes (FICA, FUTA, SUTA); sales/use tax; R&amp;D credit</w:t>
            </w:r>
          </w:p>
        </w:tc>
        <w:tc>
          <w:tcPr>
            <w:tcW w:type="dxa" w:w="2600"/>
            <w:shd w:fill="EBF5FB" w:color="EBF5FB" w:val="clear"/>
          </w:tcPr>
          <w:p>
            <w:pPr>
              <w:spacing w:after="60"/>
            </w:pPr>
            <w:r>
              <w:rPr>
                <w:sz w:val="20"/>
                <w:szCs w:val="20"/>
              </w:rPr>
              <w:t xml:space="preserve">Quarterly estimates; annual return (Form 1120)</w:t>
            </w:r>
          </w:p>
        </w:tc>
        <w:tc>
          <w:tcPr>
            <w:tcW w:type="dxa" w:w="2160"/>
            <w:shd w:fill="EBF5FB" w:color="EBF5FB" w:val="clear"/>
          </w:tcPr>
          <w:p>
            <w:pPr>
              <w:spacing w:after="60"/>
            </w:pPr>
            <w:r>
              <w:rPr>
                <w:sz w:val="20"/>
                <w:szCs w:val="20"/>
              </w:rPr>
              <w:t xml:space="preserve">PwC</w:t>
            </w:r>
          </w:p>
        </w:tc>
      </w:tr>
      <w:tr>
        <w:tc>
          <w:tcPr>
            <w:tcW w:type="dxa" w:w="1400"/>
            <w:shd w:fill="FFFFFF" w:color="FFFFFF" w:val="clear"/>
          </w:tcPr>
          <w:p>
            <w:pPr>
              <w:spacing w:after="60"/>
            </w:pPr>
            <w:r>
              <w:rPr>
                <w:sz w:val="20"/>
                <w:szCs w:val="20"/>
              </w:rPr>
              <w:t xml:space="preserve">UK</w:t>
            </w:r>
          </w:p>
        </w:tc>
        <w:tc>
          <w:tcPr>
            <w:tcW w:type="dxa" w:w="3200"/>
            <w:shd w:fill="FFFFFF" w:color="FFFFFF" w:val="clear"/>
          </w:tcPr>
          <w:p>
            <w:pPr>
              <w:spacing w:after="60"/>
            </w:pPr>
            <w:r>
              <w:rPr>
                <w:sz w:val="20"/>
                <w:szCs w:val="20"/>
              </w:rPr>
              <w:t xml:space="preserve">Corporation Tax; VAT (quarterly); PAYE; National Insurance; R&amp;D relief claims</w:t>
            </w:r>
          </w:p>
        </w:tc>
        <w:tc>
          <w:tcPr>
            <w:tcW w:type="dxa" w:w="2600"/>
            <w:shd w:fill="FFFFFF" w:color="FFFFFF" w:val="clear"/>
          </w:tcPr>
          <w:p>
            <w:pPr>
              <w:spacing w:after="60"/>
            </w:pPr>
            <w:r>
              <w:rPr>
                <w:sz w:val="20"/>
                <w:szCs w:val="20"/>
              </w:rPr>
              <w:t xml:space="preserve">Annual CT600; quarterly VAT</w:t>
            </w:r>
          </w:p>
        </w:tc>
        <w:tc>
          <w:tcPr>
            <w:tcW w:type="dxa" w:w="2160"/>
            <w:shd w:fill="FFFFFF" w:color="FFFFFF" w:val="clear"/>
          </w:tcPr>
          <w:p>
            <w:pPr>
              <w:spacing w:after="60"/>
            </w:pPr>
            <w:r>
              <w:rPr>
                <w:sz w:val="20"/>
                <w:szCs w:val="20"/>
              </w:rPr>
              <w:t xml:space="preserve">Deloitte</w:t>
            </w:r>
          </w:p>
        </w:tc>
      </w:tr>
      <w:tr>
        <w:tc>
          <w:tcPr>
            <w:tcW w:type="dxa" w:w="1400"/>
            <w:shd w:fill="EBF5FB" w:color="EBF5FB" w:val="clear"/>
          </w:tcPr>
          <w:p>
            <w:pPr>
              <w:spacing w:after="60"/>
            </w:pPr>
            <w:r>
              <w:rPr>
                <w:sz w:val="20"/>
                <w:szCs w:val="20"/>
              </w:rPr>
              <w:t xml:space="preserve">India</w:t>
            </w:r>
          </w:p>
        </w:tc>
        <w:tc>
          <w:tcPr>
            <w:tcW w:type="dxa" w:w="3200"/>
            <w:shd w:fill="EBF5FB" w:color="EBF5FB" w:val="clear"/>
          </w:tcPr>
          <w:p>
            <w:pPr>
              <w:spacing w:after="60"/>
            </w:pPr>
            <w:r>
              <w:rPr>
                <w:sz w:val="20"/>
                <w:szCs w:val="20"/>
              </w:rPr>
              <w:t xml:space="preserve">Income Tax (company); TDS; GST (monthly/quarterly); professional tax</w:t>
            </w:r>
          </w:p>
        </w:tc>
        <w:tc>
          <w:tcPr>
            <w:tcW w:type="dxa" w:w="2600"/>
            <w:shd w:fill="EBF5FB" w:color="EBF5FB" w:val="clear"/>
          </w:tcPr>
          <w:p>
            <w:pPr>
              <w:spacing w:after="60"/>
            </w:pPr>
            <w:r>
              <w:rPr>
                <w:sz w:val="20"/>
                <w:szCs w:val="20"/>
              </w:rPr>
              <w:t xml:space="preserve">Monthly TDS; quarterly GST; annual ITR</w:t>
            </w:r>
          </w:p>
        </w:tc>
        <w:tc>
          <w:tcPr>
            <w:tcW w:type="dxa" w:w="2160"/>
            <w:shd w:fill="EBF5FB" w:color="EBF5FB" w:val="clear"/>
          </w:tcPr>
          <w:p>
            <w:pPr>
              <w:spacing w:after="60"/>
            </w:pPr>
            <w:r>
              <w:rPr>
                <w:sz w:val="20"/>
                <w:szCs w:val="20"/>
              </w:rPr>
              <w:t xml:space="preserve">KPMG</w:t>
            </w:r>
          </w:p>
        </w:tc>
      </w:tr>
      <w:tr>
        <w:tc>
          <w:tcPr>
            <w:tcW w:type="dxa" w:w="1400"/>
            <w:shd w:fill="FFFFFF" w:color="FFFFFF" w:val="clear"/>
          </w:tcPr>
          <w:p>
            <w:pPr>
              <w:spacing w:after="60"/>
            </w:pPr>
            <w:r>
              <w:rPr>
                <w:sz w:val="20"/>
                <w:szCs w:val="20"/>
              </w:rPr>
              <w:t xml:space="preserve">Germany</w:t>
            </w:r>
          </w:p>
        </w:tc>
        <w:tc>
          <w:tcPr>
            <w:tcW w:type="dxa" w:w="3200"/>
            <w:shd w:fill="FFFFFF" w:color="FFFFFF" w:val="clear"/>
          </w:tcPr>
          <w:p>
            <w:pPr>
              <w:spacing w:after="60"/>
            </w:pPr>
            <w:r>
              <w:rPr>
                <w:sz w:val="20"/>
                <w:szCs w:val="20"/>
              </w:rPr>
              <w:t xml:space="preserve">Körperschaftsteuer (Corporation Tax); Gewerbesteuer (Trade Tax); VAT (Umsatzsteuer); Lohnsteuer</w:t>
            </w:r>
          </w:p>
        </w:tc>
        <w:tc>
          <w:tcPr>
            <w:tcW w:type="dxa" w:w="2600"/>
            <w:shd w:fill="FFFFFF" w:color="FFFFFF" w:val="clear"/>
          </w:tcPr>
          <w:p>
            <w:pPr>
              <w:spacing w:after="60"/>
            </w:pPr>
            <w:r>
              <w:rPr>
                <w:sz w:val="20"/>
                <w:szCs w:val="20"/>
              </w:rPr>
              <w:t xml:space="preserve">Monthly/quarterly VAT; annual tax returns</w:t>
            </w:r>
          </w:p>
        </w:tc>
        <w:tc>
          <w:tcPr>
            <w:tcW w:type="dxa" w:w="2160"/>
            <w:shd w:fill="FFFFFF" w:color="FFFFFF" w:val="clear"/>
          </w:tcPr>
          <w:p>
            <w:pPr>
              <w:spacing w:after="60"/>
            </w:pPr>
            <w:r>
              <w:rPr>
                <w:sz w:val="20"/>
                <w:szCs w:val="20"/>
              </w:rPr>
              <w:t xml:space="preserve">KPMG</w:t>
            </w:r>
          </w:p>
        </w:tc>
      </w:tr>
      <w:tr>
        <w:tc>
          <w:tcPr>
            <w:tcW w:type="dxa" w:w="1400"/>
            <w:shd w:fill="EBF5FB" w:color="EBF5FB" w:val="clear"/>
          </w:tcPr>
          <w:p>
            <w:pPr>
              <w:spacing w:after="60"/>
            </w:pPr>
            <w:r>
              <w:rPr>
                <w:sz w:val="20"/>
                <w:szCs w:val="20"/>
              </w:rPr>
              <w:t xml:space="preserve">Singapore</w:t>
            </w:r>
          </w:p>
        </w:tc>
        <w:tc>
          <w:tcPr>
            <w:tcW w:type="dxa" w:w="3200"/>
            <w:shd w:fill="EBF5FB" w:color="EBF5FB" w:val="clear"/>
          </w:tcPr>
          <w:p>
            <w:pPr>
              <w:spacing w:after="60"/>
            </w:pPr>
            <w:r>
              <w:rPr>
                <w:sz w:val="20"/>
                <w:szCs w:val="20"/>
              </w:rPr>
              <w:t xml:space="preserve">Corporate Income Tax (17% headline); GST (9%); withholding tax on payments to non-residents</w:t>
            </w:r>
          </w:p>
        </w:tc>
        <w:tc>
          <w:tcPr>
            <w:tcW w:type="dxa" w:w="2600"/>
            <w:shd w:fill="EBF5FB" w:color="EBF5FB" w:val="clear"/>
          </w:tcPr>
          <w:p>
            <w:pPr>
              <w:spacing w:after="60"/>
            </w:pPr>
            <w:r>
              <w:rPr>
                <w:sz w:val="20"/>
                <w:szCs w:val="20"/>
              </w:rPr>
              <w:t xml:space="preserve">Annual; quarterly GST</w:t>
            </w:r>
          </w:p>
        </w:tc>
        <w:tc>
          <w:tcPr>
            <w:tcW w:type="dxa" w:w="2160"/>
            <w:shd w:fill="EBF5FB" w:color="EBF5FB" w:val="clear"/>
          </w:tcPr>
          <w:p>
            <w:pPr>
              <w:spacing w:after="60"/>
            </w:pPr>
            <w:r>
              <w:rPr>
                <w:sz w:val="20"/>
                <w:szCs w:val="20"/>
              </w:rPr>
              <w:t xml:space="preserve">Grant Thornton</w:t>
            </w:r>
          </w:p>
        </w:tc>
      </w:tr>
    </w:tbl>
    <w:p>
      <w:pPr>
        <w:spacing w:after="80"/>
      </w:pPr>
      <w:r>
        <w:t xml:space="preserve"/>
      </w:r>
    </w:p>
    <w:p>
      <w:pPr>
        <w:pStyle w:val="Heading2"/>
        <w:spacing w:after="150" w:before="300"/>
      </w:pPr>
      <w:r>
        <w:t xml:space="preserve">13.3 Transfer Pricing</w:t>
      </w:r>
    </w:p>
    <w:p>
      <w:pPr>
        <w:spacing w:after="120" w:line="276"/>
      </w:pPr>
      <w:r>
        <w:rPr>
          <w:sz w:val="22"/>
          <w:szCs w:val="22"/>
        </w:rPr>
        <w:t xml:space="preserve">Transactions between OptiAgent group entities (intercompany transactions) must be priced at arm's length per the OECD Transfer Pricing Guidelines. The VP Tax maintains a Transfer Pricing Policy and intercompany agreements for all material intercompany flows. Country-by-Country Reporting (CbCR) is filed annually as required under BEPS Action 13. Employees must not enter into informal or undocumented intercompany arrangements.</w:t>
      </w:r>
    </w:p>
    <w:p>
      <w:pPr>
        <w:pStyle w:val="Heading2"/>
        <w:spacing w:after="150" w:before="300"/>
      </w:pPr>
      <w:r>
        <w:t xml:space="preserve">13.4 Employee Tax Obligations</w:t>
      </w:r>
    </w:p>
    <w:p>
      <w:pPr>
        <w:spacing w:after="120" w:line="276"/>
      </w:pPr>
      <w:r>
        <w:rPr>
          <w:sz w:val="22"/>
          <w:szCs w:val="22"/>
        </w:rPr>
        <w:t xml:space="preserve">Employees are responsible for their own personal tax compliance. OptiAgent provides tax advisory support for internationally mobile employees via Deloitte (first year of assignment). Employees working remotely from a country other than their employment country may create personal and corporate tax obligations — consult mobility@optiagent.com before working abroad for more than 30 consecutive days.</w:t>
      </w:r>
    </w:p>
    <w:p>
      <w:r>
        <w:br w:type="page"/>
      </w:r>
    </w:p>
    <w:p>
      <w:pPr>
        <w:pStyle w:val="Heading1"/>
        <w:spacing w:after="200" w:before="400"/>
      </w:pPr>
      <w:r>
        <w:t xml:space="preserve">14. Financial Reporting &amp; Close Process</w:t>
      </w:r>
    </w:p>
    <w:p>
      <w:pPr>
        <w:pStyle w:val="Heading2"/>
        <w:spacing w:after="150" w:before="300"/>
      </w:pPr>
      <w:r>
        <w:t xml:space="preserve">14.1 Close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1800"/>
        <w:gridCol w:w="4360"/>
      </w:tblGrid>
      <w:tr>
        <w:tc>
          <w:tcPr>
            <w:tcW w:type="dxa" w:w="1600"/>
            <w:shd w:fill="1A5276" w:color="1A5276" w:val="clear"/>
          </w:tcPr>
          <w:p>
            <w:pPr>
              <w:spacing w:after="60"/>
            </w:pPr>
            <w:r>
              <w:rPr>
                <w:b/>
                <w:bCs/>
                <w:color w:val="FFFFFF"/>
                <w:sz w:val="20"/>
                <w:szCs w:val="20"/>
              </w:rPr>
              <w:t xml:space="preserve">Close Type</w:t>
            </w:r>
          </w:p>
        </w:tc>
        <w:tc>
          <w:tcPr>
            <w:tcW w:type="dxa" w:w="1600"/>
            <w:shd w:fill="1A5276" w:color="1A5276" w:val="clear"/>
          </w:tcPr>
          <w:p>
            <w:pPr>
              <w:spacing w:after="60"/>
            </w:pPr>
            <w:r>
              <w:rPr>
                <w:b/>
                <w:bCs/>
                <w:color w:val="FFFFFF"/>
                <w:sz w:val="20"/>
                <w:szCs w:val="20"/>
              </w:rPr>
              <w:t xml:space="preserve">Frequency</w:t>
            </w:r>
          </w:p>
        </w:tc>
        <w:tc>
          <w:tcPr>
            <w:tcW w:type="dxa" w:w="2000"/>
            <w:shd w:fill="1A5276" w:color="1A5276" w:val="clear"/>
          </w:tcPr>
          <w:p>
            <w:pPr>
              <w:spacing w:after="60"/>
            </w:pPr>
            <w:r>
              <w:rPr>
                <w:b/>
                <w:bCs/>
                <w:color w:val="FFFFFF"/>
                <w:sz w:val="20"/>
                <w:szCs w:val="20"/>
              </w:rPr>
              <w:t xml:space="preserve">Preliminary Close</w:t>
            </w:r>
          </w:p>
        </w:tc>
        <w:tc>
          <w:tcPr>
            <w:tcW w:type="dxa" w:w="1800"/>
            <w:shd w:fill="1A5276" w:color="1A5276" w:val="clear"/>
          </w:tcPr>
          <w:p>
            <w:pPr>
              <w:spacing w:after="60"/>
            </w:pPr>
            <w:r>
              <w:rPr>
                <w:b/>
                <w:bCs/>
                <w:color w:val="FFFFFF"/>
                <w:sz w:val="20"/>
                <w:szCs w:val="20"/>
              </w:rPr>
              <w:t xml:space="preserve">Final Close</w:t>
            </w:r>
          </w:p>
        </w:tc>
        <w:tc>
          <w:tcPr>
            <w:tcW w:type="dxa" w:w="4360"/>
            <w:shd w:fill="1A5276" w:color="1A5276" w:val="clear"/>
          </w:tcPr>
          <w:p>
            <w:pPr>
              <w:spacing w:after="60"/>
            </w:pPr>
            <w:r>
              <w:rPr>
                <w:b/>
                <w:bCs/>
                <w:color w:val="FFFFFF"/>
                <w:sz w:val="20"/>
                <w:szCs w:val="20"/>
              </w:rPr>
              <w:t xml:space="preserve">Board Reporting</w:t>
            </w:r>
          </w:p>
        </w:tc>
      </w:tr>
      <w:tr>
        <w:tc>
          <w:tcPr>
            <w:tcW w:type="dxa" w:w="1600"/>
            <w:shd w:fill="EBF5FB" w:color="EBF5FB" w:val="clear"/>
          </w:tcPr>
          <w:p>
            <w:pPr>
              <w:spacing w:after="60"/>
            </w:pPr>
            <w:r>
              <w:rPr>
                <w:sz w:val="20"/>
                <w:szCs w:val="20"/>
              </w:rPr>
              <w:t xml:space="preserve">Monthly close</w:t>
            </w:r>
          </w:p>
        </w:tc>
        <w:tc>
          <w:tcPr>
            <w:tcW w:type="dxa" w:w="1600"/>
            <w:shd w:fill="EBF5FB" w:color="EBF5FB" w:val="clear"/>
          </w:tcPr>
          <w:p>
            <w:pPr>
              <w:spacing w:after="60"/>
            </w:pPr>
            <w:r>
              <w:rPr>
                <w:sz w:val="20"/>
                <w:szCs w:val="20"/>
              </w:rPr>
              <w:t xml:space="preserve">Monthly</w:t>
            </w:r>
          </w:p>
        </w:tc>
        <w:tc>
          <w:tcPr>
            <w:tcW w:type="dxa" w:w="2000"/>
            <w:shd w:fill="EBF5FB" w:color="EBF5FB" w:val="clear"/>
          </w:tcPr>
          <w:p>
            <w:pPr>
              <w:spacing w:after="60"/>
            </w:pPr>
            <w:r>
              <w:rPr>
                <w:sz w:val="20"/>
                <w:szCs w:val="20"/>
              </w:rPr>
              <w:t xml:space="preserve">By 5th business day after month end</w:t>
            </w:r>
          </w:p>
        </w:tc>
        <w:tc>
          <w:tcPr>
            <w:tcW w:type="dxa" w:w="1800"/>
            <w:shd w:fill="EBF5FB" w:color="EBF5FB" w:val="clear"/>
          </w:tcPr>
          <w:p>
            <w:pPr>
              <w:spacing w:after="60"/>
            </w:pPr>
            <w:r>
              <w:rPr>
                <w:sz w:val="20"/>
                <w:szCs w:val="20"/>
              </w:rPr>
              <w:t xml:space="preserve">By 8th business day</w:t>
            </w:r>
          </w:p>
        </w:tc>
        <w:tc>
          <w:tcPr>
            <w:tcW w:type="dxa" w:w="4360"/>
            <w:shd w:fill="EBF5FB" w:color="EBF5FB" w:val="clear"/>
          </w:tcPr>
          <w:p>
            <w:pPr>
              <w:spacing w:after="60"/>
            </w:pPr>
            <w:r>
              <w:rPr>
                <w:sz w:val="20"/>
                <w:szCs w:val="20"/>
              </w:rPr>
              <w:t xml:space="preserve">CFO summary by 10th</w:t>
            </w:r>
          </w:p>
        </w:tc>
      </w:tr>
      <w:tr>
        <w:tc>
          <w:tcPr>
            <w:tcW w:type="dxa" w:w="1600"/>
            <w:shd w:fill="FFFFFF" w:color="FFFFFF" w:val="clear"/>
          </w:tcPr>
          <w:p>
            <w:pPr>
              <w:spacing w:after="60"/>
            </w:pPr>
            <w:r>
              <w:rPr>
                <w:sz w:val="20"/>
                <w:szCs w:val="20"/>
              </w:rPr>
              <w:t xml:space="preserve">Quarterly close</w:t>
            </w:r>
          </w:p>
        </w:tc>
        <w:tc>
          <w:tcPr>
            <w:tcW w:type="dxa" w:w="1600"/>
            <w:shd w:fill="FFFFFF" w:color="FFFFFF" w:val="clear"/>
          </w:tcPr>
          <w:p>
            <w:pPr>
              <w:spacing w:after="60"/>
            </w:pPr>
            <w:r>
              <w:rPr>
                <w:sz w:val="20"/>
                <w:szCs w:val="20"/>
              </w:rPr>
              <w:t xml:space="preserve">Quarterly (Mar, Jun, Sep, Dec)</w:t>
            </w:r>
          </w:p>
        </w:tc>
        <w:tc>
          <w:tcPr>
            <w:tcW w:type="dxa" w:w="2000"/>
            <w:shd w:fill="FFFFFF" w:color="FFFFFF" w:val="clear"/>
          </w:tcPr>
          <w:p>
            <w:pPr>
              <w:spacing w:after="60"/>
            </w:pPr>
            <w:r>
              <w:rPr>
                <w:sz w:val="20"/>
                <w:szCs w:val="20"/>
              </w:rPr>
              <w:t xml:space="preserve">By 8th business day</w:t>
            </w:r>
          </w:p>
        </w:tc>
        <w:tc>
          <w:tcPr>
            <w:tcW w:type="dxa" w:w="1800"/>
            <w:shd w:fill="FFFFFF" w:color="FFFFFF" w:val="clear"/>
          </w:tcPr>
          <w:p>
            <w:pPr>
              <w:spacing w:after="60"/>
            </w:pPr>
            <w:r>
              <w:rPr>
                <w:sz w:val="20"/>
                <w:szCs w:val="20"/>
              </w:rPr>
              <w:t xml:space="preserve">By 12th business day</w:t>
            </w:r>
          </w:p>
        </w:tc>
        <w:tc>
          <w:tcPr>
            <w:tcW w:type="dxa" w:w="4360"/>
            <w:shd w:fill="FFFFFF" w:color="FFFFFF" w:val="clear"/>
          </w:tcPr>
          <w:p>
            <w:pPr>
              <w:spacing w:after="60"/>
            </w:pPr>
            <w:r>
              <w:rPr>
                <w:sz w:val="20"/>
                <w:szCs w:val="20"/>
              </w:rPr>
              <w:t xml:space="preserve">Board package by 15th</w:t>
            </w:r>
          </w:p>
        </w:tc>
      </w:tr>
      <w:tr>
        <w:tc>
          <w:tcPr>
            <w:tcW w:type="dxa" w:w="1600"/>
            <w:shd w:fill="EBF5FB" w:color="EBF5FB" w:val="clear"/>
          </w:tcPr>
          <w:p>
            <w:pPr>
              <w:spacing w:after="60"/>
            </w:pPr>
            <w:r>
              <w:rPr>
                <w:sz w:val="20"/>
                <w:szCs w:val="20"/>
              </w:rPr>
              <w:t xml:space="preserve">Annual close</w:t>
            </w:r>
          </w:p>
        </w:tc>
        <w:tc>
          <w:tcPr>
            <w:tcW w:type="dxa" w:w="1600"/>
            <w:shd w:fill="EBF5FB" w:color="EBF5FB" w:val="clear"/>
          </w:tcPr>
          <w:p>
            <w:pPr>
              <w:spacing w:after="60"/>
            </w:pPr>
            <w:r>
              <w:rPr>
                <w:sz w:val="20"/>
                <w:szCs w:val="20"/>
              </w:rPr>
              <w:t xml:space="preserve">Annually (December 31 FY)</w:t>
            </w:r>
          </w:p>
        </w:tc>
        <w:tc>
          <w:tcPr>
            <w:tcW w:type="dxa" w:w="2000"/>
            <w:shd w:fill="EBF5FB" w:color="EBF5FB" w:val="clear"/>
          </w:tcPr>
          <w:p>
            <w:pPr>
              <w:spacing w:after="60"/>
            </w:pPr>
            <w:r>
              <w:rPr>
                <w:sz w:val="20"/>
                <w:szCs w:val="20"/>
              </w:rPr>
              <w:t xml:space="preserve">By 15th business day (Jan)</w:t>
            </w:r>
          </w:p>
        </w:tc>
        <w:tc>
          <w:tcPr>
            <w:tcW w:type="dxa" w:w="1800"/>
            <w:shd w:fill="EBF5FB" w:color="EBF5FB" w:val="clear"/>
          </w:tcPr>
          <w:p>
            <w:pPr>
              <w:spacing w:after="60"/>
            </w:pPr>
            <w:r>
              <w:rPr>
                <w:sz w:val="20"/>
                <w:szCs w:val="20"/>
              </w:rPr>
              <w:t xml:space="preserve">By 25th business day (Jan)</w:t>
            </w:r>
          </w:p>
        </w:tc>
        <w:tc>
          <w:tcPr>
            <w:tcW w:type="dxa" w:w="4360"/>
            <w:shd w:fill="EBF5FB" w:color="EBF5FB" w:val="clear"/>
          </w:tcPr>
          <w:p>
            <w:pPr>
              <w:spacing w:after="60"/>
            </w:pPr>
            <w:r>
              <w:rPr>
                <w:sz w:val="20"/>
                <w:szCs w:val="20"/>
              </w:rPr>
              <w:t xml:space="preserve">Annual report by March 31</w:t>
            </w:r>
          </w:p>
        </w:tc>
      </w:tr>
    </w:tbl>
    <w:p>
      <w:pPr>
        <w:spacing w:after="80"/>
      </w:pPr>
      <w:r>
        <w:t xml:space="preserve"/>
      </w:r>
    </w:p>
    <w:p>
      <w:pPr>
        <w:pStyle w:val="Heading2"/>
        <w:spacing w:after="150" w:before="300"/>
      </w:pPr>
      <w:r>
        <w:t xml:space="preserve">14.2 Financial Statements</w:t>
      </w:r>
    </w:p>
    <w:p>
      <w:pPr>
        <w:spacing w:after="120" w:line="276"/>
      </w:pPr>
      <w:r>
        <w:rPr>
          <w:sz w:val="22"/>
          <w:szCs w:val="22"/>
        </w:rPr>
        <w:t xml:space="preserve">OptiAgent Technologies prepares:</w:t>
      </w:r>
    </w:p>
    <w:p>
      <w:pPr>
        <w:pStyle w:val="ListParagraph"/>
        <w:numPr>
          <w:ilvl w:val="0"/>
          <w:numId w:val="1"/>
        </w:numPr>
        <w:spacing w:after="80"/>
      </w:pPr>
      <w:r>
        <w:rPr>
          <w:sz w:val="22"/>
          <w:szCs w:val="22"/>
        </w:rPr>
        <w:t xml:space="preserve">Consolidated financial statements under US GAAP (primary) for the US parent entity</w:t>
      </w:r>
    </w:p>
    <w:p>
      <w:pPr>
        <w:pStyle w:val="ListParagraph"/>
        <w:numPr>
          <w:ilvl w:val="0"/>
          <w:numId w:val="1"/>
        </w:numPr>
        <w:spacing w:after="80"/>
      </w:pPr>
      <w:r>
        <w:rPr>
          <w:sz w:val="22"/>
          <w:szCs w:val="22"/>
        </w:rPr>
        <w:t xml:space="preserve">Statutory accounts under local GAAP for each subsidiary (Companies Act 2006 for UK; HGB for Germany; Companies Act 2013 for India; Singapore Companies Act for Singapore)</w:t>
      </w:r>
    </w:p>
    <w:p>
      <w:pPr>
        <w:pStyle w:val="ListParagraph"/>
        <w:numPr>
          <w:ilvl w:val="0"/>
          <w:numId w:val="1"/>
        </w:numPr>
        <w:spacing w:after="80"/>
      </w:pPr>
      <w:r>
        <w:rPr>
          <w:sz w:val="22"/>
          <w:szCs w:val="22"/>
        </w:rPr>
        <w:t xml:space="preserve">Monthly management accounts (P&amp;L, Balance Sheet, Cash Flow, headcount) distributed to ExCo and Board</w:t>
      </w:r>
    </w:p>
    <w:p>
      <w:pPr>
        <w:pStyle w:val="ListParagraph"/>
        <w:numPr>
          <w:ilvl w:val="0"/>
          <w:numId w:val="1"/>
        </w:numPr>
        <w:spacing w:after="80"/>
      </w:pPr>
      <w:r>
        <w:rPr>
          <w:sz w:val="22"/>
          <w:szCs w:val="22"/>
        </w:rPr>
        <w:t xml:space="preserve">IFRS financial statements for certain lender and investor reporting requirements</w:t>
      </w:r>
    </w:p>
    <w:p>
      <w:pPr>
        <w:pStyle w:val="Heading2"/>
        <w:spacing w:after="150" w:before="300"/>
      </w:pPr>
      <w:r>
        <w:t xml:space="preserve">14.3 Month-End Journal Entries</w:t>
      </w:r>
    </w:p>
    <w:p>
      <w:pPr>
        <w:spacing w:after="120" w:line="276"/>
      </w:pPr>
      <w:r>
        <w:rPr>
          <w:sz w:val="22"/>
          <w:szCs w:val="22"/>
        </w:rPr>
        <w:t xml:space="preserve">All journal entries above USD 10,000 must be prepared by one Finance team member and reviewed/approved by a second Finance team member before posting. Journal entries must include: a description of the business purpose, supporting documentation (attached in NetSuite), the cost center and GL account codes, and the period to which the entry relates. Unsupported journal entries are a key fraud risk indicator and are flagged in the monthly Internal Audit review.</w:t>
      </w:r>
    </w:p>
    <w:p>
      <w:r>
        <w:br w:type="page"/>
      </w:r>
    </w:p>
    <w:p>
      <w:pPr>
        <w:pStyle w:val="Heading1"/>
        <w:spacing w:after="200" w:before="400"/>
      </w:pPr>
      <w:r>
        <w:t xml:space="preserve">15. Internal Controls Framework</w:t>
      </w:r>
    </w:p>
    <w:p>
      <w:pPr>
        <w:pStyle w:val="Heading2"/>
        <w:spacing w:after="150" w:before="300"/>
      </w:pPr>
      <w:r>
        <w:t xml:space="preserve">15.1 Control Environment</w:t>
      </w:r>
    </w:p>
    <w:p>
      <w:pPr>
        <w:spacing w:after="120" w:line="276"/>
      </w:pPr>
      <w:r>
        <w:rPr>
          <w:sz w:val="22"/>
          <w:szCs w:val="22"/>
        </w:rPr>
        <w:t xml:space="preserve">OptiAgent Technologies' internal controls framework is aligned with the COSO Internal Controls — Integrated Framework. The framework covers five components: Control Environment, Risk Assessment, Control Activities, Information &amp; Communication, and Monitoring Activities.</w:t>
      </w:r>
    </w:p>
    <w:p>
      <w:pPr>
        <w:pStyle w:val="Heading2"/>
        <w:spacing w:after="150" w:before="300"/>
      </w:pPr>
      <w:r>
        <w:t xml:space="preserve">15.2 Key Financial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600"/>
        <w:gridCol w:w="2760"/>
      </w:tblGrid>
      <w:tr>
        <w:tc>
          <w:tcPr>
            <w:tcW w:type="dxa" w:w="2200"/>
            <w:shd w:fill="1A5276" w:color="1A5276" w:val="clear"/>
          </w:tcPr>
          <w:p>
            <w:pPr>
              <w:spacing w:after="60"/>
            </w:pPr>
            <w:r>
              <w:rPr>
                <w:b/>
                <w:bCs/>
                <w:color w:val="FFFFFF"/>
                <w:sz w:val="20"/>
                <w:szCs w:val="20"/>
              </w:rPr>
              <w:t xml:space="preserve">Control Area</w:t>
            </w:r>
          </w:p>
        </w:tc>
        <w:tc>
          <w:tcPr>
            <w:tcW w:type="dxa" w:w="2800"/>
            <w:shd w:fill="1A5276" w:color="1A5276" w:val="clear"/>
          </w:tcPr>
          <w:p>
            <w:pPr>
              <w:spacing w:after="60"/>
            </w:pPr>
            <w:r>
              <w:rPr>
                <w:b/>
                <w:bCs/>
                <w:color w:val="FFFFFF"/>
                <w:sz w:val="20"/>
                <w:szCs w:val="20"/>
              </w:rPr>
              <w:t xml:space="preserve">Key Control</w:t>
            </w:r>
          </w:p>
        </w:tc>
        <w:tc>
          <w:tcPr>
            <w:tcW w:type="dxa" w:w="1600"/>
            <w:shd w:fill="1A5276" w:color="1A5276" w:val="clear"/>
          </w:tcPr>
          <w:p>
            <w:pPr>
              <w:spacing w:after="60"/>
            </w:pPr>
            <w:r>
              <w:rPr>
                <w:b/>
                <w:bCs/>
                <w:color w:val="FFFFFF"/>
                <w:sz w:val="20"/>
                <w:szCs w:val="20"/>
              </w:rPr>
              <w:t xml:space="preserve">Frequency</w:t>
            </w:r>
          </w:p>
        </w:tc>
        <w:tc>
          <w:tcPr>
            <w:tcW w:type="dxa" w:w="2760"/>
            <w:shd w:fill="1A5276" w:color="1A5276" w:val="clear"/>
          </w:tcPr>
          <w:p>
            <w:pPr>
              <w:spacing w:after="60"/>
            </w:pPr>
            <w:r>
              <w:rPr>
                <w:b/>
                <w:bCs/>
                <w:color w:val="FFFFFF"/>
                <w:sz w:val="20"/>
                <w:szCs w:val="20"/>
              </w:rPr>
              <w:t xml:space="preserve">Owner</w:t>
            </w:r>
          </w:p>
        </w:tc>
      </w:tr>
      <w:tr>
        <w:tc>
          <w:tcPr>
            <w:tcW w:type="dxa" w:w="2200"/>
            <w:shd w:fill="EBF5FB" w:color="EBF5FB" w:val="clear"/>
          </w:tcPr>
          <w:p>
            <w:pPr>
              <w:spacing w:after="60"/>
            </w:pPr>
            <w:r>
              <w:rPr>
                <w:sz w:val="20"/>
                <w:szCs w:val="20"/>
              </w:rPr>
              <w:t xml:space="preserve">Bank reconciliation</w:t>
            </w:r>
          </w:p>
        </w:tc>
        <w:tc>
          <w:tcPr>
            <w:tcW w:type="dxa" w:w="2800"/>
            <w:shd w:fill="EBF5FB" w:color="EBF5FB" w:val="clear"/>
          </w:tcPr>
          <w:p>
            <w:pPr>
              <w:spacing w:after="60"/>
            </w:pPr>
            <w:r>
              <w:rPr>
                <w:sz w:val="20"/>
                <w:szCs w:val="20"/>
              </w:rPr>
              <w:t xml:space="preserve">All bank accounts reconciled to NetSuite</w:t>
            </w:r>
          </w:p>
        </w:tc>
        <w:tc>
          <w:tcPr>
            <w:tcW w:type="dxa" w:w="1600"/>
            <w:shd w:fill="EBF5FB" w:color="EBF5FB" w:val="clear"/>
          </w:tcPr>
          <w:p>
            <w:pPr>
              <w:spacing w:after="60"/>
            </w:pPr>
            <w:r>
              <w:rPr>
                <w:sz w:val="20"/>
                <w:szCs w:val="20"/>
              </w:rPr>
              <w:t xml:space="preserve">Monthly</w:t>
            </w:r>
          </w:p>
        </w:tc>
        <w:tc>
          <w:tcPr>
            <w:tcW w:type="dxa" w:w="2760"/>
            <w:shd w:fill="EBF5FB" w:color="EBF5FB" w:val="clear"/>
          </w:tcPr>
          <w:p>
            <w:pPr>
              <w:spacing w:after="60"/>
            </w:pPr>
            <w:r>
              <w:rPr>
                <w:sz w:val="20"/>
                <w:szCs w:val="20"/>
              </w:rPr>
              <w:t xml:space="preserve">Controller</w:t>
            </w:r>
          </w:p>
        </w:tc>
      </w:tr>
      <w:tr>
        <w:tc>
          <w:tcPr>
            <w:tcW w:type="dxa" w:w="2200"/>
            <w:shd w:fill="FFFFFF" w:color="FFFFFF" w:val="clear"/>
          </w:tcPr>
          <w:p>
            <w:pPr>
              <w:spacing w:after="60"/>
            </w:pPr>
            <w:r>
              <w:rPr>
                <w:sz w:val="20"/>
                <w:szCs w:val="20"/>
              </w:rPr>
              <w:t xml:space="preserve">AP aging review</w:t>
            </w:r>
          </w:p>
        </w:tc>
        <w:tc>
          <w:tcPr>
            <w:tcW w:type="dxa" w:w="2800"/>
            <w:shd w:fill="FFFFFF" w:color="FFFFFF" w:val="clear"/>
          </w:tcPr>
          <w:p>
            <w:pPr>
              <w:spacing w:after="60"/>
            </w:pPr>
            <w:r>
              <w:rPr>
                <w:sz w:val="20"/>
                <w:szCs w:val="20"/>
              </w:rPr>
              <w:t xml:space="preserve">Review of open payables &gt; 60 days</w:t>
            </w:r>
          </w:p>
        </w:tc>
        <w:tc>
          <w:tcPr>
            <w:tcW w:type="dxa" w:w="1600"/>
            <w:shd w:fill="FFFFFF" w:color="FFFFFF" w:val="clear"/>
          </w:tcPr>
          <w:p>
            <w:pPr>
              <w:spacing w:after="60"/>
            </w:pPr>
            <w:r>
              <w:rPr>
                <w:sz w:val="20"/>
                <w:szCs w:val="20"/>
              </w:rPr>
              <w:t xml:space="preserve">Monthly</w:t>
            </w:r>
          </w:p>
        </w:tc>
        <w:tc>
          <w:tcPr>
            <w:tcW w:type="dxa" w:w="2760"/>
            <w:shd w:fill="FFFFFF" w:color="FFFFFF" w:val="clear"/>
          </w:tcPr>
          <w:p>
            <w:pPr>
              <w:spacing w:after="60"/>
            </w:pPr>
            <w:r>
              <w:rPr>
                <w:sz w:val="20"/>
                <w:szCs w:val="20"/>
              </w:rPr>
              <w:t xml:space="preserve">AP Manager</w:t>
            </w:r>
          </w:p>
        </w:tc>
      </w:tr>
      <w:tr>
        <w:tc>
          <w:tcPr>
            <w:tcW w:type="dxa" w:w="2200"/>
            <w:shd w:fill="EBF5FB" w:color="EBF5FB" w:val="clear"/>
          </w:tcPr>
          <w:p>
            <w:pPr>
              <w:spacing w:after="60"/>
            </w:pPr>
            <w:r>
              <w:rPr>
                <w:sz w:val="20"/>
                <w:szCs w:val="20"/>
              </w:rPr>
              <w:t xml:space="preserve">AR aging review</w:t>
            </w:r>
          </w:p>
        </w:tc>
        <w:tc>
          <w:tcPr>
            <w:tcW w:type="dxa" w:w="2800"/>
            <w:shd w:fill="EBF5FB" w:color="EBF5FB" w:val="clear"/>
          </w:tcPr>
          <w:p>
            <w:pPr>
              <w:spacing w:after="60"/>
            </w:pPr>
            <w:r>
              <w:rPr>
                <w:sz w:val="20"/>
                <w:szCs w:val="20"/>
              </w:rPr>
              <w:t xml:space="preserve">Review of receivables &gt; 60 days; provision assessment</w:t>
            </w:r>
          </w:p>
        </w:tc>
        <w:tc>
          <w:tcPr>
            <w:tcW w:type="dxa" w:w="1600"/>
            <w:shd w:fill="EBF5FB" w:color="EBF5FB" w:val="clear"/>
          </w:tcPr>
          <w:p>
            <w:pPr>
              <w:spacing w:after="60"/>
            </w:pPr>
            <w:r>
              <w:rPr>
                <w:sz w:val="20"/>
                <w:szCs w:val="20"/>
              </w:rPr>
              <w:t xml:space="preserve">Monthly</w:t>
            </w:r>
          </w:p>
        </w:tc>
        <w:tc>
          <w:tcPr>
            <w:tcW w:type="dxa" w:w="2760"/>
            <w:shd w:fill="EBF5FB" w:color="EBF5FB" w:val="clear"/>
          </w:tcPr>
          <w:p>
            <w:pPr>
              <w:spacing w:after="60"/>
            </w:pPr>
            <w:r>
              <w:rPr>
                <w:sz w:val="20"/>
                <w:szCs w:val="20"/>
              </w:rPr>
              <w:t xml:space="preserve">Revenue Ops + Controller</w:t>
            </w:r>
          </w:p>
        </w:tc>
      </w:tr>
      <w:tr>
        <w:tc>
          <w:tcPr>
            <w:tcW w:type="dxa" w:w="2200"/>
            <w:shd w:fill="FFFFFF" w:color="FFFFFF" w:val="clear"/>
          </w:tcPr>
          <w:p>
            <w:pPr>
              <w:spacing w:after="60"/>
            </w:pPr>
            <w:r>
              <w:rPr>
                <w:sz w:val="20"/>
                <w:szCs w:val="20"/>
              </w:rPr>
              <w:t xml:space="preserve">Payroll audit</w:t>
            </w:r>
          </w:p>
        </w:tc>
        <w:tc>
          <w:tcPr>
            <w:tcW w:type="dxa" w:w="2800"/>
            <w:shd w:fill="FFFFFF" w:color="FFFFFF" w:val="clear"/>
          </w:tcPr>
          <w:p>
            <w:pPr>
              <w:spacing w:after="60"/>
            </w:pPr>
            <w:r>
              <w:rPr>
                <w:sz w:val="20"/>
                <w:szCs w:val="20"/>
              </w:rPr>
              <w:t xml:space="preserve">Comparison of payroll output to HR headcount and salary data</w:t>
            </w:r>
          </w:p>
        </w:tc>
        <w:tc>
          <w:tcPr>
            <w:tcW w:type="dxa" w:w="1600"/>
            <w:shd w:fill="FFFFFF" w:color="FFFFFF" w:val="clear"/>
          </w:tcPr>
          <w:p>
            <w:pPr>
              <w:spacing w:after="60"/>
            </w:pPr>
            <w:r>
              <w:rPr>
                <w:sz w:val="20"/>
                <w:szCs w:val="20"/>
              </w:rPr>
              <w:t xml:space="preserve">Monthly</w:t>
            </w:r>
          </w:p>
        </w:tc>
        <w:tc>
          <w:tcPr>
            <w:tcW w:type="dxa" w:w="2760"/>
            <w:shd w:fill="FFFFFF" w:color="FFFFFF" w:val="clear"/>
          </w:tcPr>
          <w:p>
            <w:pPr>
              <w:spacing w:after="60"/>
            </w:pPr>
            <w:r>
              <w:rPr>
                <w:sz w:val="20"/>
                <w:szCs w:val="20"/>
              </w:rPr>
              <w:t xml:space="preserve">Controller + HR</w:t>
            </w:r>
          </w:p>
        </w:tc>
      </w:tr>
      <w:tr>
        <w:tc>
          <w:tcPr>
            <w:tcW w:type="dxa" w:w="2200"/>
            <w:shd w:fill="EBF5FB" w:color="EBF5FB" w:val="clear"/>
          </w:tcPr>
          <w:p>
            <w:pPr>
              <w:spacing w:after="60"/>
            </w:pPr>
            <w:r>
              <w:rPr>
                <w:sz w:val="20"/>
                <w:szCs w:val="20"/>
              </w:rPr>
              <w:t xml:space="preserve">Expense claim review</w:t>
            </w:r>
          </w:p>
        </w:tc>
        <w:tc>
          <w:tcPr>
            <w:tcW w:type="dxa" w:w="2800"/>
            <w:shd w:fill="EBF5FB" w:color="EBF5FB" w:val="clear"/>
          </w:tcPr>
          <w:p>
            <w:pPr>
              <w:spacing w:after="60"/>
            </w:pPr>
            <w:r>
              <w:rPr>
                <w:sz w:val="20"/>
                <w:szCs w:val="20"/>
              </w:rPr>
              <w:t xml:space="preserve">Sample review (10%) of approved expense claims for policy compliance</w:t>
            </w:r>
          </w:p>
        </w:tc>
        <w:tc>
          <w:tcPr>
            <w:tcW w:type="dxa" w:w="1600"/>
            <w:shd w:fill="EBF5FB" w:color="EBF5FB" w:val="clear"/>
          </w:tcPr>
          <w:p>
            <w:pPr>
              <w:spacing w:after="60"/>
            </w:pPr>
            <w:r>
              <w:rPr>
                <w:sz w:val="20"/>
                <w:szCs w:val="20"/>
              </w:rPr>
              <w:t xml:space="preserve">Monthly</w:t>
            </w:r>
          </w:p>
        </w:tc>
        <w:tc>
          <w:tcPr>
            <w:tcW w:type="dxa" w:w="2760"/>
            <w:shd w:fill="EBF5FB" w:color="EBF5FB" w:val="clear"/>
          </w:tcPr>
          <w:p>
            <w:pPr>
              <w:spacing w:after="60"/>
            </w:pPr>
            <w:r>
              <w:rPr>
                <w:sz w:val="20"/>
                <w:szCs w:val="20"/>
              </w:rPr>
              <w:t xml:space="preserve">Finance Analyst</w:t>
            </w:r>
          </w:p>
        </w:tc>
      </w:tr>
      <w:tr>
        <w:tc>
          <w:tcPr>
            <w:tcW w:type="dxa" w:w="2200"/>
            <w:shd w:fill="FFFFFF" w:color="FFFFFF" w:val="clear"/>
          </w:tcPr>
          <w:p>
            <w:pPr>
              <w:spacing w:after="60"/>
            </w:pPr>
            <w:r>
              <w:rPr>
                <w:sz w:val="20"/>
                <w:szCs w:val="20"/>
              </w:rPr>
              <w:t xml:space="preserve">Segregation of duties review</w:t>
            </w:r>
          </w:p>
        </w:tc>
        <w:tc>
          <w:tcPr>
            <w:tcW w:type="dxa" w:w="2800"/>
            <w:shd w:fill="FFFFFF" w:color="FFFFFF" w:val="clear"/>
          </w:tcPr>
          <w:p>
            <w:pPr>
              <w:spacing w:after="60"/>
            </w:pPr>
            <w:r>
              <w:rPr>
                <w:sz w:val="20"/>
                <w:szCs w:val="20"/>
              </w:rPr>
              <w:t xml:space="preserve">Review that no individual has conflicting system roles in NetSuite</w:t>
            </w:r>
          </w:p>
        </w:tc>
        <w:tc>
          <w:tcPr>
            <w:tcW w:type="dxa" w:w="1600"/>
            <w:shd w:fill="FFFFFF" w:color="FFFFFF" w:val="clear"/>
          </w:tcPr>
          <w:p>
            <w:pPr>
              <w:spacing w:after="60"/>
            </w:pPr>
            <w:r>
              <w:rPr>
                <w:sz w:val="20"/>
                <w:szCs w:val="20"/>
              </w:rPr>
              <w:t xml:space="preserve">Quarterly</w:t>
            </w:r>
          </w:p>
        </w:tc>
        <w:tc>
          <w:tcPr>
            <w:tcW w:type="dxa" w:w="2760"/>
            <w:shd w:fill="FFFFFF" w:color="FFFFFF" w:val="clear"/>
          </w:tcPr>
          <w:p>
            <w:pPr>
              <w:spacing w:after="60"/>
            </w:pPr>
            <w:r>
              <w:rPr>
                <w:sz w:val="20"/>
                <w:szCs w:val="20"/>
              </w:rPr>
              <w:t xml:space="preserve">Internal Audit</w:t>
            </w:r>
          </w:p>
        </w:tc>
      </w:tr>
      <w:tr>
        <w:tc>
          <w:tcPr>
            <w:tcW w:type="dxa" w:w="2200"/>
            <w:shd w:fill="EBF5FB" w:color="EBF5FB" w:val="clear"/>
          </w:tcPr>
          <w:p>
            <w:pPr>
              <w:spacing w:after="60"/>
            </w:pPr>
            <w:r>
              <w:rPr>
                <w:sz w:val="20"/>
                <w:szCs w:val="20"/>
              </w:rPr>
              <w:t xml:space="preserve">Vendor master changes</w:t>
            </w:r>
          </w:p>
        </w:tc>
        <w:tc>
          <w:tcPr>
            <w:tcW w:type="dxa" w:w="2800"/>
            <w:shd w:fill="EBF5FB" w:color="EBF5FB" w:val="clear"/>
          </w:tcPr>
          <w:p>
            <w:pPr>
              <w:spacing w:after="60"/>
            </w:pPr>
            <w:r>
              <w:rPr>
                <w:sz w:val="20"/>
                <w:szCs w:val="20"/>
              </w:rPr>
              <w:t xml:space="preserve">All new vendor additions and bank account changes reviewed</w:t>
            </w:r>
          </w:p>
        </w:tc>
        <w:tc>
          <w:tcPr>
            <w:tcW w:type="dxa" w:w="1600"/>
            <w:shd w:fill="EBF5FB" w:color="EBF5FB" w:val="clear"/>
          </w:tcPr>
          <w:p>
            <w:pPr>
              <w:spacing w:after="60"/>
            </w:pPr>
            <w:r>
              <w:rPr>
                <w:sz w:val="20"/>
                <w:szCs w:val="20"/>
              </w:rPr>
              <w:t xml:space="preserve">Weekly</w:t>
            </w:r>
          </w:p>
        </w:tc>
        <w:tc>
          <w:tcPr>
            <w:tcW w:type="dxa" w:w="2760"/>
            <w:shd w:fill="EBF5FB" w:color="EBF5FB" w:val="clear"/>
          </w:tcPr>
          <w:p>
            <w:pPr>
              <w:spacing w:after="60"/>
            </w:pPr>
            <w:r>
              <w:rPr>
                <w:sz w:val="20"/>
                <w:szCs w:val="20"/>
              </w:rPr>
              <w:t xml:space="preserve">AP Manager</w:t>
            </w:r>
          </w:p>
        </w:tc>
      </w:tr>
      <w:tr>
        <w:tc>
          <w:tcPr>
            <w:tcW w:type="dxa" w:w="2200"/>
            <w:shd w:fill="FFFFFF" w:color="FFFFFF" w:val="clear"/>
          </w:tcPr>
          <w:p>
            <w:pPr>
              <w:spacing w:after="60"/>
            </w:pPr>
            <w:r>
              <w:rPr>
                <w:sz w:val="20"/>
                <w:szCs w:val="20"/>
              </w:rPr>
              <w:t xml:space="preserve">Fixed asset reconciliation</w:t>
            </w:r>
          </w:p>
        </w:tc>
        <w:tc>
          <w:tcPr>
            <w:tcW w:type="dxa" w:w="2800"/>
            <w:shd w:fill="FFFFFF" w:color="FFFFFF" w:val="clear"/>
          </w:tcPr>
          <w:p>
            <w:pPr>
              <w:spacing w:after="60"/>
            </w:pPr>
            <w:r>
              <w:rPr>
                <w:sz w:val="20"/>
                <w:szCs w:val="20"/>
              </w:rPr>
              <w:t xml:space="preserve">GL fixed asset balance vs. asset register</w:t>
            </w:r>
          </w:p>
        </w:tc>
        <w:tc>
          <w:tcPr>
            <w:tcW w:type="dxa" w:w="1600"/>
            <w:shd w:fill="FFFFFF" w:color="FFFFFF" w:val="clear"/>
          </w:tcPr>
          <w:p>
            <w:pPr>
              <w:spacing w:after="60"/>
            </w:pPr>
            <w:r>
              <w:rPr>
                <w:sz w:val="20"/>
                <w:szCs w:val="20"/>
              </w:rPr>
              <w:t xml:space="preserve">Quarterly</w:t>
            </w:r>
          </w:p>
        </w:tc>
        <w:tc>
          <w:tcPr>
            <w:tcW w:type="dxa" w:w="2760"/>
            <w:shd w:fill="FFFFFF" w:color="FFFFFF" w:val="clear"/>
          </w:tcPr>
          <w:p>
            <w:pPr>
              <w:spacing w:after="60"/>
            </w:pPr>
            <w:r>
              <w:rPr>
                <w:sz w:val="20"/>
                <w:szCs w:val="20"/>
              </w:rPr>
              <w:t xml:space="preserve">Controller</w:t>
            </w:r>
          </w:p>
        </w:tc>
      </w:tr>
      <w:tr>
        <w:tc>
          <w:tcPr>
            <w:tcW w:type="dxa" w:w="2200"/>
            <w:shd w:fill="EBF5FB" w:color="EBF5FB" w:val="clear"/>
          </w:tcPr>
          <w:p>
            <w:pPr>
              <w:spacing w:after="60"/>
            </w:pPr>
            <w:r>
              <w:rPr>
                <w:sz w:val="20"/>
                <w:szCs w:val="20"/>
              </w:rPr>
              <w:t xml:space="preserve">FX revaluation</w:t>
            </w:r>
          </w:p>
        </w:tc>
        <w:tc>
          <w:tcPr>
            <w:tcW w:type="dxa" w:w="2800"/>
            <w:shd w:fill="EBF5FB" w:color="EBF5FB" w:val="clear"/>
          </w:tcPr>
          <w:p>
            <w:pPr>
              <w:spacing w:after="60"/>
            </w:pPr>
            <w:r>
              <w:rPr>
                <w:sz w:val="20"/>
                <w:szCs w:val="20"/>
              </w:rPr>
              <w:t xml:space="preserve">Revaluation of all foreign-currency balances</w:t>
            </w:r>
          </w:p>
        </w:tc>
        <w:tc>
          <w:tcPr>
            <w:tcW w:type="dxa" w:w="1600"/>
            <w:shd w:fill="EBF5FB" w:color="EBF5FB" w:val="clear"/>
          </w:tcPr>
          <w:p>
            <w:pPr>
              <w:spacing w:after="60"/>
            </w:pPr>
            <w:r>
              <w:rPr>
                <w:sz w:val="20"/>
                <w:szCs w:val="20"/>
              </w:rPr>
              <w:t xml:space="preserve">Monthly close</w:t>
            </w:r>
          </w:p>
        </w:tc>
        <w:tc>
          <w:tcPr>
            <w:tcW w:type="dxa" w:w="2760"/>
            <w:shd w:fill="EBF5FB" w:color="EBF5FB" w:val="clear"/>
          </w:tcPr>
          <w:p>
            <w:pPr>
              <w:spacing w:after="60"/>
            </w:pPr>
            <w:r>
              <w:rPr>
                <w:sz w:val="20"/>
                <w:szCs w:val="20"/>
              </w:rPr>
              <w:t xml:space="preserve">Controller</w:t>
            </w:r>
          </w:p>
        </w:tc>
      </w:tr>
      <w:tr>
        <w:tc>
          <w:tcPr>
            <w:tcW w:type="dxa" w:w="2200"/>
            <w:shd w:fill="FFFFFF" w:color="FFFFFF" w:val="clear"/>
          </w:tcPr>
          <w:p>
            <w:pPr>
              <w:spacing w:after="60"/>
            </w:pPr>
            <w:r>
              <w:rPr>
                <w:sz w:val="20"/>
                <w:szCs w:val="20"/>
              </w:rPr>
              <w:t xml:space="preserve">Revenue recognition review</w:t>
            </w:r>
          </w:p>
        </w:tc>
        <w:tc>
          <w:tcPr>
            <w:tcW w:type="dxa" w:w="2800"/>
            <w:shd w:fill="FFFFFF" w:color="FFFFFF" w:val="clear"/>
          </w:tcPr>
          <w:p>
            <w:pPr>
              <w:spacing w:after="60"/>
            </w:pPr>
            <w:r>
              <w:rPr>
                <w:sz w:val="20"/>
                <w:szCs w:val="20"/>
              </w:rPr>
              <w:t xml:space="preserve">Technical review of new contracts for ASC 606 compliance</w:t>
            </w:r>
          </w:p>
        </w:tc>
        <w:tc>
          <w:tcPr>
            <w:tcW w:type="dxa" w:w="1600"/>
            <w:shd w:fill="FFFFFF" w:color="FFFFFF" w:val="clear"/>
          </w:tcPr>
          <w:p>
            <w:pPr>
              <w:spacing w:after="60"/>
            </w:pPr>
            <w:r>
              <w:rPr>
                <w:sz w:val="20"/>
                <w:szCs w:val="20"/>
              </w:rPr>
              <w:t xml:space="preserve">Per contract</w:t>
            </w:r>
          </w:p>
        </w:tc>
        <w:tc>
          <w:tcPr>
            <w:tcW w:type="dxa" w:w="2760"/>
            <w:shd w:fill="FFFFFF" w:color="FFFFFF" w:val="clear"/>
          </w:tcPr>
          <w:p>
            <w:pPr>
              <w:spacing w:after="60"/>
            </w:pPr>
            <w:r>
              <w:rPr>
                <w:sz w:val="20"/>
                <w:szCs w:val="20"/>
              </w:rPr>
              <w:t xml:space="preserve">Revenue Accounting</w:t>
            </w:r>
          </w:p>
        </w:tc>
      </w:tr>
    </w:tbl>
    <w:p>
      <w:pPr>
        <w:spacing w:after="80"/>
      </w:pPr>
      <w:r>
        <w:t xml:space="preserve"/>
      </w:r>
    </w:p>
    <w:p>
      <w:r>
        <w:br w:type="page"/>
      </w:r>
    </w:p>
    <w:p>
      <w:pPr>
        <w:pStyle w:val="Heading1"/>
        <w:spacing w:after="200" w:before="400"/>
      </w:pPr>
      <w:r>
        <w:t xml:space="preserve">16. Audit Policy</w:t>
      </w:r>
    </w:p>
    <w:p>
      <w:pPr>
        <w:pStyle w:val="Heading2"/>
        <w:spacing w:after="150" w:before="300"/>
      </w:pPr>
      <w:r>
        <w:t xml:space="preserve">16.1 Internal Audit</w:t>
      </w:r>
    </w:p>
    <w:p>
      <w:pPr>
        <w:spacing w:after="120" w:line="276"/>
      </w:pPr>
      <w:r>
        <w:rPr>
          <w:sz w:val="22"/>
          <w:szCs w:val="22"/>
        </w:rPr>
        <w:t xml:space="preserve">The Internal Audit team operates independently under the oversight of the Audit Committee of the Board of Directors. The team conducts:</w:t>
      </w:r>
    </w:p>
    <w:p>
      <w:pPr>
        <w:pStyle w:val="ListParagraph"/>
        <w:numPr>
          <w:ilvl w:val="0"/>
          <w:numId w:val="1"/>
        </w:numPr>
        <w:spacing w:after="80"/>
      </w:pPr>
      <w:r>
        <w:rPr>
          <w:sz w:val="22"/>
          <w:szCs w:val="22"/>
        </w:rPr>
        <w:t xml:space="preserve">Annual risk-based audit plan (approved by the Audit Committee in Q4 each year)</w:t>
      </w:r>
    </w:p>
    <w:p>
      <w:pPr>
        <w:pStyle w:val="ListParagraph"/>
        <w:numPr>
          <w:ilvl w:val="0"/>
          <w:numId w:val="1"/>
        </w:numPr>
        <w:spacing w:after="80"/>
      </w:pPr>
      <w:r>
        <w:rPr>
          <w:sz w:val="22"/>
          <w:szCs w:val="22"/>
        </w:rPr>
        <w:t xml:space="preserve">Quarterly financial controls testing (expense claims, payroll, AP, journal entries)</w:t>
      </w:r>
    </w:p>
    <w:p>
      <w:pPr>
        <w:pStyle w:val="ListParagraph"/>
        <w:numPr>
          <w:ilvl w:val="0"/>
          <w:numId w:val="1"/>
        </w:numPr>
        <w:spacing w:after="80"/>
      </w:pPr>
      <w:r>
        <w:rPr>
          <w:sz w:val="22"/>
          <w:szCs w:val="22"/>
        </w:rPr>
        <w:t xml:space="preserve">SOC 2 Type II controls testing support</w:t>
      </w:r>
    </w:p>
    <w:p>
      <w:pPr>
        <w:pStyle w:val="ListParagraph"/>
        <w:numPr>
          <w:ilvl w:val="0"/>
          <w:numId w:val="1"/>
        </w:numPr>
        <w:spacing w:after="80"/>
      </w:pPr>
      <w:r>
        <w:rPr>
          <w:sz w:val="22"/>
          <w:szCs w:val="22"/>
        </w:rPr>
        <w:t xml:space="preserve">Ad-hoc investigations on request of the CFO, CEO, or Audit Committee</w:t>
      </w:r>
    </w:p>
    <w:p>
      <w:pPr>
        <w:pStyle w:val="ListParagraph"/>
        <w:numPr>
          <w:ilvl w:val="0"/>
          <w:numId w:val="1"/>
        </w:numPr>
        <w:spacing w:after="80"/>
      </w:pPr>
      <w:r>
        <w:rPr>
          <w:sz w:val="22"/>
          <w:szCs w:val="22"/>
        </w:rPr>
        <w:t xml:space="preserve">Follow-up audits on prior findings to ensure remediation</w:t>
      </w:r>
    </w:p>
    <w:p>
      <w:pPr>
        <w:spacing w:after="120" w:line="276"/>
      </w:pPr>
      <w:r>
        <w:rPr>
          <w:sz w:val="22"/>
          <w:szCs w:val="22"/>
        </w:rPr>
        <w:t xml:space="preserve">Internal audit findings are classified as: Critical (remediate within 30 days), High (remediate within 60 days), Medium (remediate within 90 days), or Low (remediate within 180 days). All Critical and High findings are reported to the CFO and Audit Committee.</w:t>
      </w:r>
    </w:p>
    <w:p>
      <w:pPr>
        <w:pStyle w:val="Heading2"/>
        <w:spacing w:after="150" w:before="300"/>
      </w:pPr>
      <w:r>
        <w:t xml:space="preserve">16.2 External Audit</w:t>
      </w:r>
    </w:p>
    <w:p>
      <w:pPr>
        <w:spacing w:after="120" w:line="276"/>
      </w:pPr>
      <w:r>
        <w:rPr>
          <w:sz w:val="22"/>
          <w:szCs w:val="22"/>
        </w:rPr>
        <w:t xml:space="preserve">OptiAgent Technologies' external financial statement auditor is Deloitte. The annual audit of the consolidated US GAAP financial statements and subsidiary statutory accounts is completed by March 31 each year. Employees are required to cooperate fully with the external audit team and provide requested information within agreed timelines. Withholding information from the external auditor is a terminable offense.</w:t>
      </w:r>
    </w:p>
    <w:p>
      <w:pPr>
        <w:pStyle w:val="Heading2"/>
        <w:spacing w:after="150" w:before="300"/>
      </w:pPr>
      <w:r>
        <w:t xml:space="preserve">16.3 SOC 2 Type II Audit</w:t>
      </w:r>
    </w:p>
    <w:p>
      <w:pPr>
        <w:spacing w:after="120" w:line="276"/>
      </w:pPr>
      <w:r>
        <w:rPr>
          <w:sz w:val="22"/>
          <w:szCs w:val="22"/>
        </w:rPr>
        <w:t xml:space="preserve">The annual SOC 2 Type II audit is conducted by Deloitte covering the period January 1 – December 31. The SOC 2 report covers Security, Availability, Confidentiality, and Processing Integrity trust service categories. Employees in scope for SOC 2 controls (primarily Engineering, IT, Finance, and Security) must comply with the control requirements documented in the SOC 2 Control Matrix maintained by the Security team.</w:t>
      </w:r>
    </w:p>
    <w:p>
      <w:r>
        <w:br w:type="page"/>
      </w:r>
    </w:p>
    <w:p>
      <w:pPr>
        <w:pStyle w:val="Heading1"/>
        <w:spacing w:after="200" w:before="400"/>
      </w:pPr>
      <w:r>
        <w:t xml:space="preserve">17. Anti-Fraud Policy</w:t>
      </w:r>
    </w:p>
    <w:p>
      <w:pPr>
        <w:pStyle w:val="Heading2"/>
        <w:spacing w:after="150" w:before="300"/>
      </w:pPr>
      <w:r>
        <w:t xml:space="preserve">17.1 Fraud Risk</w:t>
      </w:r>
    </w:p>
    <w:p>
      <w:pPr>
        <w:spacing w:after="120" w:line="276"/>
      </w:pPr>
      <w:r>
        <w:rPr>
          <w:sz w:val="22"/>
          <w:szCs w:val="22"/>
        </w:rPr>
        <w:t xml:space="preserve">OptiAgent Technologies takes fraud seriously. Fraud includes any intentional act or omission designed to deceive, resulting in gain for the perpetrator or loss for the company. Examples include:</w:t>
      </w:r>
    </w:p>
    <w:p>
      <w:pPr>
        <w:pStyle w:val="ListParagraph"/>
        <w:numPr>
          <w:ilvl w:val="0"/>
          <w:numId w:val="1"/>
        </w:numPr>
        <w:spacing w:after="80"/>
      </w:pPr>
      <w:r>
        <w:rPr>
          <w:sz w:val="22"/>
          <w:szCs w:val="22"/>
        </w:rPr>
        <w:t xml:space="preserve">Falsifying expense claims or receipts</w:t>
      </w:r>
    </w:p>
    <w:p>
      <w:pPr>
        <w:pStyle w:val="ListParagraph"/>
        <w:numPr>
          <w:ilvl w:val="0"/>
          <w:numId w:val="1"/>
        </w:numPr>
        <w:spacing w:after="80"/>
      </w:pPr>
      <w:r>
        <w:rPr>
          <w:sz w:val="22"/>
          <w:szCs w:val="22"/>
        </w:rPr>
        <w:t xml:space="preserve">Submitting fictitious invoices from non-existent or related vendors</w:t>
      </w:r>
    </w:p>
    <w:p>
      <w:pPr>
        <w:pStyle w:val="ListParagraph"/>
        <w:numPr>
          <w:ilvl w:val="0"/>
          <w:numId w:val="1"/>
        </w:numPr>
        <w:spacing w:after="80"/>
      </w:pPr>
      <w:r>
        <w:rPr>
          <w:sz w:val="22"/>
          <w:szCs w:val="22"/>
        </w:rPr>
        <w:t xml:space="preserve">Manipulating financial records or journal entries for personal gain</w:t>
      </w:r>
    </w:p>
    <w:p>
      <w:pPr>
        <w:pStyle w:val="ListParagraph"/>
        <w:numPr>
          <w:ilvl w:val="0"/>
          <w:numId w:val="1"/>
        </w:numPr>
        <w:spacing w:after="80"/>
      </w:pPr>
      <w:r>
        <w:rPr>
          <w:sz w:val="22"/>
          <w:szCs w:val="22"/>
        </w:rPr>
        <w:t xml:space="preserve">Misappropriating company cash, assets, or intellectual property</w:t>
      </w:r>
    </w:p>
    <w:p>
      <w:pPr>
        <w:pStyle w:val="ListParagraph"/>
        <w:numPr>
          <w:ilvl w:val="0"/>
          <w:numId w:val="1"/>
        </w:numPr>
        <w:spacing w:after="80"/>
      </w:pPr>
      <w:r>
        <w:rPr>
          <w:sz w:val="22"/>
          <w:szCs w:val="22"/>
        </w:rPr>
        <w:t xml:space="preserve">Providing false information in a procurement process</w:t>
      </w:r>
    </w:p>
    <w:p>
      <w:pPr>
        <w:pStyle w:val="ListParagraph"/>
        <w:numPr>
          <w:ilvl w:val="0"/>
          <w:numId w:val="1"/>
        </w:numPr>
        <w:spacing w:after="80"/>
      </w:pPr>
      <w:r>
        <w:rPr>
          <w:sz w:val="22"/>
          <w:szCs w:val="22"/>
        </w:rPr>
        <w:t xml:space="preserve">Accepting bribes or kickbacks from vendors or customers</w:t>
      </w:r>
    </w:p>
    <w:p>
      <w:pPr>
        <w:pStyle w:val="ListParagraph"/>
        <w:numPr>
          <w:ilvl w:val="0"/>
          <w:numId w:val="1"/>
        </w:numPr>
        <w:spacing w:after="80"/>
      </w:pPr>
      <w:r>
        <w:rPr>
          <w:sz w:val="22"/>
          <w:szCs w:val="22"/>
        </w:rPr>
        <w:t xml:space="preserve">Conducting unauthorized trading or speculative activity using company funds</w:t>
      </w:r>
    </w:p>
    <w:p>
      <w:pPr>
        <w:pStyle w:val="Heading2"/>
        <w:spacing w:after="150" w:before="300"/>
      </w:pPr>
      <w:r>
        <w:t xml:space="preserve">17.2 Reporting Suspected Fraud</w:t>
      </w:r>
    </w:p>
    <w:p>
      <w:pPr>
        <w:spacing w:after="120" w:line="276"/>
      </w:pPr>
      <w:r>
        <w:rPr>
          <w:sz w:val="22"/>
          <w:szCs w:val="22"/>
        </w:rPr>
        <w:t xml:space="preserve">Anyone who suspects or discovers fraud must report it immediately to:</w:t>
      </w:r>
    </w:p>
    <w:p>
      <w:pPr>
        <w:pStyle w:val="ListParagraph"/>
        <w:numPr>
          <w:ilvl w:val="0"/>
          <w:numId w:val="1"/>
        </w:numPr>
        <w:spacing w:after="80"/>
      </w:pPr>
      <w:r>
        <w:rPr>
          <w:sz w:val="22"/>
          <w:szCs w:val="22"/>
        </w:rPr>
        <w:t xml:space="preserve">Internal Audit: internal.audit@optiagent.com</w:t>
      </w:r>
    </w:p>
    <w:p>
      <w:pPr>
        <w:pStyle w:val="ListParagraph"/>
        <w:numPr>
          <w:ilvl w:val="0"/>
          <w:numId w:val="1"/>
        </w:numPr>
        <w:spacing w:after="80"/>
      </w:pPr>
      <w:r>
        <w:rPr>
          <w:sz w:val="22"/>
          <w:szCs w:val="22"/>
        </w:rPr>
        <w:t xml:space="preserve">CFO: cfo@optiagent.com</w:t>
      </w:r>
    </w:p>
    <w:p>
      <w:pPr>
        <w:pStyle w:val="ListParagraph"/>
        <w:numPr>
          <w:ilvl w:val="0"/>
          <w:numId w:val="1"/>
        </w:numPr>
        <w:spacing w:after="80"/>
      </w:pPr>
      <w:r>
        <w:rPr>
          <w:sz w:val="22"/>
          <w:szCs w:val="22"/>
        </w:rPr>
        <w:t xml:space="preserve">Ethics Hotline (anonymous): 1-800-OPT-ETHX or ethics.optiagent.com</w:t>
      </w:r>
    </w:p>
    <w:p>
      <w:pPr>
        <w:spacing w:after="120" w:line="276"/>
      </w:pPr>
      <w:r>
        <w:rPr>
          <w:sz w:val="22"/>
          <w:szCs w:val="22"/>
        </w:rPr>
        <w:t xml:space="preserve">Reports may be made anonymously. Retaliation against anyone who reports fraud in good faith is strictly prohibited and is itself a terminable offense. All reports are treated confidentially and investigated by Internal Audit and Legal.</w:t>
      </w:r>
    </w:p>
    <w:p>
      <w:pPr>
        <w:pStyle w:val="Heading2"/>
        <w:spacing w:after="150" w:before="300"/>
      </w:pPr>
      <w:r>
        <w:t xml:space="preserve">17.3 Consequences</w:t>
      </w:r>
    </w:p>
    <w:p>
      <w:pPr>
        <w:spacing w:after="120" w:line="276"/>
      </w:pPr>
      <w:r>
        <w:rPr>
          <w:sz w:val="22"/>
          <w:szCs w:val="22"/>
        </w:rPr>
        <w:t xml:space="preserve">Employees found to have committed fraud will face immediate termination and referral to law enforcement. OptiAgent will seek civil recovery of all losses. The company maintains fidelity / crime insurance (Chubb) to cover fraud-related losses.</w:t>
      </w:r>
    </w:p>
    <w:p>
      <w:r>
        <w:br w:type="page"/>
      </w:r>
    </w:p>
    <w:p>
      <w:pPr>
        <w:pStyle w:val="Heading1"/>
        <w:spacing w:after="200" w:before="400"/>
      </w:pPr>
      <w:r>
        <w:t xml:space="preserve">18. Records Retention (Finance)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200"/>
        <w:gridCol w:w="1960"/>
      </w:tblGrid>
      <w:tr>
        <w:tc>
          <w:tcPr>
            <w:tcW w:type="dxa" w:w="2800"/>
            <w:shd w:fill="1A5276" w:color="1A5276" w:val="clear"/>
          </w:tcPr>
          <w:p>
            <w:pPr>
              <w:spacing w:after="60"/>
            </w:pPr>
            <w:r>
              <w:rPr>
                <w:b/>
                <w:bCs/>
                <w:color w:val="FFFFFF"/>
                <w:sz w:val="20"/>
                <w:szCs w:val="20"/>
              </w:rPr>
              <w:t xml:space="preserve">Record Type</w:t>
            </w:r>
          </w:p>
        </w:tc>
        <w:tc>
          <w:tcPr>
            <w:tcW w:type="dxa" w:w="2400"/>
            <w:shd w:fill="1A5276" w:color="1A5276" w:val="clear"/>
          </w:tcPr>
          <w:p>
            <w:pPr>
              <w:spacing w:after="60"/>
            </w:pPr>
            <w:r>
              <w:rPr>
                <w:b/>
                <w:bCs/>
                <w:color w:val="FFFFFF"/>
                <w:sz w:val="20"/>
                <w:szCs w:val="20"/>
              </w:rPr>
              <w:t xml:space="preserve">Retention Period</w:t>
            </w:r>
          </w:p>
        </w:tc>
        <w:tc>
          <w:tcPr>
            <w:tcW w:type="dxa" w:w="2200"/>
            <w:shd w:fill="1A5276" w:color="1A5276" w:val="clear"/>
          </w:tcPr>
          <w:p>
            <w:pPr>
              <w:spacing w:after="60"/>
            </w:pPr>
            <w:r>
              <w:rPr>
                <w:b/>
                <w:bCs/>
                <w:color w:val="FFFFFF"/>
                <w:sz w:val="20"/>
                <w:szCs w:val="20"/>
              </w:rPr>
              <w:t xml:space="preserve">Format</w:t>
            </w:r>
          </w:p>
        </w:tc>
        <w:tc>
          <w:tcPr>
            <w:tcW w:type="dxa" w:w="1960"/>
            <w:shd w:fill="1A5276" w:color="1A5276" w:val="clear"/>
          </w:tcPr>
          <w:p>
            <w:pPr>
              <w:spacing w:after="60"/>
            </w:pPr>
            <w:r>
              <w:rPr>
                <w:b/>
                <w:bCs/>
                <w:color w:val="FFFFFF"/>
                <w:sz w:val="20"/>
                <w:szCs w:val="20"/>
              </w:rPr>
              <w:t xml:space="preserve">Notes</w:t>
            </w:r>
          </w:p>
        </w:tc>
      </w:tr>
      <w:tr>
        <w:tc>
          <w:tcPr>
            <w:tcW w:type="dxa" w:w="2800"/>
            <w:shd w:fill="EBF5FB" w:color="EBF5FB" w:val="clear"/>
          </w:tcPr>
          <w:p>
            <w:pPr>
              <w:spacing w:after="60"/>
            </w:pPr>
            <w:r>
              <w:rPr>
                <w:sz w:val="20"/>
                <w:szCs w:val="20"/>
              </w:rPr>
              <w:t xml:space="preserve">General ledger and trial balance</w:t>
            </w:r>
          </w:p>
        </w:tc>
        <w:tc>
          <w:tcPr>
            <w:tcW w:type="dxa" w:w="2400"/>
            <w:shd w:fill="EBF5FB" w:color="EBF5FB" w:val="clear"/>
          </w:tcPr>
          <w:p>
            <w:pPr>
              <w:spacing w:after="60"/>
            </w:pPr>
            <w:r>
              <w:rPr>
                <w:sz w:val="20"/>
                <w:szCs w:val="20"/>
              </w:rPr>
              <w:t xml:space="preserve">7 years</w:t>
            </w:r>
          </w:p>
        </w:tc>
        <w:tc>
          <w:tcPr>
            <w:tcW w:type="dxa" w:w="2200"/>
            <w:shd w:fill="EBF5FB" w:color="EBF5FB" w:val="clear"/>
          </w:tcPr>
          <w:p>
            <w:pPr>
              <w:spacing w:after="60"/>
            </w:pPr>
            <w:r>
              <w:rPr>
                <w:sz w:val="20"/>
                <w:szCs w:val="20"/>
              </w:rPr>
              <w:t xml:space="preserve">NetSuite + archive</w:t>
            </w:r>
          </w:p>
        </w:tc>
        <w:tc>
          <w:tcPr>
            <w:tcW w:type="dxa" w:w="1960"/>
            <w:shd w:fill="EBF5FB" w:color="EBF5FB" w:val="clear"/>
          </w:tcPr>
          <w:p>
            <w:pPr>
              <w:spacing w:after="60"/>
            </w:pPr>
            <w:r>
              <w:rPr>
                <w:sz w:val="20"/>
                <w:szCs w:val="20"/>
              </w:rPr>
              <w:t xml:space="preserve">Permanent for founding year and acquisition years</w:t>
            </w:r>
          </w:p>
        </w:tc>
      </w:tr>
      <w:tr>
        <w:tc>
          <w:tcPr>
            <w:tcW w:type="dxa" w:w="2800"/>
            <w:shd w:fill="FFFFFF" w:color="FFFFFF" w:val="clear"/>
          </w:tcPr>
          <w:p>
            <w:pPr>
              <w:spacing w:after="60"/>
            </w:pPr>
            <w:r>
              <w:rPr>
                <w:sz w:val="20"/>
                <w:szCs w:val="20"/>
              </w:rPr>
              <w:t xml:space="preserve">Accounts payable invoices and POs</w:t>
            </w:r>
          </w:p>
        </w:tc>
        <w:tc>
          <w:tcPr>
            <w:tcW w:type="dxa" w:w="2400"/>
            <w:shd w:fill="FFFFFF" w:color="FFFFFF" w:val="clear"/>
          </w:tcPr>
          <w:p>
            <w:pPr>
              <w:spacing w:after="60"/>
            </w:pPr>
            <w:r>
              <w:rPr>
                <w:sz w:val="20"/>
                <w:szCs w:val="20"/>
              </w:rPr>
              <w:t xml:space="preserve">7 years</w:t>
            </w:r>
          </w:p>
        </w:tc>
        <w:tc>
          <w:tcPr>
            <w:tcW w:type="dxa" w:w="2200"/>
            <w:shd w:fill="FFFFFF" w:color="FFFFFF" w:val="clear"/>
          </w:tcPr>
          <w:p>
            <w:pPr>
              <w:spacing w:after="60"/>
            </w:pPr>
            <w:r>
              <w:rPr>
                <w:sz w:val="20"/>
                <w:szCs w:val="20"/>
              </w:rPr>
              <w:t xml:space="preserve">NetSuite + DocuSign</w:t>
            </w:r>
          </w:p>
        </w:tc>
        <w:tc>
          <w:tcPr>
            <w:tcW w:type="dxa" w:w="1960"/>
            <w:shd w:fill="FFFFFF" w:color="FFFFFF" w:val="clear"/>
          </w:tcPr>
          <w:p>
            <w:pPr>
              <w:spacing w:after="60"/>
            </w:pPr>
            <w:r>
              <w:rPr>
                <w:sz w:val="20"/>
                <w:szCs w:val="20"/>
              </w:rPr>
              <w:t xml:space="preserve">Required for tax audit support</w:t>
            </w:r>
          </w:p>
        </w:tc>
      </w:tr>
      <w:tr>
        <w:tc>
          <w:tcPr>
            <w:tcW w:type="dxa" w:w="2800"/>
            <w:shd w:fill="EBF5FB" w:color="EBF5FB" w:val="clear"/>
          </w:tcPr>
          <w:p>
            <w:pPr>
              <w:spacing w:after="60"/>
            </w:pPr>
            <w:r>
              <w:rPr>
                <w:sz w:val="20"/>
                <w:szCs w:val="20"/>
              </w:rPr>
              <w:t xml:space="preserve">Accounts receivable invoices</w:t>
            </w:r>
          </w:p>
        </w:tc>
        <w:tc>
          <w:tcPr>
            <w:tcW w:type="dxa" w:w="2400"/>
            <w:shd w:fill="EBF5FB" w:color="EBF5FB" w:val="clear"/>
          </w:tcPr>
          <w:p>
            <w:pPr>
              <w:spacing w:after="60"/>
            </w:pPr>
            <w:r>
              <w:rPr>
                <w:sz w:val="20"/>
                <w:szCs w:val="20"/>
              </w:rPr>
              <w:t xml:space="preserve">7 years</w:t>
            </w:r>
          </w:p>
        </w:tc>
        <w:tc>
          <w:tcPr>
            <w:tcW w:type="dxa" w:w="2200"/>
            <w:shd w:fill="EBF5FB" w:color="EBF5FB" w:val="clear"/>
          </w:tcPr>
          <w:p>
            <w:pPr>
              <w:spacing w:after="60"/>
            </w:pPr>
            <w:r>
              <w:rPr>
                <w:sz w:val="20"/>
                <w:szCs w:val="20"/>
              </w:rPr>
              <w:t xml:space="preserve">NetSuite + Salesforce</w:t>
            </w:r>
          </w:p>
        </w:tc>
        <w:tc>
          <w:tcPr>
            <w:tcW w:type="dxa" w:w="1960"/>
            <w:shd w:fill="EBF5FB" w:color="EBF5FB" w:val="clear"/>
          </w:tcPr>
          <w:p>
            <w:pPr>
              <w:spacing w:after="60"/>
            </w:pPr>
            <w:r>
              <w:rPr>
                <w:sz w:val="20"/>
                <w:szCs w:val="20"/>
              </w:rPr>
              <w:t xml:space="preserve">Required for revenue audit support</w:t>
            </w:r>
          </w:p>
        </w:tc>
      </w:tr>
      <w:tr>
        <w:tc>
          <w:tcPr>
            <w:tcW w:type="dxa" w:w="2800"/>
            <w:shd w:fill="FFFFFF" w:color="FFFFFF" w:val="clear"/>
          </w:tcPr>
          <w:p>
            <w:pPr>
              <w:spacing w:after="60"/>
            </w:pPr>
            <w:r>
              <w:rPr>
                <w:sz w:val="20"/>
                <w:szCs w:val="20"/>
              </w:rPr>
              <w:t xml:space="preserve">Bank statements and reconciliations</w:t>
            </w:r>
          </w:p>
        </w:tc>
        <w:tc>
          <w:tcPr>
            <w:tcW w:type="dxa" w:w="2400"/>
            <w:shd w:fill="FFFFFF" w:color="FFFFFF" w:val="clear"/>
          </w:tcPr>
          <w:p>
            <w:pPr>
              <w:spacing w:after="60"/>
            </w:pPr>
            <w:r>
              <w:rPr>
                <w:sz w:val="20"/>
                <w:szCs w:val="20"/>
              </w:rPr>
              <w:t xml:space="preserve">7 years</w:t>
            </w:r>
          </w:p>
        </w:tc>
        <w:tc>
          <w:tcPr>
            <w:tcW w:type="dxa" w:w="2200"/>
            <w:shd w:fill="FFFFFF" w:color="FFFFFF" w:val="clear"/>
          </w:tcPr>
          <w:p>
            <w:pPr>
              <w:spacing w:after="60"/>
            </w:pPr>
            <w:r>
              <w:rPr>
                <w:sz w:val="20"/>
                <w:szCs w:val="20"/>
              </w:rPr>
              <w:t xml:space="preserve">Digital (SharePoint)</w:t>
            </w:r>
          </w:p>
        </w:tc>
        <w:tc>
          <w:tcPr>
            <w:tcW w:type="dxa" w:w="1960"/>
            <w:shd w:fill="FFFFFF" w:color="FFFFFF" w:val="clear"/>
          </w:tcPr>
          <w:p>
            <w:pPr>
              <w:spacing w:after="60"/>
            </w:pPr>
            <w:r>
              <w:rPr>
                <w:sz w:val="20"/>
                <w:szCs w:val="20"/>
              </w:rPr>
              <w:t xml:space="preserve"/>
            </w:r>
          </w:p>
        </w:tc>
      </w:tr>
      <w:tr>
        <w:tc>
          <w:tcPr>
            <w:tcW w:type="dxa" w:w="2800"/>
            <w:shd w:fill="EBF5FB" w:color="EBF5FB" w:val="clear"/>
          </w:tcPr>
          <w:p>
            <w:pPr>
              <w:spacing w:after="60"/>
            </w:pPr>
            <w:r>
              <w:rPr>
                <w:sz w:val="20"/>
                <w:szCs w:val="20"/>
              </w:rPr>
              <w:t xml:space="preserve">Payroll records</w:t>
            </w:r>
          </w:p>
        </w:tc>
        <w:tc>
          <w:tcPr>
            <w:tcW w:type="dxa" w:w="2400"/>
            <w:shd w:fill="EBF5FB" w:color="EBF5FB" w:val="clear"/>
          </w:tcPr>
          <w:p>
            <w:pPr>
              <w:spacing w:after="60"/>
            </w:pPr>
            <w:r>
              <w:rPr>
                <w:sz w:val="20"/>
                <w:szCs w:val="20"/>
              </w:rPr>
              <w:t xml:space="preserve">7 years (US); 6 years (UK); 8 years (DE); 7 years (SG); 8 years (IN)</w:t>
            </w:r>
          </w:p>
        </w:tc>
        <w:tc>
          <w:tcPr>
            <w:tcW w:type="dxa" w:w="2200"/>
            <w:shd w:fill="EBF5FB" w:color="EBF5FB" w:val="clear"/>
          </w:tcPr>
          <w:p>
            <w:pPr>
              <w:spacing w:after="60"/>
            </w:pPr>
            <w:r>
              <w:rPr>
                <w:sz w:val="20"/>
                <w:szCs w:val="20"/>
              </w:rPr>
              <w:t xml:space="preserve">Payroll system + archive</w:t>
            </w:r>
          </w:p>
        </w:tc>
        <w:tc>
          <w:tcPr>
            <w:tcW w:type="dxa" w:w="1960"/>
            <w:shd w:fill="EBF5FB" w:color="EBF5FB" w:val="clear"/>
          </w:tcPr>
          <w:p>
            <w:pPr>
              <w:spacing w:after="60"/>
            </w:pPr>
            <w:r>
              <w:rPr>
                <w:sz w:val="20"/>
                <w:szCs w:val="20"/>
              </w:rPr>
              <w:t xml:space="preserve">Country-specific retention governs</w:t>
            </w:r>
          </w:p>
        </w:tc>
      </w:tr>
      <w:tr>
        <w:tc>
          <w:tcPr>
            <w:tcW w:type="dxa" w:w="2800"/>
            <w:shd w:fill="FFFFFF" w:color="FFFFFF" w:val="clear"/>
          </w:tcPr>
          <w:p>
            <w:pPr>
              <w:spacing w:after="60"/>
            </w:pPr>
            <w:r>
              <w:rPr>
                <w:sz w:val="20"/>
                <w:szCs w:val="20"/>
              </w:rPr>
              <w:t xml:space="preserve">Tax returns and supporting workpapers</w:t>
            </w:r>
          </w:p>
        </w:tc>
        <w:tc>
          <w:tcPr>
            <w:tcW w:type="dxa" w:w="2400"/>
            <w:shd w:fill="FFFFFF" w:color="FFFFFF" w:val="clear"/>
          </w:tcPr>
          <w:p>
            <w:pPr>
              <w:spacing w:after="60"/>
            </w:pPr>
            <w:r>
              <w:rPr>
                <w:sz w:val="20"/>
                <w:szCs w:val="20"/>
              </w:rPr>
              <w:t xml:space="preserve">7 years US federal; longer for open assessments</w:t>
            </w:r>
          </w:p>
        </w:tc>
        <w:tc>
          <w:tcPr>
            <w:tcW w:type="dxa" w:w="2200"/>
            <w:shd w:fill="FFFFFF" w:color="FFFFFF" w:val="clear"/>
          </w:tcPr>
          <w:p>
            <w:pPr>
              <w:spacing w:after="60"/>
            </w:pPr>
            <w:r>
              <w:rPr>
                <w:sz w:val="20"/>
                <w:szCs w:val="20"/>
              </w:rPr>
              <w:t xml:space="preserve">Tax system + secure archive</w:t>
            </w:r>
          </w:p>
        </w:tc>
        <w:tc>
          <w:tcPr>
            <w:tcW w:type="dxa" w:w="1960"/>
            <w:shd w:fill="FFFFFF" w:color="FFFFFF" w:val="clear"/>
          </w:tcPr>
          <w:p>
            <w:pPr>
              <w:spacing w:after="60"/>
            </w:pPr>
            <w:r>
              <w:rPr>
                <w:sz w:val="20"/>
                <w:szCs w:val="20"/>
              </w:rPr>
              <w:t xml:space="preserve">10 years for transfer pricing records</w:t>
            </w:r>
          </w:p>
        </w:tc>
      </w:tr>
      <w:tr>
        <w:tc>
          <w:tcPr>
            <w:tcW w:type="dxa" w:w="2800"/>
            <w:shd w:fill="EBF5FB" w:color="EBF5FB" w:val="clear"/>
          </w:tcPr>
          <w:p>
            <w:pPr>
              <w:spacing w:after="60"/>
            </w:pPr>
            <w:r>
              <w:rPr>
                <w:sz w:val="20"/>
                <w:szCs w:val="20"/>
              </w:rPr>
              <w:t xml:space="preserve">Expense claims and receipts</w:t>
            </w:r>
          </w:p>
        </w:tc>
        <w:tc>
          <w:tcPr>
            <w:tcW w:type="dxa" w:w="2400"/>
            <w:shd w:fill="EBF5FB" w:color="EBF5FB" w:val="clear"/>
          </w:tcPr>
          <w:p>
            <w:pPr>
              <w:spacing w:after="60"/>
            </w:pPr>
            <w:r>
              <w:rPr>
                <w:sz w:val="20"/>
                <w:szCs w:val="20"/>
              </w:rPr>
              <w:t xml:space="preserve">7 years</w:t>
            </w:r>
          </w:p>
        </w:tc>
        <w:tc>
          <w:tcPr>
            <w:tcW w:type="dxa" w:w="2200"/>
            <w:shd w:fill="EBF5FB" w:color="EBF5FB" w:val="clear"/>
          </w:tcPr>
          <w:p>
            <w:pPr>
              <w:spacing w:after="60"/>
            </w:pPr>
            <w:r>
              <w:rPr>
                <w:sz w:val="20"/>
                <w:szCs w:val="20"/>
              </w:rPr>
              <w:t xml:space="preserve">Workday + Concur archive</w:t>
            </w:r>
          </w:p>
        </w:tc>
        <w:tc>
          <w:tcPr>
            <w:tcW w:type="dxa" w:w="1960"/>
            <w:shd w:fill="EBF5FB" w:color="EBF5FB" w:val="clear"/>
          </w:tcPr>
          <w:p>
            <w:pPr>
              <w:spacing w:after="60"/>
            </w:pPr>
            <w:r>
              <w:rPr>
                <w:sz w:val="20"/>
                <w:szCs w:val="20"/>
              </w:rPr>
              <w:t xml:space="preserve"/>
            </w:r>
          </w:p>
        </w:tc>
      </w:tr>
      <w:tr>
        <w:tc>
          <w:tcPr>
            <w:tcW w:type="dxa" w:w="2800"/>
            <w:shd w:fill="FFFFFF" w:color="FFFFFF" w:val="clear"/>
          </w:tcPr>
          <w:p>
            <w:pPr>
              <w:spacing w:after="60"/>
            </w:pPr>
            <w:r>
              <w:rPr>
                <w:sz w:val="20"/>
                <w:szCs w:val="20"/>
              </w:rPr>
              <w:t xml:space="preserve">Contracts and MSAs</w:t>
            </w:r>
          </w:p>
        </w:tc>
        <w:tc>
          <w:tcPr>
            <w:tcW w:type="dxa" w:w="2400"/>
            <w:shd w:fill="FFFFFF" w:color="FFFFFF" w:val="clear"/>
          </w:tcPr>
          <w:p>
            <w:pPr>
              <w:spacing w:after="60"/>
            </w:pPr>
            <w:r>
              <w:rPr>
                <w:sz w:val="20"/>
                <w:szCs w:val="20"/>
              </w:rPr>
              <w:t xml:space="preserve">7 years after expiry</w:t>
            </w:r>
          </w:p>
        </w:tc>
        <w:tc>
          <w:tcPr>
            <w:tcW w:type="dxa" w:w="2200"/>
            <w:shd w:fill="FFFFFF" w:color="FFFFFF" w:val="clear"/>
          </w:tcPr>
          <w:p>
            <w:pPr>
              <w:spacing w:after="60"/>
            </w:pPr>
            <w:r>
              <w:rPr>
                <w:sz w:val="20"/>
                <w:szCs w:val="20"/>
              </w:rPr>
              <w:t xml:space="preserve">DocuSign + SharePoint</w:t>
            </w:r>
          </w:p>
        </w:tc>
        <w:tc>
          <w:tcPr>
            <w:tcW w:type="dxa" w:w="1960"/>
            <w:shd w:fill="FFFFFF" w:color="FFFFFF" w:val="clear"/>
          </w:tcPr>
          <w:p>
            <w:pPr>
              <w:spacing w:after="60"/>
            </w:pPr>
            <w:r>
              <w:rPr>
                <w:sz w:val="20"/>
                <w:szCs w:val="20"/>
              </w:rPr>
              <w:t xml:space="preserve">Perpetual for major strategic agreements</w:t>
            </w:r>
          </w:p>
        </w:tc>
      </w:tr>
      <w:tr>
        <w:tc>
          <w:tcPr>
            <w:tcW w:type="dxa" w:w="2800"/>
            <w:shd w:fill="EBF5FB" w:color="EBF5FB" w:val="clear"/>
          </w:tcPr>
          <w:p>
            <w:pPr>
              <w:spacing w:after="60"/>
            </w:pPr>
            <w:r>
              <w:rPr>
                <w:sz w:val="20"/>
                <w:szCs w:val="20"/>
              </w:rPr>
              <w:t xml:space="preserve">Board minutes and financial approvals</w:t>
            </w:r>
          </w:p>
        </w:tc>
        <w:tc>
          <w:tcPr>
            <w:tcW w:type="dxa" w:w="2400"/>
            <w:shd w:fill="EBF5FB" w:color="EBF5FB" w:val="clear"/>
          </w:tcPr>
          <w:p>
            <w:pPr>
              <w:spacing w:after="60"/>
            </w:pPr>
            <w:r>
              <w:rPr>
                <w:sz w:val="20"/>
                <w:szCs w:val="20"/>
              </w:rPr>
              <w:t xml:space="preserve">Permanent</w:t>
            </w:r>
          </w:p>
        </w:tc>
        <w:tc>
          <w:tcPr>
            <w:tcW w:type="dxa" w:w="2200"/>
            <w:shd w:fill="EBF5FB" w:color="EBF5FB" w:val="clear"/>
          </w:tcPr>
          <w:p>
            <w:pPr>
              <w:spacing w:after="60"/>
            </w:pPr>
            <w:r>
              <w:rPr>
                <w:sz w:val="20"/>
                <w:szCs w:val="20"/>
              </w:rPr>
              <w:t xml:space="preserve">Secure physical + electronic</w:t>
            </w:r>
          </w:p>
        </w:tc>
        <w:tc>
          <w:tcPr>
            <w:tcW w:type="dxa" w:w="1960"/>
            <w:shd w:fill="EBF5FB" w:color="EBF5FB" w:val="clear"/>
          </w:tcPr>
          <w:p>
            <w:pPr>
              <w:spacing w:after="60"/>
            </w:pPr>
            <w:r>
              <w:rPr>
                <w:sz w:val="20"/>
                <w:szCs w:val="20"/>
              </w:rPr>
              <w:t xml:space="preserve">Board Secretary maintains originals</w:t>
            </w:r>
          </w:p>
        </w:tc>
      </w:tr>
      <w:tr>
        <w:tc>
          <w:tcPr>
            <w:tcW w:type="dxa" w:w="2800"/>
            <w:shd w:fill="FFFFFF" w:color="FFFFFF" w:val="clear"/>
          </w:tcPr>
          <w:p>
            <w:pPr>
              <w:spacing w:after="60"/>
            </w:pPr>
            <w:r>
              <w:rPr>
                <w:sz w:val="20"/>
                <w:szCs w:val="20"/>
              </w:rPr>
              <w:t xml:space="preserve">Audit working papers (internal)</w:t>
            </w:r>
          </w:p>
        </w:tc>
        <w:tc>
          <w:tcPr>
            <w:tcW w:type="dxa" w:w="2400"/>
            <w:shd w:fill="FFFFFF" w:color="FFFFFF" w:val="clear"/>
          </w:tcPr>
          <w:p>
            <w:pPr>
              <w:spacing w:after="60"/>
            </w:pPr>
            <w:r>
              <w:rPr>
                <w:sz w:val="20"/>
                <w:szCs w:val="20"/>
              </w:rPr>
              <w:t xml:space="preserve">5 years</w:t>
            </w:r>
          </w:p>
        </w:tc>
        <w:tc>
          <w:tcPr>
            <w:tcW w:type="dxa" w:w="2200"/>
            <w:shd w:fill="FFFFFF" w:color="FFFFFF" w:val="clear"/>
          </w:tcPr>
          <w:p>
            <w:pPr>
              <w:spacing w:after="60"/>
            </w:pPr>
            <w:r>
              <w:rPr>
                <w:sz w:val="20"/>
                <w:szCs w:val="20"/>
              </w:rPr>
              <w:t xml:space="preserve">Secure SharePoint + backup</w:t>
            </w:r>
          </w:p>
        </w:tc>
        <w:tc>
          <w:tcPr>
            <w:tcW w:type="dxa" w:w="1960"/>
            <w:shd w:fill="FFFFFF" w:color="FFFFFF" w:val="clear"/>
          </w:tcPr>
          <w:p>
            <w:pPr>
              <w:spacing w:after="60"/>
            </w:pPr>
            <w:r>
              <w:rPr>
                <w:sz w:val="20"/>
                <w:szCs w:val="20"/>
              </w:rPr>
              <w:t xml:space="preserve"/>
            </w:r>
          </w:p>
        </w:tc>
      </w:tr>
      <w:tr>
        <w:tc>
          <w:tcPr>
            <w:tcW w:type="dxa" w:w="2800"/>
            <w:shd w:fill="EBF5FB" w:color="EBF5FB" w:val="clear"/>
          </w:tcPr>
          <w:p>
            <w:pPr>
              <w:spacing w:after="60"/>
            </w:pPr>
            <w:r>
              <w:rPr>
                <w:sz w:val="20"/>
                <w:szCs w:val="20"/>
              </w:rPr>
              <w:t xml:space="preserve">Audit reports (external)</w:t>
            </w:r>
          </w:p>
        </w:tc>
        <w:tc>
          <w:tcPr>
            <w:tcW w:type="dxa" w:w="2400"/>
            <w:shd w:fill="EBF5FB" w:color="EBF5FB" w:val="clear"/>
          </w:tcPr>
          <w:p>
            <w:pPr>
              <w:spacing w:after="60"/>
            </w:pPr>
            <w:r>
              <w:rPr>
                <w:sz w:val="20"/>
                <w:szCs w:val="20"/>
              </w:rPr>
              <w:t xml:space="preserve">Permanent</w:t>
            </w:r>
          </w:p>
        </w:tc>
        <w:tc>
          <w:tcPr>
            <w:tcW w:type="dxa" w:w="2200"/>
            <w:shd w:fill="EBF5FB" w:color="EBF5FB" w:val="clear"/>
          </w:tcPr>
          <w:p>
            <w:pPr>
              <w:spacing w:after="60"/>
            </w:pPr>
            <w:r>
              <w:rPr>
                <w:sz w:val="20"/>
                <w:szCs w:val="20"/>
              </w:rPr>
              <w:t xml:space="preserve">Secure SharePoint</w:t>
            </w:r>
          </w:p>
        </w:tc>
        <w:tc>
          <w:tcPr>
            <w:tcW w:type="dxa" w:w="1960"/>
            <w:shd w:fill="EBF5FB" w:color="EBF5FB" w:val="clear"/>
          </w:tcPr>
          <w:p>
            <w:pPr>
              <w:spacing w:after="60"/>
            </w:pPr>
            <w:r>
              <w:rPr>
                <w:sz w:val="20"/>
                <w:szCs w:val="20"/>
              </w:rPr>
              <w:t xml:space="preserve"/>
            </w:r>
          </w:p>
        </w:tc>
      </w:tr>
      <w:tr>
        <w:tc>
          <w:tcPr>
            <w:tcW w:type="dxa" w:w="2800"/>
            <w:shd w:fill="FFFFFF" w:color="FFFFFF" w:val="clear"/>
          </w:tcPr>
          <w:p>
            <w:pPr>
              <w:spacing w:after="60"/>
            </w:pPr>
            <w:r>
              <w:rPr>
                <w:sz w:val="20"/>
                <w:szCs w:val="20"/>
              </w:rPr>
              <w:t xml:space="preserve">Fixed asset register</w:t>
            </w:r>
          </w:p>
        </w:tc>
        <w:tc>
          <w:tcPr>
            <w:tcW w:type="dxa" w:w="2400"/>
            <w:shd w:fill="FFFFFF" w:color="FFFFFF" w:val="clear"/>
          </w:tcPr>
          <w:p>
            <w:pPr>
              <w:spacing w:after="60"/>
            </w:pPr>
            <w:r>
              <w:rPr>
                <w:sz w:val="20"/>
                <w:szCs w:val="20"/>
              </w:rPr>
              <w:t xml:space="preserve">Life of asset + 7 years</w:t>
            </w:r>
          </w:p>
        </w:tc>
        <w:tc>
          <w:tcPr>
            <w:tcW w:type="dxa" w:w="2200"/>
            <w:shd w:fill="FFFFFF" w:color="FFFFFF" w:val="clear"/>
          </w:tcPr>
          <w:p>
            <w:pPr>
              <w:spacing w:after="60"/>
            </w:pPr>
            <w:r>
              <w:rPr>
                <w:sz w:val="20"/>
                <w:szCs w:val="20"/>
              </w:rPr>
              <w:t xml:space="preserve">NetSuite</w:t>
            </w:r>
          </w:p>
        </w:tc>
        <w:tc>
          <w:tcPr>
            <w:tcW w:type="dxa" w:w="1960"/>
            <w:shd w:fill="FFFFFF" w:color="FFFFFF" w:val="clear"/>
          </w:tcPr>
          <w:p>
            <w:pPr>
              <w:spacing w:after="60"/>
            </w:pPr>
            <w:r>
              <w:rPr>
                <w:sz w:val="20"/>
                <w:szCs w:val="20"/>
              </w:rPr>
              <w:t xml:space="preserve"/>
            </w:r>
          </w:p>
        </w:tc>
      </w:tr>
      <w:tr>
        <w:tc>
          <w:tcPr>
            <w:tcW w:type="dxa" w:w="2800"/>
            <w:shd w:fill="EBF5FB" w:color="EBF5FB" w:val="clear"/>
          </w:tcPr>
          <w:p>
            <w:pPr>
              <w:spacing w:after="60"/>
            </w:pPr>
            <w:r>
              <w:rPr>
                <w:sz w:val="20"/>
                <w:szCs w:val="20"/>
              </w:rPr>
              <w:t xml:space="preserve">Insurance policies and claims</w:t>
            </w:r>
          </w:p>
        </w:tc>
        <w:tc>
          <w:tcPr>
            <w:tcW w:type="dxa" w:w="2400"/>
            <w:shd w:fill="EBF5FB" w:color="EBF5FB" w:val="clear"/>
          </w:tcPr>
          <w:p>
            <w:pPr>
              <w:spacing w:after="60"/>
            </w:pPr>
            <w:r>
              <w:rPr>
                <w:sz w:val="20"/>
                <w:szCs w:val="20"/>
              </w:rPr>
              <w:t xml:space="preserve">Life of policy + 7 years</w:t>
            </w:r>
          </w:p>
        </w:tc>
        <w:tc>
          <w:tcPr>
            <w:tcW w:type="dxa" w:w="2200"/>
            <w:shd w:fill="EBF5FB" w:color="EBF5FB" w:val="clear"/>
          </w:tcPr>
          <w:p>
            <w:pPr>
              <w:spacing w:after="60"/>
            </w:pPr>
            <w:r>
              <w:rPr>
                <w:sz w:val="20"/>
                <w:szCs w:val="20"/>
              </w:rPr>
              <w:t xml:space="preserve">Insurance management system</w:t>
            </w:r>
          </w:p>
        </w:tc>
        <w:tc>
          <w:tcPr>
            <w:tcW w:type="dxa" w:w="1960"/>
            <w:shd w:fill="EBF5FB" w:color="EBF5FB" w:val="clear"/>
          </w:tcPr>
          <w:p>
            <w:pPr>
              <w:spacing w:after="60"/>
            </w:pPr>
            <w:r>
              <w:rPr>
                <w:sz w:val="20"/>
                <w:szCs w:val="20"/>
              </w:rPr>
              <w:t xml:space="preserve"/>
            </w:r>
          </w:p>
        </w:tc>
      </w:tr>
    </w:tbl>
    <w:p>
      <w:pPr>
        <w:spacing w:after="80"/>
      </w:pPr>
      <w:r>
        <w:t xml:space="preserve"/>
      </w:r>
    </w:p>
    <w:p>
      <w:r>
        <w:br w:type="page"/>
      </w:r>
    </w:p>
    <w:p>
      <w:pPr>
        <w:pStyle w:val="Heading1"/>
        <w:spacing w:after="200" w:before="400"/>
      </w:pPr>
      <w:r>
        <w:t xml:space="preserve">19. Country-Specific Finance Addenda</w:t>
      </w:r>
    </w:p>
    <w:p>
      <w:pPr>
        <w:pStyle w:val="Heading2"/>
        <w:spacing w:after="150" w:before="300"/>
      </w:pPr>
      <w:r>
        <w:t xml:space="preserve">19.1 United States</w:t>
      </w:r>
    </w:p>
    <w:p>
      <w:pPr>
        <w:spacing w:after="120" w:line="276"/>
      </w:pPr>
      <w:r>
        <w:rPr>
          <w:sz w:val="22"/>
          <w:szCs w:val="22"/>
        </w:rPr>
        <w:t xml:space="preserve">Federal and state income tax filings are the responsibility of the VP Tax. Delaware franchise tax is filed annually. R&amp;D Tax Credits (Section 41) are claimed annually; documentation of qualifying activities is maintained by Engineering with Finance oversight. Sales tax nexus is monitored quarterly by the Tax team as the company expands its sales presence across US states. The company maintains a USD 2 million D&amp;O insurance policy and a USD 10 million commercial general liability policy.</w:t>
      </w:r>
    </w:p>
    <w:p>
      <w:pPr>
        <w:pStyle w:val="Heading2"/>
        <w:spacing w:after="150" w:before="300"/>
      </w:pPr>
      <w:r>
        <w:t xml:space="preserve">19.2 United Kingdom</w:t>
      </w:r>
    </w:p>
    <w:p>
      <w:pPr>
        <w:spacing w:after="120" w:line="276"/>
      </w:pPr>
      <w:r>
        <w:rPr>
          <w:sz w:val="22"/>
          <w:szCs w:val="22"/>
        </w:rPr>
        <w:t xml:space="preserve">UK statutory accounts are filed with Companies House within 9 months of the fiscal year end. Corporation Tax return is filed within 12 months. VAT is filed quarterly (standard VAT scheme). The UK entity files as part of the OptiAgent group for transfer pricing purposes. The Senior Accounting Officer (SAO) certification is required given the company's UK turnover. R&amp;D Expenditure Credits (RDEC) are claimed where qualifying activity is performed in the UK.</w:t>
      </w:r>
    </w:p>
    <w:p>
      <w:pPr>
        <w:pStyle w:val="Heading2"/>
        <w:spacing w:after="150" w:before="300"/>
      </w:pPr>
      <w:r>
        <w:t xml:space="preserve">19.3 India</w:t>
      </w:r>
    </w:p>
    <w:p>
      <w:pPr>
        <w:spacing w:after="120" w:line="276"/>
      </w:pPr>
      <w:r>
        <w:rPr>
          <w:sz w:val="22"/>
          <w:szCs w:val="22"/>
        </w:rPr>
        <w:t xml:space="preserve">OptiAgent India Private Limited files its Income Tax Return by September 30 each year. GST compliance: monthly GSTR-1, GSTR-3B, and annual GSTR-9. TDS deductions are made from vendor payments per the Income Tax Act and deposited by the 7th of the following month. Transfer certificates and Form 15CA/15CB are required for cross-border remittances. The company maintains a Group Personal Accident policy and Directors &amp; Officers liability policy for India.</w:t>
      </w:r>
    </w:p>
    <w:p>
      <w:pPr>
        <w:pStyle w:val="Heading2"/>
        <w:spacing w:after="150" w:before="300"/>
      </w:pPr>
      <w:r>
        <w:t xml:space="preserve">19.4 Germany</w:t>
      </w:r>
    </w:p>
    <w:p>
      <w:pPr>
        <w:spacing w:after="120" w:line="276"/>
      </w:pPr>
      <w:r>
        <w:rPr>
          <w:sz w:val="22"/>
          <w:szCs w:val="22"/>
        </w:rPr>
        <w:t xml:space="preserve">OptiAgent Germany GmbH files its annual tax returns (Körperschaftsteuer, Gewerbesteuer, Umsatzsteuerjahreserklärung) by July 31 of the following year (or October 31 with tax advisor extension). Monthly Umsatzsteuer-Voranmeldungen are filed by the 10th of the following month. The Handelsregistereintrag (commercial register entry) is updated for any changes to managing directors, registered address, or share capital. Betriebsprüfungen (tax field audits) are cooperated with fully under the direction of the VP Tax and KPMG.</w:t>
      </w:r>
    </w:p>
    <w:p>
      <w:pPr>
        <w:pStyle w:val="Heading2"/>
        <w:spacing w:after="150" w:before="300"/>
      </w:pPr>
      <w:r>
        <w:t xml:space="preserve">19.5 Singapore</w:t>
      </w:r>
    </w:p>
    <w:p>
      <w:pPr>
        <w:spacing w:after="120" w:line="276"/>
      </w:pPr>
      <w:r>
        <w:rPr>
          <w:sz w:val="22"/>
          <w:szCs w:val="22"/>
        </w:rPr>
        <w:t xml:space="preserve">OptiAgent Singapore Pte. Ltd. files its Estimated Chargeable Income (ECI) within 3 months of the financial year end. Annual Corporate Income Tax return is filed by November 30. GST (9% from 2024) is filed quarterly. CPF contributions are submitted to the CPF Board by the 14th of each month. The company takes advantage of the Startup Tax Exemption scheme where eligible. Transfer pricing documentation is maintained per the IRAS Transfer Pricing Guidelines.</w:t>
      </w:r>
    </w:p>
    <w:p>
      <w:r>
        <w:br w:type="page"/>
      </w:r>
    </w:p>
    <w:p>
      <w:pPr>
        <w:pStyle w:val="Heading1"/>
        <w:spacing w:after="200" w:before="400"/>
      </w:pPr>
      <w:r>
        <w:t xml:space="preserve">20. Glossary &amp; Key Contacts</w:t>
      </w:r>
    </w:p>
    <w:p>
      <w:pPr>
        <w:pStyle w:val="Heading2"/>
        <w:spacing w:after="150" w:before="300"/>
      </w:pPr>
      <w:r>
        <w:t xml:space="preserve">20.1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shd w:fill="1A5276" w:color="1A5276" w:val="clear"/>
          </w:tcPr>
          <w:p>
            <w:pPr>
              <w:spacing w:after="60"/>
            </w:pPr>
            <w:r>
              <w:rPr>
                <w:b/>
                <w:bCs/>
                <w:color w:val="FFFFFF"/>
                <w:sz w:val="20"/>
                <w:szCs w:val="20"/>
              </w:rPr>
              <w:t xml:space="preserve">Term</w:t>
            </w:r>
          </w:p>
        </w:tc>
        <w:tc>
          <w:tcPr>
            <w:tcW w:type="dxa" w:w="7360"/>
            <w:shd w:fill="1A5276" w:color="1A5276" w:val="clear"/>
          </w:tcPr>
          <w:p>
            <w:pPr>
              <w:spacing w:after="60"/>
            </w:pPr>
            <w:r>
              <w:rPr>
                <w:b/>
                <w:bCs/>
                <w:color w:val="FFFFFF"/>
                <w:sz w:val="20"/>
                <w:szCs w:val="20"/>
              </w:rPr>
              <w:t xml:space="preserve">Definition</w:t>
            </w:r>
          </w:p>
        </w:tc>
      </w:tr>
      <w:tr>
        <w:tc>
          <w:tcPr>
            <w:tcW w:type="dxa" w:w="2000"/>
            <w:shd w:fill="EBF5FB" w:color="EBF5FB" w:val="clear"/>
          </w:tcPr>
          <w:p>
            <w:pPr>
              <w:spacing w:after="60"/>
            </w:pPr>
            <w:r>
              <w:rPr>
                <w:sz w:val="20"/>
                <w:szCs w:val="20"/>
              </w:rPr>
              <w:t xml:space="preserve">AP</w:t>
            </w:r>
          </w:p>
        </w:tc>
        <w:tc>
          <w:tcPr>
            <w:tcW w:type="dxa" w:w="7360"/>
            <w:shd w:fill="EBF5FB" w:color="EBF5FB" w:val="clear"/>
          </w:tcPr>
          <w:p>
            <w:pPr>
              <w:spacing w:after="60"/>
            </w:pPr>
            <w:r>
              <w:rPr>
                <w:sz w:val="20"/>
                <w:szCs w:val="20"/>
              </w:rPr>
              <w:t xml:space="preserve">Accounts Payable — amounts owed by the company to vendors for goods or services received</w:t>
            </w:r>
          </w:p>
        </w:tc>
      </w:tr>
      <w:tr>
        <w:tc>
          <w:tcPr>
            <w:tcW w:type="dxa" w:w="2000"/>
            <w:shd w:fill="FFFFFF" w:color="FFFFFF" w:val="clear"/>
          </w:tcPr>
          <w:p>
            <w:pPr>
              <w:spacing w:after="60"/>
            </w:pPr>
            <w:r>
              <w:rPr>
                <w:sz w:val="20"/>
                <w:szCs w:val="20"/>
              </w:rPr>
              <w:t xml:space="preserve">AR</w:t>
            </w:r>
          </w:p>
        </w:tc>
        <w:tc>
          <w:tcPr>
            <w:tcW w:type="dxa" w:w="7360"/>
            <w:shd w:fill="FFFFFF" w:color="FFFFFF" w:val="clear"/>
          </w:tcPr>
          <w:p>
            <w:pPr>
              <w:spacing w:after="60"/>
            </w:pPr>
            <w:r>
              <w:rPr>
                <w:sz w:val="20"/>
                <w:szCs w:val="20"/>
              </w:rPr>
              <w:t xml:space="preserve">Accounts Receivable — amounts owed to the company by customers</w:t>
            </w:r>
          </w:p>
        </w:tc>
      </w:tr>
      <w:tr>
        <w:tc>
          <w:tcPr>
            <w:tcW w:type="dxa" w:w="2000"/>
            <w:shd w:fill="EBF5FB" w:color="EBF5FB" w:val="clear"/>
          </w:tcPr>
          <w:p>
            <w:pPr>
              <w:spacing w:after="60"/>
            </w:pPr>
            <w:r>
              <w:rPr>
                <w:sz w:val="20"/>
                <w:szCs w:val="20"/>
              </w:rPr>
              <w:t xml:space="preserve">ASC 606</w:t>
            </w:r>
          </w:p>
        </w:tc>
        <w:tc>
          <w:tcPr>
            <w:tcW w:type="dxa" w:w="7360"/>
            <w:shd w:fill="EBF5FB" w:color="EBF5FB" w:val="clear"/>
          </w:tcPr>
          <w:p>
            <w:pPr>
              <w:spacing w:after="60"/>
            </w:pPr>
            <w:r>
              <w:rPr>
                <w:sz w:val="20"/>
                <w:szCs w:val="20"/>
              </w:rPr>
              <w:t xml:space="preserve">Accounting Standards Codification Topic 606 — US GAAP revenue recognition standard</w:t>
            </w:r>
          </w:p>
        </w:tc>
      </w:tr>
      <w:tr>
        <w:tc>
          <w:tcPr>
            <w:tcW w:type="dxa" w:w="2000"/>
            <w:shd w:fill="FFFFFF" w:color="FFFFFF" w:val="clear"/>
          </w:tcPr>
          <w:p>
            <w:pPr>
              <w:spacing w:after="60"/>
            </w:pPr>
            <w:r>
              <w:rPr>
                <w:sz w:val="20"/>
                <w:szCs w:val="20"/>
              </w:rPr>
              <w:t xml:space="preserve">CapEx</w:t>
            </w:r>
          </w:p>
        </w:tc>
        <w:tc>
          <w:tcPr>
            <w:tcW w:type="dxa" w:w="7360"/>
            <w:shd w:fill="FFFFFF" w:color="FFFFFF" w:val="clear"/>
          </w:tcPr>
          <w:p>
            <w:pPr>
              <w:spacing w:after="60"/>
            </w:pPr>
            <w:r>
              <w:rPr>
                <w:sz w:val="20"/>
                <w:szCs w:val="20"/>
              </w:rPr>
              <w:t xml:space="preserve">Capital Expenditure — spending on long-lived assets</w:t>
            </w:r>
          </w:p>
        </w:tc>
      </w:tr>
      <w:tr>
        <w:tc>
          <w:tcPr>
            <w:tcW w:type="dxa" w:w="2000"/>
            <w:shd w:fill="EBF5FB" w:color="EBF5FB" w:val="clear"/>
          </w:tcPr>
          <w:p>
            <w:pPr>
              <w:spacing w:after="60"/>
            </w:pPr>
            <w:r>
              <w:rPr>
                <w:sz w:val="20"/>
                <w:szCs w:val="20"/>
              </w:rPr>
              <w:t xml:space="preserve">COSO</w:t>
            </w:r>
          </w:p>
        </w:tc>
        <w:tc>
          <w:tcPr>
            <w:tcW w:type="dxa" w:w="7360"/>
            <w:shd w:fill="EBF5FB" w:color="EBF5FB" w:val="clear"/>
          </w:tcPr>
          <w:p>
            <w:pPr>
              <w:spacing w:after="60"/>
            </w:pPr>
            <w:r>
              <w:rPr>
                <w:sz w:val="20"/>
                <w:szCs w:val="20"/>
              </w:rPr>
              <w:t xml:space="preserve">Committee of Sponsoring Organizations — framework for internal controls</w:t>
            </w:r>
          </w:p>
        </w:tc>
      </w:tr>
      <w:tr>
        <w:tc>
          <w:tcPr>
            <w:tcW w:type="dxa" w:w="2000"/>
            <w:shd w:fill="FFFFFF" w:color="FFFFFF" w:val="clear"/>
          </w:tcPr>
          <w:p>
            <w:pPr>
              <w:spacing w:after="60"/>
            </w:pPr>
            <w:r>
              <w:rPr>
                <w:sz w:val="20"/>
                <w:szCs w:val="20"/>
              </w:rPr>
              <w:t xml:space="preserve">FAM</w:t>
            </w:r>
          </w:p>
        </w:tc>
        <w:tc>
          <w:tcPr>
            <w:tcW w:type="dxa" w:w="7360"/>
            <w:shd w:fill="FFFFFF" w:color="FFFFFF" w:val="clear"/>
          </w:tcPr>
          <w:p>
            <w:pPr>
              <w:spacing w:after="60"/>
            </w:pPr>
            <w:r>
              <w:rPr>
                <w:sz w:val="20"/>
                <w:szCs w:val="20"/>
              </w:rPr>
              <w:t xml:space="preserve">Financial Authority Matrix — defines spending approval limits by role</w:t>
            </w:r>
          </w:p>
        </w:tc>
      </w:tr>
      <w:tr>
        <w:tc>
          <w:tcPr>
            <w:tcW w:type="dxa" w:w="2000"/>
            <w:shd w:fill="EBF5FB" w:color="EBF5FB" w:val="clear"/>
          </w:tcPr>
          <w:p>
            <w:pPr>
              <w:spacing w:after="60"/>
            </w:pPr>
            <w:r>
              <w:rPr>
                <w:sz w:val="20"/>
                <w:szCs w:val="20"/>
              </w:rPr>
              <w:t xml:space="preserve">FP&amp;A</w:t>
            </w:r>
          </w:p>
        </w:tc>
        <w:tc>
          <w:tcPr>
            <w:tcW w:type="dxa" w:w="7360"/>
            <w:shd w:fill="EBF5FB" w:color="EBF5FB" w:val="clear"/>
          </w:tcPr>
          <w:p>
            <w:pPr>
              <w:spacing w:after="60"/>
            </w:pPr>
            <w:r>
              <w:rPr>
                <w:sz w:val="20"/>
                <w:szCs w:val="20"/>
              </w:rPr>
              <w:t xml:space="preserve">Financial Planning &amp; Analysis — budgeting, forecasting, and management reporting</w:t>
            </w:r>
          </w:p>
        </w:tc>
      </w:tr>
      <w:tr>
        <w:tc>
          <w:tcPr>
            <w:tcW w:type="dxa" w:w="2000"/>
            <w:shd w:fill="FFFFFF" w:color="FFFFFF" w:val="clear"/>
          </w:tcPr>
          <w:p>
            <w:pPr>
              <w:spacing w:after="60"/>
            </w:pPr>
            <w:r>
              <w:rPr>
                <w:sz w:val="20"/>
                <w:szCs w:val="20"/>
              </w:rPr>
              <w:t xml:space="preserve">GL</w:t>
            </w:r>
          </w:p>
        </w:tc>
        <w:tc>
          <w:tcPr>
            <w:tcW w:type="dxa" w:w="7360"/>
            <w:shd w:fill="FFFFFF" w:color="FFFFFF" w:val="clear"/>
          </w:tcPr>
          <w:p>
            <w:pPr>
              <w:spacing w:after="60"/>
            </w:pPr>
            <w:r>
              <w:rPr>
                <w:sz w:val="20"/>
                <w:szCs w:val="20"/>
              </w:rPr>
              <w:t xml:space="preserve">General Ledger — the master record of all financial transactions</w:t>
            </w:r>
          </w:p>
        </w:tc>
      </w:tr>
      <w:tr>
        <w:tc>
          <w:tcPr>
            <w:tcW w:type="dxa" w:w="2000"/>
            <w:shd w:fill="EBF5FB" w:color="EBF5FB" w:val="clear"/>
          </w:tcPr>
          <w:p>
            <w:pPr>
              <w:spacing w:after="60"/>
            </w:pPr>
            <w:r>
              <w:rPr>
                <w:sz w:val="20"/>
                <w:szCs w:val="20"/>
              </w:rPr>
              <w:t xml:space="preserve">IFRS 15</w:t>
            </w:r>
          </w:p>
        </w:tc>
        <w:tc>
          <w:tcPr>
            <w:tcW w:type="dxa" w:w="7360"/>
            <w:shd w:fill="EBF5FB" w:color="EBF5FB" w:val="clear"/>
          </w:tcPr>
          <w:p>
            <w:pPr>
              <w:spacing w:after="60"/>
            </w:pPr>
            <w:r>
              <w:rPr>
                <w:sz w:val="20"/>
                <w:szCs w:val="20"/>
              </w:rPr>
              <w:t xml:space="preserve">International Financial Reporting Standard 15 — revenue recognition (equivalent to ASC 606)</w:t>
            </w:r>
          </w:p>
        </w:tc>
      </w:tr>
      <w:tr>
        <w:tc>
          <w:tcPr>
            <w:tcW w:type="dxa" w:w="2000"/>
            <w:shd w:fill="FFFFFF" w:color="FFFFFF" w:val="clear"/>
          </w:tcPr>
          <w:p>
            <w:pPr>
              <w:spacing w:after="60"/>
            </w:pPr>
            <w:r>
              <w:rPr>
                <w:sz w:val="20"/>
                <w:szCs w:val="20"/>
              </w:rPr>
              <w:t xml:space="preserve">IFRS 16</w:t>
            </w:r>
          </w:p>
        </w:tc>
        <w:tc>
          <w:tcPr>
            <w:tcW w:type="dxa" w:w="7360"/>
            <w:shd w:fill="FFFFFF" w:color="FFFFFF" w:val="clear"/>
          </w:tcPr>
          <w:p>
            <w:pPr>
              <w:spacing w:after="60"/>
            </w:pPr>
            <w:r>
              <w:rPr>
                <w:sz w:val="20"/>
                <w:szCs w:val="20"/>
              </w:rPr>
              <w:t xml:space="preserve">Lease accounting standard replacing IAS 17; requires most leases on balance sheet</w:t>
            </w:r>
          </w:p>
        </w:tc>
      </w:tr>
      <w:tr>
        <w:tc>
          <w:tcPr>
            <w:tcW w:type="dxa" w:w="2000"/>
            <w:shd w:fill="EBF5FB" w:color="EBF5FB" w:val="clear"/>
          </w:tcPr>
          <w:p>
            <w:pPr>
              <w:spacing w:after="60"/>
            </w:pPr>
            <w:r>
              <w:rPr>
                <w:sz w:val="20"/>
                <w:szCs w:val="20"/>
              </w:rPr>
              <w:t xml:space="preserve">MSA</w:t>
            </w:r>
          </w:p>
        </w:tc>
        <w:tc>
          <w:tcPr>
            <w:tcW w:type="dxa" w:w="7360"/>
            <w:shd w:fill="EBF5FB" w:color="EBF5FB" w:val="clear"/>
          </w:tcPr>
          <w:p>
            <w:pPr>
              <w:spacing w:after="60"/>
            </w:pPr>
            <w:r>
              <w:rPr>
                <w:sz w:val="20"/>
                <w:szCs w:val="20"/>
              </w:rPr>
              <w:t xml:space="preserve">Master Service Agreement — umbrella contract governing all work with a vendor</w:t>
            </w:r>
          </w:p>
        </w:tc>
      </w:tr>
      <w:tr>
        <w:tc>
          <w:tcPr>
            <w:tcW w:type="dxa" w:w="2000"/>
            <w:shd w:fill="FFFFFF" w:color="FFFFFF" w:val="clear"/>
          </w:tcPr>
          <w:p>
            <w:pPr>
              <w:spacing w:after="60"/>
            </w:pPr>
            <w:r>
              <w:rPr>
                <w:sz w:val="20"/>
                <w:szCs w:val="20"/>
              </w:rPr>
              <w:t xml:space="preserve">NetSuite</w:t>
            </w:r>
          </w:p>
        </w:tc>
        <w:tc>
          <w:tcPr>
            <w:tcW w:type="dxa" w:w="7360"/>
            <w:shd w:fill="FFFFFF" w:color="FFFFFF" w:val="clear"/>
          </w:tcPr>
          <w:p>
            <w:pPr>
              <w:spacing w:after="60"/>
            </w:pPr>
            <w:r>
              <w:rPr>
                <w:sz w:val="20"/>
                <w:szCs w:val="20"/>
              </w:rPr>
              <w:t xml:space="preserve">OptiAgent's ERP system; used for GL, AP, AR, fixed assets, and reporting</w:t>
            </w:r>
          </w:p>
        </w:tc>
      </w:tr>
      <w:tr>
        <w:tc>
          <w:tcPr>
            <w:tcW w:type="dxa" w:w="2000"/>
            <w:shd w:fill="EBF5FB" w:color="EBF5FB" w:val="clear"/>
          </w:tcPr>
          <w:p>
            <w:pPr>
              <w:spacing w:after="60"/>
            </w:pPr>
            <w:r>
              <w:rPr>
                <w:sz w:val="20"/>
                <w:szCs w:val="20"/>
              </w:rPr>
              <w:t xml:space="preserve">OpEx</w:t>
            </w:r>
          </w:p>
        </w:tc>
        <w:tc>
          <w:tcPr>
            <w:tcW w:type="dxa" w:w="7360"/>
            <w:shd w:fill="EBF5FB" w:color="EBF5FB" w:val="clear"/>
          </w:tcPr>
          <w:p>
            <w:pPr>
              <w:spacing w:after="60"/>
            </w:pPr>
            <w:r>
              <w:rPr>
                <w:sz w:val="20"/>
                <w:szCs w:val="20"/>
              </w:rPr>
              <w:t xml:space="preserve">Operating Expenditure — day-to-day running costs expensed in the period</w:t>
            </w:r>
          </w:p>
        </w:tc>
      </w:tr>
      <w:tr>
        <w:tc>
          <w:tcPr>
            <w:tcW w:type="dxa" w:w="2000"/>
            <w:shd w:fill="FFFFFF" w:color="FFFFFF" w:val="clear"/>
          </w:tcPr>
          <w:p>
            <w:pPr>
              <w:spacing w:after="60"/>
            </w:pPr>
            <w:r>
              <w:rPr>
                <w:sz w:val="20"/>
                <w:szCs w:val="20"/>
              </w:rPr>
              <w:t xml:space="preserve">PO</w:t>
            </w:r>
          </w:p>
        </w:tc>
        <w:tc>
          <w:tcPr>
            <w:tcW w:type="dxa" w:w="7360"/>
            <w:shd w:fill="FFFFFF" w:color="FFFFFF" w:val="clear"/>
          </w:tcPr>
          <w:p>
            <w:pPr>
              <w:spacing w:after="60"/>
            </w:pPr>
            <w:r>
              <w:rPr>
                <w:sz w:val="20"/>
                <w:szCs w:val="20"/>
              </w:rPr>
              <w:t xml:space="preserve">Purchase Order — an official company document committing to buy from a vendor</w:t>
            </w:r>
          </w:p>
        </w:tc>
      </w:tr>
      <w:tr>
        <w:tc>
          <w:tcPr>
            <w:tcW w:type="dxa" w:w="2000"/>
            <w:shd w:fill="EBF5FB" w:color="EBF5FB" w:val="clear"/>
          </w:tcPr>
          <w:p>
            <w:pPr>
              <w:spacing w:after="60"/>
            </w:pPr>
            <w:r>
              <w:rPr>
                <w:sz w:val="20"/>
                <w:szCs w:val="20"/>
              </w:rPr>
              <w:t xml:space="preserve">SOC 2</w:t>
            </w:r>
          </w:p>
        </w:tc>
        <w:tc>
          <w:tcPr>
            <w:tcW w:type="dxa" w:w="7360"/>
            <w:shd w:fill="EBF5FB" w:color="EBF5FB" w:val="clear"/>
          </w:tcPr>
          <w:p>
            <w:pPr>
              <w:spacing w:after="60"/>
            </w:pPr>
            <w:r>
              <w:rPr>
                <w:sz w:val="20"/>
                <w:szCs w:val="20"/>
              </w:rPr>
              <w:t xml:space="preserve">Service Organization Control 2 — security and availability audit framework</w:t>
            </w:r>
          </w:p>
        </w:tc>
      </w:tr>
      <w:tr>
        <w:tc>
          <w:tcPr>
            <w:tcW w:type="dxa" w:w="2000"/>
            <w:shd w:fill="FFFFFF" w:color="FFFFFF" w:val="clear"/>
          </w:tcPr>
          <w:p>
            <w:pPr>
              <w:spacing w:after="60"/>
            </w:pPr>
            <w:r>
              <w:rPr>
                <w:sz w:val="20"/>
                <w:szCs w:val="20"/>
              </w:rPr>
              <w:t xml:space="preserve">TDS</w:t>
            </w:r>
          </w:p>
        </w:tc>
        <w:tc>
          <w:tcPr>
            <w:tcW w:type="dxa" w:w="7360"/>
            <w:shd w:fill="FFFFFF" w:color="FFFFFF" w:val="clear"/>
          </w:tcPr>
          <w:p>
            <w:pPr>
              <w:spacing w:after="60"/>
            </w:pPr>
            <w:r>
              <w:rPr>
                <w:sz w:val="20"/>
                <w:szCs w:val="20"/>
              </w:rPr>
              <w:t xml:space="preserve">Tax Deducted at Source (India) — withholding tax mechanism</w:t>
            </w:r>
          </w:p>
        </w:tc>
      </w:tr>
      <w:tr>
        <w:tc>
          <w:tcPr>
            <w:tcW w:type="dxa" w:w="2000"/>
            <w:shd w:fill="EBF5FB" w:color="EBF5FB" w:val="clear"/>
          </w:tcPr>
          <w:p>
            <w:pPr>
              <w:spacing w:after="60"/>
            </w:pPr>
            <w:r>
              <w:rPr>
                <w:sz w:val="20"/>
                <w:szCs w:val="20"/>
              </w:rPr>
              <w:t xml:space="preserve">Transfer Pricing</w:t>
            </w:r>
          </w:p>
        </w:tc>
        <w:tc>
          <w:tcPr>
            <w:tcW w:type="dxa" w:w="7360"/>
            <w:shd w:fill="EBF5FB" w:color="EBF5FB" w:val="clear"/>
          </w:tcPr>
          <w:p>
            <w:pPr>
              <w:spacing w:after="60"/>
            </w:pPr>
            <w:r>
              <w:rPr>
                <w:sz w:val="20"/>
                <w:szCs w:val="20"/>
              </w:rPr>
              <w:t xml:space="preserve">Pricing of transactions between related parties (group companies) at arm's length</w:t>
            </w:r>
          </w:p>
        </w:tc>
      </w:tr>
    </w:tbl>
    <w:p>
      <w:pPr>
        <w:spacing w:after="80"/>
      </w:pPr>
      <w:r>
        <w:t xml:space="preserve"/>
      </w:r>
    </w:p>
    <w:p>
      <w:pPr>
        <w:pStyle w:val="Heading2"/>
        <w:spacing w:after="150" w:before="300"/>
      </w:pPr>
      <w:r>
        <w:t xml:space="preserve">20.2 Key Finance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shd w:fill="1A5276" w:color="1A5276" w:val="clear"/>
          </w:tcPr>
          <w:p>
            <w:pPr>
              <w:spacing w:after="60"/>
            </w:pPr>
            <w:r>
              <w:rPr>
                <w:b/>
                <w:bCs/>
                <w:color w:val="FFFFFF"/>
                <w:sz w:val="20"/>
                <w:szCs w:val="20"/>
              </w:rPr>
              <w:t xml:space="preserve">Team / Role</w:t>
            </w:r>
          </w:p>
        </w:tc>
        <w:tc>
          <w:tcPr>
            <w:tcW w:type="dxa" w:w="3200"/>
            <w:shd w:fill="1A5276" w:color="1A5276" w:val="clear"/>
          </w:tcPr>
          <w:p>
            <w:pPr>
              <w:spacing w:after="60"/>
            </w:pPr>
            <w:r>
              <w:rPr>
                <w:b/>
                <w:bCs/>
                <w:color w:val="FFFFFF"/>
                <w:sz w:val="20"/>
                <w:szCs w:val="20"/>
              </w:rPr>
              <w:t xml:space="preserve">Contact</w:t>
            </w:r>
          </w:p>
        </w:tc>
        <w:tc>
          <w:tcPr>
            <w:tcW w:type="dxa" w:w="3760"/>
            <w:shd w:fill="1A5276" w:color="1A5276" w:val="clear"/>
          </w:tcPr>
          <w:p>
            <w:pPr>
              <w:spacing w:after="60"/>
            </w:pPr>
            <w:r>
              <w:rPr>
                <w:b/>
                <w:bCs/>
                <w:color w:val="FFFFFF"/>
                <w:sz w:val="20"/>
                <w:szCs w:val="20"/>
              </w:rPr>
              <w:t xml:space="preserve">Email</w:t>
            </w:r>
          </w:p>
        </w:tc>
      </w:tr>
      <w:tr>
        <w:tc>
          <w:tcPr>
            <w:tcW w:type="dxa" w:w="2400"/>
            <w:shd w:fill="EBF5FB" w:color="EBF5FB" w:val="clear"/>
          </w:tcPr>
          <w:p>
            <w:pPr>
              <w:spacing w:after="60"/>
            </w:pPr>
            <w:r>
              <w:rPr>
                <w:sz w:val="20"/>
                <w:szCs w:val="20"/>
              </w:rPr>
              <w:t xml:space="preserve">Chief Financial Officer</w:t>
            </w:r>
          </w:p>
        </w:tc>
        <w:tc>
          <w:tcPr>
            <w:tcW w:type="dxa" w:w="3200"/>
            <w:shd w:fill="EBF5FB" w:color="EBF5FB" w:val="clear"/>
          </w:tcPr>
          <w:p>
            <w:pPr>
              <w:spacing w:after="60"/>
            </w:pPr>
            <w:r>
              <w:rPr>
                <w:sz w:val="20"/>
                <w:szCs w:val="20"/>
              </w:rPr>
              <w:t xml:space="preserve">Alexandra Chen</w:t>
            </w:r>
          </w:p>
        </w:tc>
        <w:tc>
          <w:tcPr>
            <w:tcW w:type="dxa" w:w="3760"/>
            <w:shd w:fill="EBF5FB" w:color="EBF5FB" w:val="clear"/>
          </w:tcPr>
          <w:p>
            <w:pPr>
              <w:spacing w:after="60"/>
            </w:pPr>
            <w:r>
              <w:rPr>
                <w:sz w:val="20"/>
                <w:szCs w:val="20"/>
              </w:rPr>
              <w:t xml:space="preserve">cfo@optiagent.com</w:t>
            </w:r>
          </w:p>
        </w:tc>
      </w:tr>
      <w:tr>
        <w:tc>
          <w:tcPr>
            <w:tcW w:type="dxa" w:w="2400"/>
            <w:shd w:fill="FFFFFF" w:color="FFFFFF" w:val="clear"/>
          </w:tcPr>
          <w:p>
            <w:pPr>
              <w:spacing w:after="60"/>
            </w:pPr>
            <w:r>
              <w:rPr>
                <w:sz w:val="20"/>
                <w:szCs w:val="20"/>
              </w:rPr>
              <w:t xml:space="preserve">VP Finance &amp; FP&amp;A</w:t>
            </w:r>
          </w:p>
        </w:tc>
        <w:tc>
          <w:tcPr>
            <w:tcW w:type="dxa" w:w="3200"/>
            <w:shd w:fill="FFFFFF" w:color="FFFFFF" w:val="clear"/>
          </w:tcPr>
          <w:p>
            <w:pPr>
              <w:spacing w:after="60"/>
            </w:pPr>
            <w:r>
              <w:rPr>
                <w:sz w:val="20"/>
                <w:szCs w:val="20"/>
              </w:rPr>
              <w:t xml:space="preserve">Marcus Webb</w:t>
            </w:r>
          </w:p>
        </w:tc>
        <w:tc>
          <w:tcPr>
            <w:tcW w:type="dxa" w:w="3760"/>
            <w:shd w:fill="FFFFFF" w:color="FFFFFF" w:val="clear"/>
          </w:tcPr>
          <w:p>
            <w:pPr>
              <w:spacing w:after="60"/>
            </w:pPr>
            <w:r>
              <w:rPr>
                <w:sz w:val="20"/>
                <w:szCs w:val="20"/>
              </w:rPr>
              <w:t xml:space="preserve">marcus.webb@optiagent.com</w:t>
            </w:r>
          </w:p>
        </w:tc>
      </w:tr>
      <w:tr>
        <w:tc>
          <w:tcPr>
            <w:tcW w:type="dxa" w:w="2400"/>
            <w:shd w:fill="EBF5FB" w:color="EBF5FB" w:val="clear"/>
          </w:tcPr>
          <w:p>
            <w:pPr>
              <w:spacing w:after="60"/>
            </w:pPr>
            <w:r>
              <w:rPr>
                <w:sz w:val="20"/>
                <w:szCs w:val="20"/>
              </w:rPr>
              <w:t xml:space="preserve">Controller</w:t>
            </w:r>
          </w:p>
        </w:tc>
        <w:tc>
          <w:tcPr>
            <w:tcW w:type="dxa" w:w="3200"/>
            <w:shd w:fill="EBF5FB" w:color="EBF5FB" w:val="clear"/>
          </w:tcPr>
          <w:p>
            <w:pPr>
              <w:spacing w:after="60"/>
            </w:pPr>
            <w:r>
              <w:rPr>
                <w:sz w:val="20"/>
                <w:szCs w:val="20"/>
              </w:rPr>
              <w:t xml:space="preserve">Sunita Patel</w:t>
            </w:r>
          </w:p>
        </w:tc>
        <w:tc>
          <w:tcPr>
            <w:tcW w:type="dxa" w:w="3760"/>
            <w:shd w:fill="EBF5FB" w:color="EBF5FB" w:val="clear"/>
          </w:tcPr>
          <w:p>
            <w:pPr>
              <w:spacing w:after="60"/>
            </w:pPr>
            <w:r>
              <w:rPr>
                <w:sz w:val="20"/>
                <w:szCs w:val="20"/>
              </w:rPr>
              <w:t xml:space="preserve">sunita.patel@optiagent.com</w:t>
            </w:r>
          </w:p>
        </w:tc>
      </w:tr>
      <w:tr>
        <w:tc>
          <w:tcPr>
            <w:tcW w:type="dxa" w:w="2400"/>
            <w:shd w:fill="FFFFFF" w:color="FFFFFF" w:val="clear"/>
          </w:tcPr>
          <w:p>
            <w:pPr>
              <w:spacing w:after="60"/>
            </w:pPr>
            <w:r>
              <w:rPr>
                <w:sz w:val="20"/>
                <w:szCs w:val="20"/>
              </w:rPr>
              <w:t xml:space="preserve">Accounts Payable</w:t>
            </w:r>
          </w:p>
        </w:tc>
        <w:tc>
          <w:tcPr>
            <w:tcW w:type="dxa" w:w="3200"/>
            <w:shd w:fill="FFFFFF" w:color="FFFFFF" w:val="clear"/>
          </w:tcPr>
          <w:p>
            <w:pPr>
              <w:spacing w:after="60"/>
            </w:pPr>
            <w:r>
              <w:rPr>
                <w:sz w:val="20"/>
                <w:szCs w:val="20"/>
              </w:rPr>
              <w:t xml:space="preserve">AP Team</w:t>
            </w:r>
          </w:p>
        </w:tc>
        <w:tc>
          <w:tcPr>
            <w:tcW w:type="dxa" w:w="3760"/>
            <w:shd w:fill="FFFFFF" w:color="FFFFFF" w:val="clear"/>
          </w:tcPr>
          <w:p>
            <w:pPr>
              <w:spacing w:after="60"/>
            </w:pPr>
            <w:r>
              <w:rPr>
                <w:sz w:val="20"/>
                <w:szCs w:val="20"/>
              </w:rPr>
              <w:t xml:space="preserve">ap@optiagent.com</w:t>
            </w:r>
          </w:p>
        </w:tc>
      </w:tr>
      <w:tr>
        <w:tc>
          <w:tcPr>
            <w:tcW w:type="dxa" w:w="2400"/>
            <w:shd w:fill="EBF5FB" w:color="EBF5FB" w:val="clear"/>
          </w:tcPr>
          <w:p>
            <w:pPr>
              <w:spacing w:after="60"/>
            </w:pPr>
            <w:r>
              <w:rPr>
                <w:sz w:val="20"/>
                <w:szCs w:val="20"/>
              </w:rPr>
              <w:t xml:space="preserve">Payroll</w:t>
            </w:r>
          </w:p>
        </w:tc>
        <w:tc>
          <w:tcPr>
            <w:tcW w:type="dxa" w:w="3200"/>
            <w:shd w:fill="EBF5FB" w:color="EBF5FB" w:val="clear"/>
          </w:tcPr>
          <w:p>
            <w:pPr>
              <w:spacing w:after="60"/>
            </w:pPr>
            <w:r>
              <w:rPr>
                <w:sz w:val="20"/>
                <w:szCs w:val="20"/>
              </w:rPr>
              <w:t xml:space="preserve">Ravi Kumar</w:t>
            </w:r>
          </w:p>
        </w:tc>
        <w:tc>
          <w:tcPr>
            <w:tcW w:type="dxa" w:w="3760"/>
            <w:shd w:fill="EBF5FB" w:color="EBF5FB" w:val="clear"/>
          </w:tcPr>
          <w:p>
            <w:pPr>
              <w:spacing w:after="60"/>
            </w:pPr>
            <w:r>
              <w:rPr>
                <w:sz w:val="20"/>
                <w:szCs w:val="20"/>
              </w:rPr>
              <w:t xml:space="preserve">payroll@optiagent.com</w:t>
            </w:r>
          </w:p>
        </w:tc>
      </w:tr>
      <w:tr>
        <w:tc>
          <w:tcPr>
            <w:tcW w:type="dxa" w:w="2400"/>
            <w:shd w:fill="FFFFFF" w:color="FFFFFF" w:val="clear"/>
          </w:tcPr>
          <w:p>
            <w:pPr>
              <w:spacing w:after="60"/>
            </w:pPr>
            <w:r>
              <w:rPr>
                <w:sz w:val="20"/>
                <w:szCs w:val="20"/>
              </w:rPr>
              <w:t xml:space="preserve">Tax</w:t>
            </w:r>
          </w:p>
        </w:tc>
        <w:tc>
          <w:tcPr>
            <w:tcW w:type="dxa" w:w="3200"/>
            <w:shd w:fill="FFFFFF" w:color="FFFFFF" w:val="clear"/>
          </w:tcPr>
          <w:p>
            <w:pPr>
              <w:spacing w:after="60"/>
            </w:pPr>
            <w:r>
              <w:rPr>
                <w:sz w:val="20"/>
                <w:szCs w:val="20"/>
              </w:rPr>
              <w:t xml:space="preserve">VP Tax Team</w:t>
            </w:r>
          </w:p>
        </w:tc>
        <w:tc>
          <w:tcPr>
            <w:tcW w:type="dxa" w:w="3760"/>
            <w:shd w:fill="FFFFFF" w:color="FFFFFF" w:val="clear"/>
          </w:tcPr>
          <w:p>
            <w:pPr>
              <w:spacing w:after="60"/>
            </w:pPr>
            <w:r>
              <w:rPr>
                <w:sz w:val="20"/>
                <w:szCs w:val="20"/>
              </w:rPr>
              <w:t xml:space="preserve">tax@optiagent.com</w:t>
            </w:r>
          </w:p>
        </w:tc>
      </w:tr>
      <w:tr>
        <w:tc>
          <w:tcPr>
            <w:tcW w:type="dxa" w:w="2400"/>
            <w:shd w:fill="EBF5FB" w:color="EBF5FB" w:val="clear"/>
          </w:tcPr>
          <w:p>
            <w:pPr>
              <w:spacing w:after="60"/>
            </w:pPr>
            <w:r>
              <w:rPr>
                <w:sz w:val="20"/>
                <w:szCs w:val="20"/>
              </w:rPr>
              <w:t xml:space="preserve">Internal Audit</w:t>
            </w:r>
          </w:p>
        </w:tc>
        <w:tc>
          <w:tcPr>
            <w:tcW w:type="dxa" w:w="3200"/>
            <w:shd w:fill="EBF5FB" w:color="EBF5FB" w:val="clear"/>
          </w:tcPr>
          <w:p>
            <w:pPr>
              <w:spacing w:after="60"/>
            </w:pPr>
            <w:r>
              <w:rPr>
                <w:sz w:val="20"/>
                <w:szCs w:val="20"/>
              </w:rPr>
              <w:t xml:space="preserve">Priya Nair</w:t>
            </w:r>
          </w:p>
        </w:tc>
        <w:tc>
          <w:tcPr>
            <w:tcW w:type="dxa" w:w="3760"/>
            <w:shd w:fill="EBF5FB" w:color="EBF5FB" w:val="clear"/>
          </w:tcPr>
          <w:p>
            <w:pPr>
              <w:spacing w:after="60"/>
            </w:pPr>
            <w:r>
              <w:rPr>
                <w:sz w:val="20"/>
                <w:szCs w:val="20"/>
              </w:rPr>
              <w:t xml:space="preserve">internal.audit@optiagent.com</w:t>
            </w:r>
          </w:p>
        </w:tc>
      </w:tr>
      <w:tr>
        <w:tc>
          <w:tcPr>
            <w:tcW w:type="dxa" w:w="2400"/>
            <w:shd w:fill="FFFFFF" w:color="FFFFFF" w:val="clear"/>
          </w:tcPr>
          <w:p>
            <w:pPr>
              <w:spacing w:after="60"/>
            </w:pPr>
            <w:r>
              <w:rPr>
                <w:sz w:val="20"/>
                <w:szCs w:val="20"/>
              </w:rPr>
              <w:t xml:space="preserve">Treasury</w:t>
            </w:r>
          </w:p>
        </w:tc>
        <w:tc>
          <w:tcPr>
            <w:tcW w:type="dxa" w:w="3200"/>
            <w:shd w:fill="FFFFFF" w:color="FFFFFF" w:val="clear"/>
          </w:tcPr>
          <w:p>
            <w:pPr>
              <w:spacing w:after="60"/>
            </w:pPr>
            <w:r>
              <w:rPr>
                <w:sz w:val="20"/>
                <w:szCs w:val="20"/>
              </w:rPr>
              <w:t xml:space="preserve">James Okafor</w:t>
            </w:r>
          </w:p>
        </w:tc>
        <w:tc>
          <w:tcPr>
            <w:tcW w:type="dxa" w:w="3760"/>
            <w:shd w:fill="FFFFFF" w:color="FFFFFF" w:val="clear"/>
          </w:tcPr>
          <w:p>
            <w:pPr>
              <w:spacing w:after="60"/>
            </w:pPr>
            <w:r>
              <w:rPr>
                <w:sz w:val="20"/>
                <w:szCs w:val="20"/>
              </w:rPr>
              <w:t xml:space="preserve">treasury@optiagent.com</w:t>
            </w:r>
          </w:p>
        </w:tc>
      </w:tr>
      <w:tr>
        <w:tc>
          <w:tcPr>
            <w:tcW w:type="dxa" w:w="2400"/>
            <w:shd w:fill="EBF5FB" w:color="EBF5FB" w:val="clear"/>
          </w:tcPr>
          <w:p>
            <w:pPr>
              <w:spacing w:after="60"/>
            </w:pPr>
            <w:r>
              <w:rPr>
                <w:sz w:val="20"/>
                <w:szCs w:val="20"/>
              </w:rPr>
              <w:t xml:space="preserve">Revenue Accounting</w:t>
            </w:r>
          </w:p>
        </w:tc>
        <w:tc>
          <w:tcPr>
            <w:tcW w:type="dxa" w:w="3200"/>
            <w:shd w:fill="EBF5FB" w:color="EBF5FB" w:val="clear"/>
          </w:tcPr>
          <w:p>
            <w:pPr>
              <w:spacing w:after="60"/>
            </w:pPr>
            <w:r>
              <w:rPr>
                <w:sz w:val="20"/>
                <w:szCs w:val="20"/>
              </w:rPr>
              <w:t xml:space="preserve">Revenue Accounting Team</w:t>
            </w:r>
          </w:p>
        </w:tc>
        <w:tc>
          <w:tcPr>
            <w:tcW w:type="dxa" w:w="3760"/>
            <w:shd w:fill="EBF5FB" w:color="EBF5FB" w:val="clear"/>
          </w:tcPr>
          <w:p>
            <w:pPr>
              <w:spacing w:after="60"/>
            </w:pPr>
            <w:r>
              <w:rPr>
                <w:sz w:val="20"/>
                <w:szCs w:val="20"/>
              </w:rPr>
              <w:t xml:space="preserve">revenue.accounting@optiagent.com</w:t>
            </w:r>
          </w:p>
        </w:tc>
      </w:tr>
      <w:tr>
        <w:tc>
          <w:tcPr>
            <w:tcW w:type="dxa" w:w="2400"/>
            <w:shd w:fill="FFFFFF" w:color="FFFFFF" w:val="clear"/>
          </w:tcPr>
          <w:p>
            <w:pPr>
              <w:spacing w:after="60"/>
            </w:pPr>
            <w:r>
              <w:rPr>
                <w:sz w:val="20"/>
                <w:szCs w:val="20"/>
              </w:rPr>
              <w:t xml:space="preserve">Finance General Enquiries</w:t>
            </w:r>
          </w:p>
        </w:tc>
        <w:tc>
          <w:tcPr>
            <w:tcW w:type="dxa" w:w="3200"/>
            <w:shd w:fill="FFFFFF" w:color="FFFFFF" w:val="clear"/>
          </w:tcPr>
          <w:p>
            <w:pPr>
              <w:spacing w:after="60"/>
            </w:pPr>
            <w:r>
              <w:rPr>
                <w:sz w:val="20"/>
                <w:szCs w:val="20"/>
              </w:rPr>
              <w:t xml:space="preserve">—</w:t>
            </w:r>
          </w:p>
        </w:tc>
        <w:tc>
          <w:tcPr>
            <w:tcW w:type="dxa" w:w="3760"/>
            <w:shd w:fill="FFFFFF" w:color="FFFFFF" w:val="clear"/>
          </w:tcPr>
          <w:p>
            <w:pPr>
              <w:spacing w:after="60"/>
            </w:pPr>
            <w:r>
              <w:rPr>
                <w:sz w:val="20"/>
                <w:szCs w:val="20"/>
              </w:rPr>
              <w:t xml:space="preserve">finance@optiagent.com</w:t>
            </w:r>
          </w:p>
        </w:tc>
      </w:tr>
    </w:tbl>
    <w:p>
      <w:pPr>
        <w:spacing w:after="80"/>
      </w:pPr>
      <w:r>
        <w:t xml:space="preserve"/>
      </w:r>
    </w:p>
    <w:p>
      <w:pPr>
        <w:spacing w:after="80"/>
      </w:pPr>
      <w:r>
        <w:t xml:space="preserve"/>
      </w:r>
    </w:p>
    <w:p>
      <w:pPr>
        <w:spacing w:after="120" w:line="276"/>
      </w:pPr>
      <w:r>
        <w:rPr>
          <w:sz w:val="22"/>
          <w:szCs w:val="22"/>
        </w:rPr>
        <w:t xml:space="preserve">Document ID: OAT-FP-001 | Version: 3.1 | Effective: January 1, 2025</w:t>
      </w:r>
    </w:p>
    <w:p>
      <w:pPr>
        <w:spacing w:after="120" w:line="276"/>
      </w:pPr>
      <w:r>
        <w:rPr>
          <w:sz w:val="22"/>
          <w:szCs w:val="22"/>
        </w:rPr>
        <w:t xml:space="preserve">Approved by: Alexandra Chen (CFO) | Marcus Webb (VP Finance) | Raj Anand (CISO — IT security sections)</w:t>
      </w:r>
    </w:p>
    <w:p>
      <w:pPr>
        <w:spacing w:after="120" w:line="276"/>
      </w:pPr>
      <w:r>
        <w:rPr>
          <w:sz w:val="22"/>
          <w:szCs w:val="22"/>
        </w:rPr>
        <w:t xml:space="preserve">Next Review: January 1,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b/>
      <w:bCs/>
      <w:color w:val="1A5276"/>
      <w:sz w:val="32"/>
      <w:szCs w:val="32"/>
    </w:rPr>
  </w:style>
  <w:style w:type="paragraph" w:styleId="Heading2">
    <w:name w:val="Heading 2"/>
    <w:basedOn w:val="Normal"/>
    <w:next w:val="Normal"/>
    <w:qFormat/>
    <w:pPr>
      <w:spacing w:after="150" w:before="300"/>
    </w:pPr>
    <w:rPr>
      <w:b/>
      <w:bCs/>
      <w:color w:val="2471A3"/>
      <w:sz w:val="26"/>
      <w:szCs w:val="26"/>
    </w:rPr>
  </w:style>
  <w:style w:type="paragraph" w:styleId="Heading3">
    <w:name w:val="Heading 3"/>
    <w:basedOn w:val="Normal"/>
    <w:next w:val="Normal"/>
    <w:qFormat/>
    <w:pPr>
      <w:spacing w:after="100" w:before="200"/>
    </w:pPr>
    <w:rPr>
      <w:b/>
      <w:bCs/>
      <w:color w:val="3333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Finance Policy &amp; Procedures Manual</dc:title>
  <dc:creator>OptiAgent Technologies Finance</dc:creator>
  <cp:lastModifiedBy>Un-named</cp:lastModifiedBy>
  <cp:revision>1</cp:revision>
  <dcterms:created xsi:type="dcterms:W3CDTF">2026-07-10T11:22:07.643Z</dcterms:created>
  <dcterms:modified xsi:type="dcterms:W3CDTF">2026-07-10T11:22:07.655Z</dcterms:modified>
</cp:coreProperties>
</file>

<file path=docProps/custom.xml><?xml version="1.0" encoding="utf-8"?>
<Properties xmlns="http://schemas.openxmlformats.org/officeDocument/2006/custom-properties" xmlns:vt="http://schemas.openxmlformats.org/officeDocument/2006/docPropsVTypes"/>
</file>