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79"/>
          <w:sz w:val="52"/>
          <w:szCs w:val="52"/>
        </w:rPr>
        <w:t xml:space="preserve">OPTIAGENT TECHNOLOGIES</w:t>
      </w:r>
    </w:p>
    <w:p>
      <w:pPr>
        <w:spacing w:after="200"/>
        <w:jc w:val="center"/>
      </w:pPr>
      <w:r>
        <w:rPr>
          <w:b/>
          <w:bCs/>
          <w:color w:val="2E75B6"/>
          <w:sz w:val="40"/>
          <w:szCs w:val="40"/>
        </w:rPr>
        <w:t xml:space="preserve">COMPANY POLICY DOCUMENT</w:t>
      </w:r>
    </w:p>
    <w:p>
      <w:pPr>
        <w:spacing w:after="200"/>
        <w:jc w:val="center"/>
      </w:pPr>
      <w:r>
        <w:rPr>
          <w:color w:val="555555"/>
          <w:sz w:val="22"/>
          <w:szCs w:val="22"/>
        </w:rPr>
        <w:t xml:space="preserve">Document ID: OAT-CP-001  |  Version: 5.0  |  Effective: January 1, 2025</w:t>
      </w:r>
    </w:p>
    <w:p>
      <w:pPr>
        <w:jc w:val="center"/>
      </w:pPr>
      <w:r>
        <w:rPr>
          <w:i/>
          <w:iCs/>
          <w:color w:val="888888"/>
          <w:sz w:val="22"/>
          <w:szCs w:val="22"/>
        </w:rPr>
        <w:t xml:space="preserve">Classification: Internal — All Employees</w:t>
      </w:r>
    </w:p>
    <w:p>
      <w:r>
        <w:br w:type="page"/>
      </w:r>
    </w:p>
    <w:p>
      <w:pPr>
        <w:pStyle w:val="Heading1"/>
        <w:spacing w:after="200" w:before="400"/>
      </w:pPr>
      <w:r>
        <w:t xml:space="preserve">1. Purpose &amp; Scope</w:t>
      </w:r>
    </w:p>
    <w:p>
      <w:pPr>
        <w:spacing w:after="120" w:line="276"/>
      </w:pPr>
      <w:r>
        <w:rPr>
          <w:sz w:val="22"/>
          <w:szCs w:val="22"/>
        </w:rPr>
        <w:t xml:space="preserve">This Company Policy document establishes the rules, standards, and obligations that govern how OptiAgent Technologies employees use company technology, handle data, manage information security, and maintain regulatory compliance. It applies to all employees, contractors, interns, vendors, and any third party with access to OptiAgent systems, networks, or facilities.</w:t>
      </w:r>
    </w:p>
    <w:p>
      <w:pPr>
        <w:spacing w:after="120" w:line="276"/>
      </w:pPr>
      <w:r>
        <w:rPr>
          <w:sz w:val="22"/>
          <w:szCs w:val="22"/>
        </w:rPr>
        <w:t xml:space="preserve">This document is a companion to the Employee Handbook (Document ID: HR-EH-001). Employees are expected to have read both documents. In the event of conflict, this document takes precedence on technology, security, and compliance matters.</w:t>
      </w:r>
    </w:p>
    <w:p>
      <w:pPr>
        <w:spacing w:after="120" w:line="276"/>
      </w:pPr>
      <w:r>
        <w:rPr>
          <w:sz w:val="22"/>
          <w:szCs w:val="22"/>
        </w:rPr>
        <w:t xml:space="preserve">Questions should be directed to legal.compliance@optiagent.com or your local IT Helpdesk (it.help@optiagent.com).</w:t>
      </w:r>
    </w:p>
    <w:p>
      <w:r>
        <w:br w:type="page"/>
      </w:r>
    </w:p>
    <w:p>
      <w:pPr>
        <w:pStyle w:val="Heading1"/>
        <w:spacing w:after="200" w:before="400"/>
      </w:pPr>
      <w:r>
        <w:t xml:space="preserve">2. Acceptable Use Policy (AUP)</w:t>
      </w:r>
    </w:p>
    <w:p>
      <w:pPr>
        <w:pStyle w:val="Heading2"/>
        <w:spacing w:after="150" w:before="300"/>
      </w:pPr>
      <w:r>
        <w:t xml:space="preserve">2.1 Purpose</w:t>
      </w:r>
    </w:p>
    <w:p>
      <w:pPr>
        <w:spacing w:after="120" w:line="276"/>
      </w:pPr>
      <w:r>
        <w:rPr>
          <w:sz w:val="22"/>
          <w:szCs w:val="22"/>
        </w:rPr>
        <w:t xml:space="preserve">The Acceptable Use Policy governs how employees may use company-owned or company-issued technology resources. This includes computers, mobile devices, network access, cloud services, email, internal applications, and communication tools.</w:t>
      </w:r>
    </w:p>
    <w:p>
      <w:pPr>
        <w:pStyle w:val="Heading2"/>
        <w:spacing w:after="150" w:before="300"/>
      </w:pPr>
      <w:r>
        <w:t xml:space="preserve">2.2 Permitted Uses</w:t>
      </w:r>
    </w:p>
    <w:p>
      <w:pPr>
        <w:pStyle w:val="ListParagraph"/>
        <w:numPr>
          <w:ilvl w:val="0"/>
          <w:numId w:val="1"/>
        </w:numPr>
        <w:spacing w:after="80"/>
      </w:pPr>
      <w:r>
        <w:rPr>
          <w:sz w:val="22"/>
          <w:szCs w:val="22"/>
        </w:rPr>
        <w:t xml:space="preserve">Conducting work assigned by your manager and consistent with your job responsibilities</w:t>
      </w:r>
    </w:p>
    <w:p>
      <w:pPr>
        <w:pStyle w:val="ListParagraph"/>
        <w:numPr>
          <w:ilvl w:val="0"/>
          <w:numId w:val="1"/>
        </w:numPr>
        <w:spacing w:after="80"/>
      </w:pPr>
      <w:r>
        <w:rPr>
          <w:sz w:val="22"/>
          <w:szCs w:val="22"/>
        </w:rPr>
        <w:t xml:space="preserve">Communicating with colleagues, customers, partners, and vendors on legitimate business matters</w:t>
      </w:r>
    </w:p>
    <w:p>
      <w:pPr>
        <w:pStyle w:val="ListParagraph"/>
        <w:numPr>
          <w:ilvl w:val="0"/>
          <w:numId w:val="1"/>
        </w:numPr>
        <w:spacing w:after="80"/>
      </w:pPr>
      <w:r>
        <w:rPr>
          <w:sz w:val="22"/>
          <w:szCs w:val="22"/>
        </w:rPr>
        <w:t xml:space="preserve">Accessing company applications, databases, and platforms as required for your role</w:t>
      </w:r>
    </w:p>
    <w:p>
      <w:pPr>
        <w:pStyle w:val="ListParagraph"/>
        <w:numPr>
          <w:ilvl w:val="0"/>
          <w:numId w:val="1"/>
        </w:numPr>
        <w:spacing w:after="80"/>
      </w:pPr>
      <w:r>
        <w:rPr>
          <w:sz w:val="22"/>
          <w:szCs w:val="22"/>
        </w:rPr>
        <w:t xml:space="preserve">Limited personal use that does not interfere with business operations or violate any other rule in this policy</w:t>
      </w:r>
    </w:p>
    <w:p>
      <w:pPr>
        <w:pStyle w:val="ListParagraph"/>
        <w:numPr>
          <w:ilvl w:val="0"/>
          <w:numId w:val="1"/>
        </w:numPr>
        <w:spacing w:after="80"/>
      </w:pPr>
      <w:r>
        <w:rPr>
          <w:sz w:val="22"/>
          <w:szCs w:val="22"/>
        </w:rPr>
        <w:t xml:space="preserve">Using approved AI tools as specified in Section 12 of this document</w:t>
      </w:r>
    </w:p>
    <w:p>
      <w:pPr>
        <w:pStyle w:val="Heading2"/>
        <w:spacing w:after="150" w:before="300"/>
      </w:pPr>
      <w:r>
        <w:t xml:space="preserve">2.3 Prohibited Uses</w:t>
      </w:r>
    </w:p>
    <w:p>
      <w:pPr>
        <w:pStyle w:val="ListParagraph"/>
        <w:numPr>
          <w:ilvl w:val="0"/>
          <w:numId w:val="1"/>
        </w:numPr>
        <w:spacing w:after="80"/>
      </w:pPr>
      <w:r>
        <w:rPr>
          <w:sz w:val="22"/>
          <w:szCs w:val="22"/>
        </w:rPr>
        <w:t xml:space="preserve">Accessing, distributing, or storing unlawful content including copyright-infringing material or illegal software</w:t>
      </w:r>
    </w:p>
    <w:p>
      <w:pPr>
        <w:pStyle w:val="ListParagraph"/>
        <w:numPr>
          <w:ilvl w:val="0"/>
          <w:numId w:val="1"/>
        </w:numPr>
        <w:spacing w:after="80"/>
      </w:pPr>
      <w:r>
        <w:rPr>
          <w:sz w:val="22"/>
          <w:szCs w:val="22"/>
        </w:rPr>
        <w:t xml:space="preserve">Using company systems for personal commercial activities, running a side business, or moonlighting that conflicts with your role</w:t>
      </w:r>
    </w:p>
    <w:p>
      <w:pPr>
        <w:pStyle w:val="ListParagraph"/>
        <w:numPr>
          <w:ilvl w:val="0"/>
          <w:numId w:val="1"/>
        </w:numPr>
        <w:spacing w:after="80"/>
      </w:pPr>
      <w:r>
        <w:rPr>
          <w:sz w:val="22"/>
          <w:szCs w:val="22"/>
        </w:rPr>
        <w:t xml:space="preserve">Installing unauthorized software, extensions, or tools on company devices without IT approval</w:t>
      </w:r>
    </w:p>
    <w:p>
      <w:pPr>
        <w:pStyle w:val="ListParagraph"/>
        <w:numPr>
          <w:ilvl w:val="0"/>
          <w:numId w:val="1"/>
        </w:numPr>
        <w:spacing w:after="80"/>
      </w:pPr>
      <w:r>
        <w:rPr>
          <w:sz w:val="22"/>
          <w:szCs w:val="22"/>
        </w:rPr>
        <w:t xml:space="preserve">Bypassing, disabling, or attempting to defeat security controls, firewalls, or endpoint protection software</w:t>
      </w:r>
    </w:p>
    <w:p>
      <w:pPr>
        <w:pStyle w:val="ListParagraph"/>
        <w:numPr>
          <w:ilvl w:val="0"/>
          <w:numId w:val="1"/>
        </w:numPr>
        <w:spacing w:after="80"/>
      </w:pPr>
      <w:r>
        <w:rPr>
          <w:sz w:val="22"/>
          <w:szCs w:val="22"/>
        </w:rPr>
        <w:t xml:space="preserve">Accessing systems, accounts, or data beyond the scope of your authorized role</w:t>
      </w:r>
    </w:p>
    <w:p>
      <w:pPr>
        <w:pStyle w:val="ListParagraph"/>
        <w:numPr>
          <w:ilvl w:val="0"/>
          <w:numId w:val="1"/>
        </w:numPr>
        <w:spacing w:after="80"/>
      </w:pPr>
      <w:r>
        <w:rPr>
          <w:sz w:val="22"/>
          <w:szCs w:val="22"/>
        </w:rPr>
        <w:t xml:space="preserve">Mining cryptocurrency or performing resource-intensive personal computing tasks on company hardware</w:t>
      </w:r>
    </w:p>
    <w:p>
      <w:pPr>
        <w:pStyle w:val="ListParagraph"/>
        <w:numPr>
          <w:ilvl w:val="0"/>
          <w:numId w:val="1"/>
        </w:numPr>
        <w:spacing w:after="80"/>
      </w:pPr>
      <w:r>
        <w:rPr>
          <w:sz w:val="22"/>
          <w:szCs w:val="22"/>
        </w:rPr>
        <w:t xml:space="preserve">Sharing company access credentials with any other person, including colleagues</w:t>
      </w:r>
    </w:p>
    <w:p>
      <w:pPr>
        <w:pStyle w:val="Heading2"/>
        <w:spacing w:after="150" w:before="300"/>
      </w:pPr>
      <w:r>
        <w:t xml:space="preserve">2.4 Monitoring</w:t>
      </w:r>
    </w:p>
    <w:p>
      <w:pPr>
        <w:spacing w:after="120" w:line="276"/>
      </w:pPr>
      <w:r>
        <w:rPr>
          <w:sz w:val="22"/>
          <w:szCs w:val="22"/>
        </w:rPr>
        <w:t xml:space="preserve">OptiAgent Technologies reserves the right to monitor, log, and audit the use of its technology resources. Employees should not have any expectation of privacy when using company-owned devices or accessing company systems. Monitoring activities comply with applicable law in each country. In Germany, works council co-determination rights (Betriebsrat) apply to any systematic monitoring. In the UK, monitoring is conducted in compliance with UK GDPR.</w:t>
      </w:r>
    </w:p>
    <w:p>
      <w:r>
        <w:br w:type="page"/>
      </w:r>
    </w:p>
    <w:p>
      <w:pPr>
        <w:pStyle w:val="Heading1"/>
        <w:spacing w:after="200" w:before="400"/>
      </w:pPr>
      <w:r>
        <w:t xml:space="preserve">3. Information Security Policy</w:t>
      </w:r>
    </w:p>
    <w:p>
      <w:pPr>
        <w:pStyle w:val="Heading2"/>
        <w:spacing w:after="150" w:before="300"/>
      </w:pPr>
      <w:r>
        <w:t xml:space="preserve">3.1 Security Framework</w:t>
      </w:r>
    </w:p>
    <w:p>
      <w:pPr>
        <w:spacing w:after="120" w:line="276"/>
      </w:pPr>
      <w:r>
        <w:rPr>
          <w:sz w:val="22"/>
          <w:szCs w:val="22"/>
        </w:rPr>
        <w:t xml:space="preserve">OptiAgent Technologies security program is aligned with the following international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Framework</w:t>
            </w:r>
          </w:p>
        </w:tc>
        <w:tc>
          <w:tcPr>
            <w:tcW w:type="dxa" w:w="3120"/>
            <w:shd w:fill="1F4E79" w:color="1F4E79" w:val="clear"/>
          </w:tcPr>
          <w:p>
            <w:pPr>
              <w:spacing w:after="60"/>
            </w:pPr>
            <w:r>
              <w:rPr>
                <w:b/>
                <w:bCs/>
                <w:color w:val="FFFFFF"/>
                <w:sz w:val="20"/>
                <w:szCs w:val="20"/>
              </w:rPr>
              <w:t xml:space="preserve">Scope</w:t>
            </w:r>
          </w:p>
        </w:tc>
        <w:tc>
          <w:tcPr>
            <w:tcW w:type="dxa" w:w="3120"/>
            <w:shd w:fill="1F4E79" w:color="1F4E79" w:val="clear"/>
          </w:tcPr>
          <w:p>
            <w:pPr>
              <w:spacing w:after="60"/>
            </w:pPr>
            <w:r>
              <w:rPr>
                <w:b/>
                <w:bCs/>
                <w:color w:val="FFFFFF"/>
                <w:sz w:val="20"/>
                <w:szCs w:val="20"/>
              </w:rPr>
              <w:t xml:space="preserve">Certification Status</w:t>
            </w:r>
          </w:p>
        </w:tc>
      </w:tr>
      <w:tr>
        <w:tc>
          <w:tcPr>
            <w:tcW w:type="dxa" w:w="3120"/>
          </w:tcPr>
          <w:p>
            <w:pPr>
              <w:spacing w:after="60"/>
            </w:pPr>
            <w:r>
              <w:rPr>
                <w:sz w:val="20"/>
                <w:szCs w:val="20"/>
              </w:rPr>
              <w:t xml:space="preserve">ISO/IEC 27001:2022</w:t>
            </w:r>
          </w:p>
        </w:tc>
        <w:tc>
          <w:tcPr>
            <w:tcW w:type="dxa" w:w="3120"/>
          </w:tcPr>
          <w:p>
            <w:pPr>
              <w:spacing w:after="60"/>
            </w:pPr>
            <w:r>
              <w:rPr>
                <w:sz w:val="20"/>
                <w:szCs w:val="20"/>
              </w:rPr>
              <w:t xml:space="preserve">Information Security Management System (ISMS)</w:t>
            </w:r>
          </w:p>
        </w:tc>
        <w:tc>
          <w:tcPr>
            <w:tcW w:type="dxa" w:w="3120"/>
          </w:tcPr>
          <w:p>
            <w:pPr>
              <w:spacing w:after="60"/>
            </w:pPr>
            <w:r>
              <w:rPr>
                <w:sz w:val="20"/>
                <w:szCs w:val="20"/>
              </w:rPr>
              <w:t xml:space="preserve">Certified — Annual audit by BSI Group</w:t>
            </w:r>
          </w:p>
        </w:tc>
      </w:tr>
      <w:tr>
        <w:tc>
          <w:tcPr>
            <w:tcW w:type="dxa" w:w="3120"/>
          </w:tcPr>
          <w:p>
            <w:pPr>
              <w:spacing w:after="60"/>
            </w:pPr>
            <w:r>
              <w:rPr>
                <w:sz w:val="20"/>
                <w:szCs w:val="20"/>
              </w:rPr>
              <w:t xml:space="preserve">SOC 2 Type II</w:t>
            </w:r>
          </w:p>
        </w:tc>
        <w:tc>
          <w:tcPr>
            <w:tcW w:type="dxa" w:w="3120"/>
          </w:tcPr>
          <w:p>
            <w:pPr>
              <w:spacing w:after="60"/>
            </w:pPr>
            <w:r>
              <w:rPr>
                <w:sz w:val="20"/>
                <w:szCs w:val="20"/>
              </w:rPr>
              <w:t xml:space="preserve">Security, Availability, Confidentiality, Processing Integrity</w:t>
            </w:r>
          </w:p>
        </w:tc>
        <w:tc>
          <w:tcPr>
            <w:tcW w:type="dxa" w:w="3120"/>
          </w:tcPr>
          <w:p>
            <w:pPr>
              <w:spacing w:after="60"/>
            </w:pPr>
            <w:r>
              <w:rPr>
                <w:sz w:val="20"/>
                <w:szCs w:val="20"/>
              </w:rPr>
              <w:t xml:space="preserve">Certified — Annual audit by Deloitte</w:t>
            </w:r>
          </w:p>
        </w:tc>
      </w:tr>
      <w:tr>
        <w:tc>
          <w:tcPr>
            <w:tcW w:type="dxa" w:w="3120"/>
          </w:tcPr>
          <w:p>
            <w:pPr>
              <w:spacing w:after="60"/>
            </w:pPr>
            <w:r>
              <w:rPr>
                <w:sz w:val="20"/>
                <w:szCs w:val="20"/>
              </w:rPr>
              <w:t xml:space="preserve">GDPR</w:t>
            </w:r>
          </w:p>
        </w:tc>
        <w:tc>
          <w:tcPr>
            <w:tcW w:type="dxa" w:w="3120"/>
          </w:tcPr>
          <w:p>
            <w:pPr>
              <w:spacing w:after="60"/>
            </w:pPr>
            <w:r>
              <w:rPr>
                <w:sz w:val="20"/>
                <w:szCs w:val="20"/>
              </w:rPr>
              <w:t xml:space="preserve">Personal data of EU/UK residents</w:t>
            </w:r>
          </w:p>
        </w:tc>
        <w:tc>
          <w:tcPr>
            <w:tcW w:type="dxa" w:w="3120"/>
          </w:tcPr>
          <w:p>
            <w:pPr>
              <w:spacing w:after="60"/>
            </w:pPr>
            <w:r>
              <w:rPr>
                <w:sz w:val="20"/>
                <w:szCs w:val="20"/>
              </w:rPr>
              <w:t xml:space="preserve">Ongoing compliance program</w:t>
            </w:r>
          </w:p>
        </w:tc>
      </w:tr>
      <w:tr>
        <w:tc>
          <w:tcPr>
            <w:tcW w:type="dxa" w:w="3120"/>
          </w:tcPr>
          <w:p>
            <w:pPr>
              <w:spacing w:after="60"/>
            </w:pPr>
            <w:r>
              <w:rPr>
                <w:sz w:val="20"/>
                <w:szCs w:val="20"/>
              </w:rPr>
              <w:t xml:space="preserve">NIST CSF 2.0</w:t>
            </w:r>
          </w:p>
        </w:tc>
        <w:tc>
          <w:tcPr>
            <w:tcW w:type="dxa" w:w="3120"/>
          </w:tcPr>
          <w:p>
            <w:pPr>
              <w:spacing w:after="60"/>
            </w:pPr>
            <w:r>
              <w:rPr>
                <w:sz w:val="20"/>
                <w:szCs w:val="20"/>
              </w:rPr>
              <w:t xml:space="preserve">Cybersecurity risk management</w:t>
            </w:r>
          </w:p>
        </w:tc>
        <w:tc>
          <w:tcPr>
            <w:tcW w:type="dxa" w:w="3120"/>
          </w:tcPr>
          <w:p>
            <w:pPr>
              <w:spacing w:after="60"/>
            </w:pPr>
            <w:r>
              <w:rPr>
                <w:sz w:val="20"/>
                <w:szCs w:val="20"/>
              </w:rPr>
              <w:t xml:space="preserve">Self-assessed; roadmap in progress</w:t>
            </w:r>
          </w:p>
        </w:tc>
      </w:tr>
      <w:tr>
        <w:tc>
          <w:tcPr>
            <w:tcW w:type="dxa" w:w="3120"/>
          </w:tcPr>
          <w:p>
            <w:pPr>
              <w:spacing w:after="60"/>
            </w:pPr>
            <w:r>
              <w:rPr>
                <w:sz w:val="20"/>
                <w:szCs w:val="20"/>
              </w:rPr>
              <w:t xml:space="preserve">CIS Controls v8</w:t>
            </w:r>
          </w:p>
        </w:tc>
        <w:tc>
          <w:tcPr>
            <w:tcW w:type="dxa" w:w="3120"/>
          </w:tcPr>
          <w:p>
            <w:pPr>
              <w:spacing w:after="60"/>
            </w:pPr>
            <w:r>
              <w:rPr>
                <w:sz w:val="20"/>
                <w:szCs w:val="20"/>
              </w:rPr>
              <w:t xml:space="preserve">Technical security configuration baseline</w:t>
            </w:r>
          </w:p>
        </w:tc>
        <w:tc>
          <w:tcPr>
            <w:tcW w:type="dxa" w:w="3120"/>
          </w:tcPr>
          <w:p>
            <w:pPr>
              <w:spacing w:after="60"/>
            </w:pPr>
            <w:r>
              <w:rPr>
                <w:sz w:val="20"/>
                <w:szCs w:val="20"/>
              </w:rPr>
              <w:t xml:space="preserve">Implemented across all environments</w:t>
            </w:r>
          </w:p>
        </w:tc>
      </w:tr>
    </w:tbl>
    <w:p>
      <w:pPr>
        <w:spacing w:after="80"/>
      </w:pPr>
      <w:r>
        <w:t xml:space="preserve"/>
      </w:r>
    </w:p>
    <w:p>
      <w:pPr>
        <w:pStyle w:val="Heading2"/>
        <w:spacing w:after="150" w:before="300"/>
      </w:pPr>
      <w:r>
        <w:t xml:space="preserve">3.2 Security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color w:val="FFFFFF"/>
                <w:sz w:val="20"/>
                <w:szCs w:val="20"/>
              </w:rPr>
              <w:t xml:space="preserve">Role</w:t>
            </w:r>
          </w:p>
        </w:tc>
        <w:tc>
          <w:tcPr>
            <w:tcW w:type="dxa" w:w="4680"/>
            <w:shd w:fill="1F4E79" w:color="1F4E79" w:val="clear"/>
          </w:tcPr>
          <w:p>
            <w:pPr>
              <w:spacing w:after="60"/>
            </w:pPr>
            <w:r>
              <w:rPr>
                <w:b/>
                <w:bCs/>
                <w:color w:val="FFFFFF"/>
                <w:sz w:val="20"/>
                <w:szCs w:val="20"/>
              </w:rPr>
              <w:t xml:space="preserve">Responsibilities</w:t>
            </w:r>
          </w:p>
        </w:tc>
      </w:tr>
      <w:tr>
        <w:tc>
          <w:tcPr>
            <w:tcW w:type="dxa" w:w="4680"/>
          </w:tcPr>
          <w:p>
            <w:pPr>
              <w:spacing w:after="60"/>
            </w:pPr>
            <w:r>
              <w:rPr>
                <w:sz w:val="20"/>
                <w:szCs w:val="20"/>
              </w:rPr>
              <w:t xml:space="preserve">Chief Information Security Officer (CISO)</w:t>
            </w:r>
          </w:p>
        </w:tc>
        <w:tc>
          <w:tcPr>
            <w:tcW w:type="dxa" w:w="4680"/>
          </w:tcPr>
          <w:p>
            <w:pPr>
              <w:spacing w:after="60"/>
            </w:pPr>
            <w:r>
              <w:rPr>
                <w:sz w:val="20"/>
                <w:szCs w:val="20"/>
              </w:rPr>
              <w:t xml:space="preserve">Overall accountability for the security program; reports to CEO and Audit Committee</w:t>
            </w:r>
          </w:p>
        </w:tc>
      </w:tr>
      <w:tr>
        <w:tc>
          <w:tcPr>
            <w:tcW w:type="dxa" w:w="4680"/>
          </w:tcPr>
          <w:p>
            <w:pPr>
              <w:spacing w:after="60"/>
            </w:pPr>
            <w:r>
              <w:rPr>
                <w:sz w:val="20"/>
                <w:szCs w:val="20"/>
              </w:rPr>
              <w:t xml:space="preserve">Security Operations Center (SOC)</w:t>
            </w:r>
          </w:p>
        </w:tc>
        <w:tc>
          <w:tcPr>
            <w:tcW w:type="dxa" w:w="4680"/>
          </w:tcPr>
          <w:p>
            <w:pPr>
              <w:spacing w:after="60"/>
            </w:pPr>
            <w:r>
              <w:rPr>
                <w:sz w:val="20"/>
                <w:szCs w:val="20"/>
              </w:rPr>
              <w:t xml:space="preserve">Real-time monitoring, incident detection, and response; 24/7 coverage</w:t>
            </w:r>
          </w:p>
        </w:tc>
      </w:tr>
      <w:tr>
        <w:tc>
          <w:tcPr>
            <w:tcW w:type="dxa" w:w="4680"/>
          </w:tcPr>
          <w:p>
            <w:pPr>
              <w:spacing w:after="60"/>
            </w:pPr>
            <w:r>
              <w:rPr>
                <w:sz w:val="20"/>
                <w:szCs w:val="20"/>
              </w:rPr>
              <w:t xml:space="preserve">IT Helpdesk</w:t>
            </w:r>
          </w:p>
        </w:tc>
        <w:tc>
          <w:tcPr>
            <w:tcW w:type="dxa" w:w="4680"/>
          </w:tcPr>
          <w:p>
            <w:pPr>
              <w:spacing w:after="60"/>
            </w:pPr>
            <w:r>
              <w:rPr>
                <w:sz w:val="20"/>
                <w:szCs w:val="20"/>
              </w:rPr>
              <w:t xml:space="preserve">Device provisioning, access management, endpoint compliance enforcement</w:t>
            </w:r>
          </w:p>
        </w:tc>
      </w:tr>
      <w:tr>
        <w:tc>
          <w:tcPr>
            <w:tcW w:type="dxa" w:w="4680"/>
          </w:tcPr>
          <w:p>
            <w:pPr>
              <w:spacing w:after="60"/>
            </w:pPr>
            <w:r>
              <w:rPr>
                <w:sz w:val="20"/>
                <w:szCs w:val="20"/>
              </w:rPr>
              <w:t xml:space="preserve">All Employees</w:t>
            </w:r>
          </w:p>
        </w:tc>
        <w:tc>
          <w:tcPr>
            <w:tcW w:type="dxa" w:w="4680"/>
          </w:tcPr>
          <w:p>
            <w:pPr>
              <w:spacing w:after="60"/>
            </w:pPr>
            <w:r>
              <w:rPr>
                <w:sz w:val="20"/>
                <w:szCs w:val="20"/>
              </w:rPr>
              <w:t xml:space="preserve">Following security policies, completing training, reporting incidents</w:t>
            </w:r>
          </w:p>
        </w:tc>
      </w:tr>
      <w:tr>
        <w:tc>
          <w:tcPr>
            <w:tcW w:type="dxa" w:w="4680"/>
          </w:tcPr>
          <w:p>
            <w:pPr>
              <w:spacing w:after="60"/>
            </w:pPr>
            <w:r>
              <w:rPr>
                <w:sz w:val="20"/>
                <w:szCs w:val="20"/>
              </w:rPr>
              <w:t xml:space="preserve">People Managers</w:t>
            </w:r>
          </w:p>
        </w:tc>
        <w:tc>
          <w:tcPr>
            <w:tcW w:type="dxa" w:w="4680"/>
          </w:tcPr>
          <w:p>
            <w:pPr>
              <w:spacing w:after="60"/>
            </w:pPr>
            <w:r>
              <w:rPr>
                <w:sz w:val="20"/>
                <w:szCs w:val="20"/>
              </w:rPr>
              <w:t xml:space="preserve">Ensuring access rights are correct for team members; offboarding access revocation</w:t>
            </w:r>
          </w:p>
        </w:tc>
      </w:tr>
      <w:tr>
        <w:tc>
          <w:tcPr>
            <w:tcW w:type="dxa" w:w="4680"/>
          </w:tcPr>
          <w:p>
            <w:pPr>
              <w:spacing w:after="60"/>
            </w:pPr>
            <w:r>
              <w:rPr>
                <w:sz w:val="20"/>
                <w:szCs w:val="20"/>
              </w:rPr>
              <w:t xml:space="preserve">HR People Operations</w:t>
            </w:r>
          </w:p>
        </w:tc>
        <w:tc>
          <w:tcPr>
            <w:tcW w:type="dxa" w:w="4680"/>
          </w:tcPr>
          <w:p>
            <w:pPr>
              <w:spacing w:after="60"/>
            </w:pPr>
            <w:r>
              <w:rPr>
                <w:sz w:val="20"/>
                <w:szCs w:val="20"/>
              </w:rPr>
              <w:t xml:space="preserve">Notifying IT/Security promptly on new hires, transfers, and departures</w:t>
            </w:r>
          </w:p>
        </w:tc>
      </w:tr>
    </w:tbl>
    <w:p>
      <w:pPr>
        <w:spacing w:after="80"/>
      </w:pPr>
      <w:r>
        <w:t xml:space="preserve"/>
      </w:r>
    </w:p>
    <w:p>
      <w:pPr>
        <w:pStyle w:val="Heading2"/>
        <w:spacing w:after="150" w:before="300"/>
      </w:pPr>
      <w:r>
        <w:t xml:space="preserve">3.3 Asset Management</w:t>
      </w:r>
    </w:p>
    <w:p>
      <w:pPr>
        <w:spacing w:after="120" w:line="276"/>
      </w:pPr>
      <w:r>
        <w:rPr>
          <w:sz w:val="22"/>
          <w:szCs w:val="22"/>
        </w:rPr>
        <w:t xml:space="preserve">All company-owned hardware and software must be registered in the IT Asset Management system (ServiceNow). Employees may not remove company hardware from office premises without manager approval.</w:t>
      </w:r>
    </w:p>
    <w:p>
      <w:r>
        <w:br w:type="page"/>
      </w:r>
    </w:p>
    <w:p>
      <w:pPr>
        <w:pStyle w:val="Heading1"/>
        <w:spacing w:after="200" w:before="400"/>
      </w:pPr>
      <w:r>
        <w:t xml:space="preserve">4. Password &amp; Authentication Policy</w:t>
      </w:r>
    </w:p>
    <w:p>
      <w:pPr>
        <w:pStyle w:val="Heading2"/>
        <w:spacing w:after="150" w:before="300"/>
      </w:pPr>
      <w:r>
        <w:t xml:space="preserve">4.1 Password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Requirement</w:t>
            </w:r>
          </w:p>
        </w:tc>
        <w:tc>
          <w:tcPr>
            <w:tcW w:type="dxa" w:w="3120"/>
            <w:shd w:fill="1F4E79" w:color="1F4E79" w:val="clear"/>
          </w:tcPr>
          <w:p>
            <w:pPr>
              <w:spacing w:after="60"/>
            </w:pPr>
            <w:r>
              <w:rPr>
                <w:b/>
                <w:bCs/>
                <w:color w:val="FFFFFF"/>
                <w:sz w:val="20"/>
                <w:szCs w:val="20"/>
              </w:rPr>
              <w:t xml:space="preserve">Standard Accounts</w:t>
            </w:r>
          </w:p>
        </w:tc>
        <w:tc>
          <w:tcPr>
            <w:tcW w:type="dxa" w:w="3120"/>
            <w:shd w:fill="1F4E79" w:color="1F4E79" w:val="clear"/>
          </w:tcPr>
          <w:p>
            <w:pPr>
              <w:spacing w:after="60"/>
            </w:pPr>
            <w:r>
              <w:rPr>
                <w:b/>
                <w:bCs/>
                <w:color w:val="FFFFFF"/>
                <w:sz w:val="20"/>
                <w:szCs w:val="20"/>
              </w:rPr>
              <w:t xml:space="preserve">Privileged/Admin Accounts</w:t>
            </w:r>
          </w:p>
        </w:tc>
      </w:tr>
      <w:tr>
        <w:tc>
          <w:tcPr>
            <w:tcW w:type="dxa" w:w="3120"/>
          </w:tcPr>
          <w:p>
            <w:pPr>
              <w:spacing w:after="60"/>
            </w:pPr>
            <w:r>
              <w:rPr>
                <w:sz w:val="20"/>
                <w:szCs w:val="20"/>
              </w:rPr>
              <w:t xml:space="preserve">Minimum Length</w:t>
            </w:r>
          </w:p>
        </w:tc>
        <w:tc>
          <w:tcPr>
            <w:tcW w:type="dxa" w:w="3120"/>
          </w:tcPr>
          <w:p>
            <w:pPr>
              <w:spacing w:after="60"/>
            </w:pPr>
            <w:r>
              <w:rPr>
                <w:sz w:val="20"/>
                <w:szCs w:val="20"/>
              </w:rPr>
              <w:t xml:space="preserve">14 characters</w:t>
            </w:r>
          </w:p>
        </w:tc>
        <w:tc>
          <w:tcPr>
            <w:tcW w:type="dxa" w:w="3120"/>
          </w:tcPr>
          <w:p>
            <w:pPr>
              <w:spacing w:after="60"/>
            </w:pPr>
            <w:r>
              <w:rPr>
                <w:sz w:val="20"/>
                <w:szCs w:val="20"/>
              </w:rPr>
              <w:t xml:space="preserve">20 characters</w:t>
            </w:r>
          </w:p>
        </w:tc>
      </w:tr>
      <w:tr>
        <w:tc>
          <w:tcPr>
            <w:tcW w:type="dxa" w:w="3120"/>
          </w:tcPr>
          <w:p>
            <w:pPr>
              <w:spacing w:after="60"/>
            </w:pPr>
            <w:r>
              <w:rPr>
                <w:sz w:val="20"/>
                <w:szCs w:val="20"/>
              </w:rPr>
              <w:t xml:space="preserve">Complexity</w:t>
            </w:r>
          </w:p>
        </w:tc>
        <w:tc>
          <w:tcPr>
            <w:tcW w:type="dxa" w:w="3120"/>
          </w:tcPr>
          <w:p>
            <w:pPr>
              <w:spacing w:after="60"/>
            </w:pPr>
            <w:r>
              <w:rPr>
                <w:sz w:val="20"/>
                <w:szCs w:val="20"/>
              </w:rPr>
              <w:t xml:space="preserve">Upper + lower + number + special</w:t>
            </w:r>
          </w:p>
        </w:tc>
        <w:tc>
          <w:tcPr>
            <w:tcW w:type="dxa" w:w="3120"/>
          </w:tcPr>
          <w:p>
            <w:pPr>
              <w:spacing w:after="60"/>
            </w:pPr>
            <w:r>
              <w:rPr>
                <w:sz w:val="20"/>
                <w:szCs w:val="20"/>
              </w:rPr>
              <w:t xml:space="preserve">Upper + lower + number + special + no dictionary words</w:t>
            </w:r>
          </w:p>
        </w:tc>
      </w:tr>
      <w:tr>
        <w:tc>
          <w:tcPr>
            <w:tcW w:type="dxa" w:w="3120"/>
          </w:tcPr>
          <w:p>
            <w:pPr>
              <w:spacing w:after="60"/>
            </w:pPr>
            <w:r>
              <w:rPr>
                <w:sz w:val="20"/>
                <w:szCs w:val="20"/>
              </w:rPr>
              <w:t xml:space="preserve">History</w:t>
            </w:r>
          </w:p>
        </w:tc>
        <w:tc>
          <w:tcPr>
            <w:tcW w:type="dxa" w:w="3120"/>
          </w:tcPr>
          <w:p>
            <w:pPr>
              <w:spacing w:after="60"/>
            </w:pPr>
            <w:r>
              <w:rPr>
                <w:sz w:val="20"/>
                <w:szCs w:val="20"/>
              </w:rPr>
              <w:t xml:space="preserve">Cannot reuse last 12 passwords</w:t>
            </w:r>
          </w:p>
        </w:tc>
        <w:tc>
          <w:tcPr>
            <w:tcW w:type="dxa" w:w="3120"/>
          </w:tcPr>
          <w:p>
            <w:pPr>
              <w:spacing w:after="60"/>
            </w:pPr>
            <w:r>
              <w:rPr>
                <w:sz w:val="20"/>
                <w:szCs w:val="20"/>
              </w:rPr>
              <w:t xml:space="preserve">Cannot reuse last 24 passwords</w:t>
            </w:r>
          </w:p>
        </w:tc>
      </w:tr>
      <w:tr>
        <w:tc>
          <w:tcPr>
            <w:tcW w:type="dxa" w:w="3120"/>
          </w:tcPr>
          <w:p>
            <w:pPr>
              <w:spacing w:after="60"/>
            </w:pPr>
            <w:r>
              <w:rPr>
                <w:sz w:val="20"/>
                <w:szCs w:val="20"/>
              </w:rPr>
              <w:t xml:space="preserve">Rotation (forced)</w:t>
            </w:r>
          </w:p>
        </w:tc>
        <w:tc>
          <w:tcPr>
            <w:tcW w:type="dxa" w:w="3120"/>
          </w:tcPr>
          <w:p>
            <w:pPr>
              <w:spacing w:after="60"/>
            </w:pPr>
            <w:r>
              <w:rPr>
                <w:sz w:val="20"/>
                <w:szCs w:val="20"/>
              </w:rPr>
              <w:t xml:space="preserve">None (alerts via HaveIBeenPwned integration)</w:t>
            </w:r>
          </w:p>
        </w:tc>
        <w:tc>
          <w:tcPr>
            <w:tcW w:type="dxa" w:w="3120"/>
          </w:tcPr>
          <w:p>
            <w:pPr>
              <w:spacing w:after="60"/>
            </w:pPr>
            <w:r>
              <w:rPr>
                <w:sz w:val="20"/>
                <w:szCs w:val="20"/>
              </w:rPr>
              <w:t xml:space="preserve">Every 90 days</w:t>
            </w:r>
          </w:p>
        </w:tc>
      </w:tr>
      <w:tr>
        <w:tc>
          <w:tcPr>
            <w:tcW w:type="dxa" w:w="3120"/>
          </w:tcPr>
          <w:p>
            <w:pPr>
              <w:spacing w:after="60"/>
            </w:pPr>
            <w:r>
              <w:rPr>
                <w:sz w:val="20"/>
                <w:szCs w:val="20"/>
              </w:rPr>
              <w:t xml:space="preserve">MFA Required</w:t>
            </w:r>
          </w:p>
        </w:tc>
        <w:tc>
          <w:tcPr>
            <w:tcW w:type="dxa" w:w="3120"/>
          </w:tcPr>
          <w:p>
            <w:pPr>
              <w:spacing w:after="60"/>
            </w:pPr>
            <w:r>
              <w:rPr>
                <w:sz w:val="20"/>
                <w:szCs w:val="20"/>
              </w:rPr>
              <w:t xml:space="preserve">Yes — all accounts without exception</w:t>
            </w:r>
          </w:p>
        </w:tc>
        <w:tc>
          <w:tcPr>
            <w:tcW w:type="dxa" w:w="3120"/>
          </w:tcPr>
          <w:p>
            <w:pPr>
              <w:spacing w:after="60"/>
            </w:pPr>
            <w:r>
              <w:rPr>
                <w:sz w:val="20"/>
                <w:szCs w:val="20"/>
              </w:rPr>
              <w:t xml:space="preserve">Yes + hardware token (YubiKey required for Prod)</w:t>
            </w:r>
          </w:p>
        </w:tc>
      </w:tr>
      <w:tr>
        <w:tc>
          <w:tcPr>
            <w:tcW w:type="dxa" w:w="3120"/>
          </w:tcPr>
          <w:p>
            <w:pPr>
              <w:spacing w:after="60"/>
            </w:pPr>
            <w:r>
              <w:rPr>
                <w:sz w:val="20"/>
                <w:szCs w:val="20"/>
              </w:rPr>
              <w:t xml:space="preserve">Password Manager</w:t>
            </w:r>
          </w:p>
        </w:tc>
        <w:tc>
          <w:tcPr>
            <w:tcW w:type="dxa" w:w="3120"/>
          </w:tcPr>
          <w:p>
            <w:pPr>
              <w:spacing w:after="60"/>
            </w:pPr>
            <w:r>
              <w:rPr>
                <w:sz w:val="20"/>
                <w:szCs w:val="20"/>
              </w:rPr>
              <w:t xml:space="preserve">1Password (company-licensed)</w:t>
            </w:r>
          </w:p>
        </w:tc>
        <w:tc>
          <w:tcPr>
            <w:tcW w:type="dxa" w:w="3120"/>
          </w:tcPr>
          <w:p>
            <w:pPr>
              <w:spacing w:after="60"/>
            </w:pPr>
            <w:r>
              <w:rPr>
                <w:sz w:val="20"/>
                <w:szCs w:val="20"/>
              </w:rPr>
              <w:t xml:space="preserve">1Password Business vault with restricted sharing</w:t>
            </w:r>
          </w:p>
        </w:tc>
      </w:tr>
    </w:tbl>
    <w:p>
      <w:pPr>
        <w:spacing w:after="80"/>
      </w:pPr>
      <w:r>
        <w:t xml:space="preserve"/>
      </w:r>
    </w:p>
    <w:p>
      <w:pPr>
        <w:pStyle w:val="Heading2"/>
        <w:spacing w:after="150" w:before="300"/>
      </w:pPr>
      <w:r>
        <w:t xml:space="preserve">4.2 Multi-Factor Authentication (MFA)</w:t>
      </w:r>
    </w:p>
    <w:p>
      <w:pPr>
        <w:spacing w:after="120" w:line="276"/>
      </w:pPr>
      <w:r>
        <w:rPr>
          <w:sz w:val="22"/>
          <w:szCs w:val="22"/>
        </w:rPr>
        <w:t xml:space="preserve">MFA is mandatory for all OptiAgent systems. Approved MFA methods in order of security strength:</w:t>
      </w:r>
    </w:p>
    <w:p>
      <w:pPr>
        <w:pStyle w:val="ListParagraph"/>
        <w:numPr>
          <w:ilvl w:val="0"/>
          <w:numId w:val="1"/>
        </w:numPr>
        <w:spacing w:after="80"/>
      </w:pPr>
      <w:r>
        <w:rPr>
          <w:sz w:val="22"/>
          <w:szCs w:val="22"/>
        </w:rPr>
        <w:t xml:space="preserve">Hardware security key (YubiKey FIDO2) — required for access to production infrastructure</w:t>
      </w:r>
    </w:p>
    <w:p>
      <w:pPr>
        <w:pStyle w:val="ListParagraph"/>
        <w:numPr>
          <w:ilvl w:val="0"/>
          <w:numId w:val="1"/>
        </w:numPr>
        <w:spacing w:after="80"/>
      </w:pPr>
      <w:r>
        <w:rPr>
          <w:sz w:val="22"/>
          <w:szCs w:val="22"/>
        </w:rPr>
        <w:t xml:space="preserve">Authenticator app (Microsoft Authenticator or Google Authenticator) — standard for most users</w:t>
      </w:r>
    </w:p>
    <w:p>
      <w:pPr>
        <w:pStyle w:val="ListParagraph"/>
        <w:numPr>
          <w:ilvl w:val="0"/>
          <w:numId w:val="1"/>
        </w:numPr>
        <w:spacing w:after="80"/>
      </w:pPr>
      <w:r>
        <w:rPr>
          <w:sz w:val="22"/>
          <w:szCs w:val="22"/>
        </w:rPr>
        <w:t xml:space="preserve">Push notification via Microsoft Authenticator — acceptable for low-risk internal apps</w:t>
      </w:r>
    </w:p>
    <w:p>
      <w:pPr>
        <w:pStyle w:val="ListParagraph"/>
        <w:numPr>
          <w:ilvl w:val="0"/>
          <w:numId w:val="1"/>
        </w:numPr>
        <w:spacing w:after="80"/>
      </w:pPr>
      <w:r>
        <w:rPr>
          <w:sz w:val="22"/>
          <w:szCs w:val="22"/>
        </w:rPr>
        <w:t xml:space="preserve">SMS OTP — only permitted as fallback recovery method; not for primary authentication</w:t>
      </w:r>
    </w:p>
    <w:p>
      <w:pPr>
        <w:pStyle w:val="Heading2"/>
        <w:spacing w:after="150" w:before="300"/>
      </w:pPr>
      <w:r>
        <w:t xml:space="preserve">4.3 Single Sign-On (SSO)</w:t>
      </w:r>
    </w:p>
    <w:p>
      <w:pPr>
        <w:spacing w:after="120" w:line="276"/>
      </w:pPr>
      <w:r>
        <w:rPr>
          <w:sz w:val="22"/>
          <w:szCs w:val="22"/>
        </w:rPr>
        <w:t xml:space="preserve">OptiAgent uses Okta as its Identity Provider (IdP) for Single Sign-On. All business applications must be integrated with Okta where technically feasible. Employees should access all company applications through the Okta dashboard (login.optiagent.com).</w:t>
      </w:r>
    </w:p>
    <w:p>
      <w:r>
        <w:br w:type="page"/>
      </w:r>
    </w:p>
    <w:p>
      <w:pPr>
        <w:pStyle w:val="Heading1"/>
        <w:spacing w:after="200" w:before="400"/>
      </w:pPr>
      <w:r>
        <w:t xml:space="preserve">5. BYOD Policy (Bring Your Own Device)</w:t>
      </w:r>
    </w:p>
    <w:p>
      <w:pPr>
        <w:pStyle w:val="Heading2"/>
        <w:spacing w:after="150" w:before="300"/>
      </w:pPr>
      <w:r>
        <w:t xml:space="preserve">5.1 BYOD Overview</w:t>
      </w:r>
    </w:p>
    <w:p>
      <w:pPr>
        <w:spacing w:after="120" w:line="276"/>
      </w:pPr>
      <w:r>
        <w:rPr>
          <w:sz w:val="22"/>
          <w:szCs w:val="22"/>
        </w:rPr>
        <w:t xml:space="preserve">OptiAgent Technologies permits limited use of personal devices (BYOD) to access company email and certain collaboration tools. BYOD access is a privilege, not a right, and is subject to the following conditions.</w:t>
      </w:r>
    </w:p>
    <w:p>
      <w:pPr>
        <w:pStyle w:val="Heading2"/>
        <w:spacing w:after="150" w:before="300"/>
      </w:pPr>
      <w:r>
        <w:t xml:space="preserve">5.2 Permitted Personal Device Uses</w:t>
      </w:r>
    </w:p>
    <w:p>
      <w:pPr>
        <w:pStyle w:val="ListParagraph"/>
        <w:numPr>
          <w:ilvl w:val="0"/>
          <w:numId w:val="1"/>
        </w:numPr>
        <w:spacing w:after="80"/>
      </w:pPr>
      <w:r>
        <w:rPr>
          <w:sz w:val="22"/>
          <w:szCs w:val="22"/>
        </w:rPr>
        <w:t xml:space="preserve">Accessing company email via Microsoft Outlook mobile app (Intune-managed)</w:t>
      </w:r>
    </w:p>
    <w:p>
      <w:pPr>
        <w:pStyle w:val="ListParagraph"/>
        <w:numPr>
          <w:ilvl w:val="0"/>
          <w:numId w:val="1"/>
        </w:numPr>
        <w:spacing w:after="80"/>
      </w:pPr>
      <w:r>
        <w:rPr>
          <w:sz w:val="22"/>
          <w:szCs w:val="22"/>
        </w:rPr>
        <w:t xml:space="preserve">Accessing Microsoft Teams for messaging and voice calls</w:t>
      </w:r>
    </w:p>
    <w:p>
      <w:pPr>
        <w:pStyle w:val="ListParagraph"/>
        <w:numPr>
          <w:ilvl w:val="0"/>
          <w:numId w:val="1"/>
        </w:numPr>
        <w:spacing w:after="80"/>
      </w:pPr>
      <w:r>
        <w:rPr>
          <w:sz w:val="22"/>
          <w:szCs w:val="22"/>
        </w:rPr>
        <w:t xml:space="preserve">Viewing (not editing or downloading) company documents in SharePoint via browser</w:t>
      </w:r>
    </w:p>
    <w:p>
      <w:pPr>
        <w:pStyle w:val="ListParagraph"/>
        <w:numPr>
          <w:ilvl w:val="0"/>
          <w:numId w:val="1"/>
        </w:numPr>
        <w:spacing w:after="80"/>
      </w:pPr>
      <w:r>
        <w:rPr>
          <w:sz w:val="22"/>
          <w:szCs w:val="22"/>
        </w:rPr>
        <w:t xml:space="preserve">Using the Workday mobile app for HR self-service functions</w:t>
      </w:r>
    </w:p>
    <w:p>
      <w:pPr>
        <w:pStyle w:val="Heading2"/>
        <w:spacing w:after="150" w:before="300"/>
      </w:pPr>
      <w:r>
        <w:t xml:space="preserve">5.3 BYOD Requirements</w:t>
      </w:r>
    </w:p>
    <w:p>
      <w:pPr>
        <w:pStyle w:val="ListParagraph"/>
        <w:numPr>
          <w:ilvl w:val="0"/>
          <w:numId w:val="1"/>
        </w:numPr>
        <w:spacing w:after="80"/>
      </w:pPr>
      <w:r>
        <w:rPr>
          <w:sz w:val="22"/>
          <w:szCs w:val="22"/>
        </w:rPr>
        <w:t xml:space="preserve">Device must be registered in Microsoft Intune (Mobile Device Management)</w:t>
      </w:r>
    </w:p>
    <w:p>
      <w:pPr>
        <w:pStyle w:val="ListParagraph"/>
        <w:numPr>
          <w:ilvl w:val="0"/>
          <w:numId w:val="1"/>
        </w:numPr>
        <w:spacing w:after="80"/>
      </w:pPr>
      <w:r>
        <w:rPr>
          <w:sz w:val="22"/>
          <w:szCs w:val="22"/>
        </w:rPr>
        <w:t xml:space="preserve">Operating system must be current and fully patched</w:t>
      </w:r>
    </w:p>
    <w:p>
      <w:pPr>
        <w:pStyle w:val="ListParagraph"/>
        <w:numPr>
          <w:ilvl w:val="0"/>
          <w:numId w:val="1"/>
        </w:numPr>
        <w:spacing w:after="80"/>
      </w:pPr>
      <w:r>
        <w:rPr>
          <w:sz w:val="22"/>
          <w:szCs w:val="22"/>
        </w:rPr>
        <w:t xml:space="preserve">Device must have screen lock enabled with PIN, password, or biometric</w:t>
      </w:r>
    </w:p>
    <w:p>
      <w:pPr>
        <w:pStyle w:val="ListParagraph"/>
        <w:numPr>
          <w:ilvl w:val="0"/>
          <w:numId w:val="1"/>
        </w:numPr>
        <w:spacing w:after="80"/>
      </w:pPr>
      <w:r>
        <w:rPr>
          <w:sz w:val="22"/>
          <w:szCs w:val="22"/>
        </w:rPr>
        <w:t xml:space="preserve">Device encryption must be enabled</w:t>
      </w:r>
    </w:p>
    <w:p>
      <w:pPr>
        <w:pStyle w:val="ListParagraph"/>
        <w:numPr>
          <w:ilvl w:val="0"/>
          <w:numId w:val="1"/>
        </w:numPr>
        <w:spacing w:after="80"/>
      </w:pPr>
      <w:r>
        <w:rPr>
          <w:sz w:val="22"/>
          <w:szCs w:val="22"/>
        </w:rPr>
        <w:t xml:space="preserve">Remote wipe of company data must be authorized</w:t>
      </w:r>
    </w:p>
    <w:p>
      <w:pPr>
        <w:pStyle w:val="Heading2"/>
        <w:spacing w:after="150" w:before="300"/>
      </w:pPr>
      <w:r>
        <w:t xml:space="preserve">5.4 BYOD Restrictions</w:t>
      </w:r>
    </w:p>
    <w:p>
      <w:pPr>
        <w:pStyle w:val="ListParagraph"/>
        <w:numPr>
          <w:ilvl w:val="0"/>
          <w:numId w:val="1"/>
        </w:numPr>
        <w:spacing w:after="80"/>
      </w:pPr>
      <w:r>
        <w:rPr>
          <w:sz w:val="22"/>
          <w:szCs w:val="22"/>
        </w:rPr>
        <w:t xml:space="preserve">Source code repositories, production databases, and customer PII systems are not accessible from personal devices</w:t>
      </w:r>
    </w:p>
    <w:p>
      <w:pPr>
        <w:pStyle w:val="ListParagraph"/>
        <w:numPr>
          <w:ilvl w:val="0"/>
          <w:numId w:val="1"/>
        </w:numPr>
        <w:spacing w:after="80"/>
      </w:pPr>
      <w:r>
        <w:rPr>
          <w:sz w:val="22"/>
          <w:szCs w:val="22"/>
        </w:rPr>
        <w:t xml:space="preserve">Downloading or syncing company files to personal device storage is not permitted</w:t>
      </w:r>
    </w:p>
    <w:p>
      <w:pPr>
        <w:pStyle w:val="ListParagraph"/>
        <w:numPr>
          <w:ilvl w:val="0"/>
          <w:numId w:val="1"/>
        </w:numPr>
        <w:spacing w:after="80"/>
      </w:pPr>
      <w:r>
        <w:rPr>
          <w:sz w:val="22"/>
          <w:szCs w:val="22"/>
        </w:rPr>
        <w:t xml:space="preserve">Side-loading, rooting, or jailbreaking a BYOD device immediately revokes access</w:t>
      </w:r>
    </w:p>
    <w:p>
      <w:r>
        <w:br w:type="page"/>
      </w:r>
    </w:p>
    <w:p>
      <w:pPr>
        <w:pStyle w:val="Heading1"/>
        <w:spacing w:after="200" w:before="400"/>
      </w:pPr>
      <w:r>
        <w:t xml:space="preserve">6. Email Usage Policy</w:t>
      </w:r>
    </w:p>
    <w:p>
      <w:pPr>
        <w:pStyle w:val="Heading2"/>
        <w:spacing w:after="150" w:before="300"/>
      </w:pPr>
      <w:r>
        <w:t xml:space="preserve">6.1 Permitted Email Uses</w:t>
      </w:r>
    </w:p>
    <w:p>
      <w:pPr>
        <w:spacing w:after="120" w:line="276"/>
      </w:pPr>
      <w:r>
        <w:rPr>
          <w:sz w:val="22"/>
          <w:szCs w:val="22"/>
        </w:rPr>
        <w:t xml:space="preserve">Company email (@optiagent.com) is the official channel for business communications. All material business commitments, approvals, and agreements must be communicated via company email. Use of personal email for business purposes is prohibited.</w:t>
      </w:r>
    </w:p>
    <w:p>
      <w:pPr>
        <w:pStyle w:val="Heading2"/>
        <w:spacing w:after="150" w:before="300"/>
      </w:pPr>
      <w:r>
        <w:t xml:space="preserve">6.2 Email Security Requirements</w:t>
      </w:r>
    </w:p>
    <w:p>
      <w:pPr>
        <w:pStyle w:val="ListParagraph"/>
        <w:numPr>
          <w:ilvl w:val="0"/>
          <w:numId w:val="1"/>
        </w:numPr>
        <w:spacing w:after="80"/>
      </w:pPr>
      <w:r>
        <w:rPr>
          <w:sz w:val="22"/>
          <w:szCs w:val="22"/>
        </w:rPr>
        <w:t xml:space="preserve">Do not click links or open attachments in emails from unknown senders</w:t>
      </w:r>
    </w:p>
    <w:p>
      <w:pPr>
        <w:pStyle w:val="ListParagraph"/>
        <w:numPr>
          <w:ilvl w:val="0"/>
          <w:numId w:val="1"/>
        </w:numPr>
        <w:spacing w:after="80"/>
      </w:pPr>
      <w:r>
        <w:rPr>
          <w:sz w:val="22"/>
          <w:szCs w:val="22"/>
        </w:rPr>
        <w:t xml:space="preserve">Verify wire transfer requests and vendor payment changes by phone before acting on email instructions</w:t>
      </w:r>
    </w:p>
    <w:p>
      <w:pPr>
        <w:pStyle w:val="ListParagraph"/>
        <w:numPr>
          <w:ilvl w:val="0"/>
          <w:numId w:val="1"/>
        </w:numPr>
        <w:spacing w:after="80"/>
      </w:pPr>
      <w:r>
        <w:rPr>
          <w:sz w:val="22"/>
          <w:szCs w:val="22"/>
        </w:rPr>
        <w:t xml:space="preserve">Do not use email auto-forward rules to send company email to personal accounts</w:t>
      </w:r>
    </w:p>
    <w:p>
      <w:pPr>
        <w:pStyle w:val="ListParagraph"/>
        <w:numPr>
          <w:ilvl w:val="0"/>
          <w:numId w:val="1"/>
        </w:numPr>
        <w:spacing w:after="80"/>
      </w:pPr>
      <w:r>
        <w:rPr>
          <w:sz w:val="22"/>
          <w:szCs w:val="22"/>
        </w:rPr>
        <w:t xml:space="preserve">Encrypted email (S/MIME) is required for transmitting PII or classified data</w:t>
      </w:r>
    </w:p>
    <w:p>
      <w:pPr>
        <w:pStyle w:val="ListParagraph"/>
        <w:numPr>
          <w:ilvl w:val="0"/>
          <w:numId w:val="1"/>
        </w:numPr>
        <w:spacing w:after="80"/>
      </w:pPr>
      <w:r>
        <w:rPr>
          <w:sz w:val="22"/>
          <w:szCs w:val="22"/>
        </w:rPr>
        <w:t xml:space="preserve">Use the Confidential label in Microsoft Purview when emailing sensitive documents</w:t>
      </w:r>
    </w:p>
    <w:p>
      <w:pPr>
        <w:pStyle w:val="Heading2"/>
        <w:spacing w:after="150" w:before="300"/>
      </w:pPr>
      <w:r>
        <w:t xml:space="preserve">6.3 Email Retention</w:t>
      </w:r>
    </w:p>
    <w:p>
      <w:pPr>
        <w:spacing w:after="120" w:line="276"/>
      </w:pPr>
      <w:r>
        <w:rPr>
          <w:sz w:val="22"/>
          <w:szCs w:val="22"/>
        </w:rPr>
        <w:t xml:space="preserve">All company email is retained per the Records Retention Schedule (Section 14 of this document). Email may be subject to legal hold in connection with litigation, regulatory investigation, or audit. Employees must not delete email that is under a legal hold.</w:t>
      </w:r>
    </w:p>
    <w:p>
      <w:r>
        <w:br w:type="page"/>
      </w:r>
    </w:p>
    <w:p>
      <w:pPr>
        <w:pStyle w:val="Heading1"/>
        <w:spacing w:after="200" w:before="400"/>
      </w:pPr>
      <w:r>
        <w:t xml:space="preserve">7. Internet Usage Policy</w:t>
      </w:r>
    </w:p>
    <w:p>
      <w:pPr>
        <w:pStyle w:val="Heading2"/>
        <w:spacing w:after="150" w:before="300"/>
      </w:pPr>
      <w:r>
        <w:t xml:space="preserve">7.1 General Rules</w:t>
      </w:r>
    </w:p>
    <w:p>
      <w:pPr>
        <w:spacing w:after="120" w:line="276"/>
      </w:pPr>
      <w:r>
        <w:rPr>
          <w:sz w:val="22"/>
          <w:szCs w:val="22"/>
        </w:rPr>
        <w:t xml:space="preserve">Internet access on company networks and devices is filtered and monitored by Zscaler Internet Access. The following website categories are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color="1F4E79" w:val="clear"/>
          </w:tcPr>
          <w:p>
            <w:pPr>
              <w:spacing w:after="60"/>
            </w:pPr>
            <w:r>
              <w:rPr>
                <w:b/>
                <w:bCs/>
                <w:color w:val="FFFFFF"/>
                <w:sz w:val="20"/>
                <w:szCs w:val="20"/>
              </w:rPr>
              <w:t xml:space="preserve">Blocked Category</w:t>
            </w:r>
          </w:p>
        </w:tc>
        <w:tc>
          <w:tcPr>
            <w:tcW w:type="dxa" w:w="4680"/>
            <w:shd w:fill="1F4E79" w:color="1F4E79" w:val="clear"/>
          </w:tcPr>
          <w:p>
            <w:pPr>
              <w:spacing w:after="60"/>
            </w:pPr>
            <w:r>
              <w:rPr>
                <w:b/>
                <w:bCs/>
                <w:color w:val="FFFFFF"/>
                <w:sz w:val="20"/>
                <w:szCs w:val="20"/>
              </w:rPr>
              <w:t xml:space="preserve">Rationale</w:t>
            </w:r>
          </w:p>
        </w:tc>
      </w:tr>
      <w:tr>
        <w:tc>
          <w:tcPr>
            <w:tcW w:type="dxa" w:w="4680"/>
          </w:tcPr>
          <w:p>
            <w:pPr>
              <w:spacing w:after="60"/>
            </w:pPr>
            <w:r>
              <w:rPr>
                <w:sz w:val="20"/>
                <w:szCs w:val="20"/>
              </w:rPr>
              <w:t xml:space="preserve">Adult/Explicit Content</w:t>
            </w:r>
          </w:p>
        </w:tc>
        <w:tc>
          <w:tcPr>
            <w:tcW w:type="dxa" w:w="4680"/>
          </w:tcPr>
          <w:p>
            <w:pPr>
              <w:spacing w:after="60"/>
            </w:pPr>
            <w:r>
              <w:rPr>
                <w:sz w:val="20"/>
                <w:szCs w:val="20"/>
              </w:rPr>
              <w:t xml:space="preserve">Legal liability; hostile work environment risk</w:t>
            </w:r>
          </w:p>
        </w:tc>
      </w:tr>
      <w:tr>
        <w:tc>
          <w:tcPr>
            <w:tcW w:type="dxa" w:w="4680"/>
          </w:tcPr>
          <w:p>
            <w:pPr>
              <w:spacing w:after="60"/>
            </w:pPr>
            <w:r>
              <w:rPr>
                <w:sz w:val="20"/>
                <w:szCs w:val="20"/>
              </w:rPr>
              <w:t xml:space="preserve">Gambling</w:t>
            </w:r>
          </w:p>
        </w:tc>
        <w:tc>
          <w:tcPr>
            <w:tcW w:type="dxa" w:w="4680"/>
          </w:tcPr>
          <w:p>
            <w:pPr>
              <w:spacing w:after="60"/>
            </w:pPr>
            <w:r>
              <w:rPr>
                <w:sz w:val="20"/>
                <w:szCs w:val="20"/>
              </w:rPr>
              <w:t xml:space="preserve">Legal risk; productivity concern</w:t>
            </w:r>
          </w:p>
        </w:tc>
      </w:tr>
      <w:tr>
        <w:tc>
          <w:tcPr>
            <w:tcW w:type="dxa" w:w="4680"/>
          </w:tcPr>
          <w:p>
            <w:pPr>
              <w:spacing w:after="60"/>
            </w:pPr>
            <w:r>
              <w:rPr>
                <w:sz w:val="20"/>
                <w:szCs w:val="20"/>
              </w:rPr>
              <w:t xml:space="preserve">Hacking/Exploit Tools</w:t>
            </w:r>
          </w:p>
        </w:tc>
        <w:tc>
          <w:tcPr>
            <w:tcW w:type="dxa" w:w="4680"/>
          </w:tcPr>
          <w:p>
            <w:pPr>
              <w:spacing w:after="60"/>
            </w:pPr>
            <w:r>
              <w:rPr>
                <w:sz w:val="20"/>
                <w:szCs w:val="20"/>
              </w:rPr>
              <w:t xml:space="preserve">Security risk</w:t>
            </w:r>
          </w:p>
        </w:tc>
      </w:tr>
      <w:tr>
        <w:tc>
          <w:tcPr>
            <w:tcW w:type="dxa" w:w="4680"/>
          </w:tcPr>
          <w:p>
            <w:pPr>
              <w:spacing w:after="60"/>
            </w:pPr>
            <w:r>
              <w:rPr>
                <w:sz w:val="20"/>
                <w:szCs w:val="20"/>
              </w:rPr>
              <w:t xml:space="preserve">Peer-to-Peer File Sharing</w:t>
            </w:r>
          </w:p>
        </w:tc>
        <w:tc>
          <w:tcPr>
            <w:tcW w:type="dxa" w:w="4680"/>
          </w:tcPr>
          <w:p>
            <w:pPr>
              <w:spacing w:after="60"/>
            </w:pPr>
            <w:r>
              <w:rPr>
                <w:sz w:val="20"/>
                <w:szCs w:val="20"/>
              </w:rPr>
              <w:t xml:space="preserve">Copyright liability; data exfiltration risk</w:t>
            </w:r>
          </w:p>
        </w:tc>
      </w:tr>
      <w:tr>
        <w:tc>
          <w:tcPr>
            <w:tcW w:type="dxa" w:w="4680"/>
          </w:tcPr>
          <w:p>
            <w:pPr>
              <w:spacing w:after="60"/>
            </w:pPr>
            <w:r>
              <w:rPr>
                <w:sz w:val="20"/>
                <w:szCs w:val="20"/>
              </w:rPr>
              <w:t xml:space="preserve">Cryptocurrency Mining Pools</w:t>
            </w:r>
          </w:p>
        </w:tc>
        <w:tc>
          <w:tcPr>
            <w:tcW w:type="dxa" w:w="4680"/>
          </w:tcPr>
          <w:p>
            <w:pPr>
              <w:spacing w:after="60"/>
            </w:pPr>
            <w:r>
              <w:rPr>
                <w:sz w:val="20"/>
                <w:szCs w:val="20"/>
              </w:rPr>
              <w:t xml:space="preserve">Unauthorized resource use</w:t>
            </w:r>
          </w:p>
        </w:tc>
      </w:tr>
      <w:tr>
        <w:tc>
          <w:tcPr>
            <w:tcW w:type="dxa" w:w="4680"/>
          </w:tcPr>
          <w:p>
            <w:pPr>
              <w:spacing w:after="60"/>
            </w:pPr>
            <w:r>
              <w:rPr>
                <w:sz w:val="20"/>
                <w:szCs w:val="20"/>
              </w:rPr>
              <w:t xml:space="preserve">Dark Web / Tor Exit Nodes</w:t>
            </w:r>
          </w:p>
        </w:tc>
        <w:tc>
          <w:tcPr>
            <w:tcW w:type="dxa" w:w="4680"/>
          </w:tcPr>
          <w:p>
            <w:pPr>
              <w:spacing w:after="60"/>
            </w:pPr>
            <w:r>
              <w:rPr>
                <w:sz w:val="20"/>
                <w:szCs w:val="20"/>
              </w:rPr>
              <w:t xml:space="preserve">Security and legal risk</w:t>
            </w:r>
          </w:p>
        </w:tc>
      </w:tr>
      <w:tr>
        <w:tc>
          <w:tcPr>
            <w:tcW w:type="dxa" w:w="4680"/>
          </w:tcPr>
          <w:p>
            <w:pPr>
              <w:spacing w:after="60"/>
            </w:pPr>
            <w:r>
              <w:rPr>
                <w:sz w:val="20"/>
                <w:szCs w:val="20"/>
              </w:rPr>
              <w:t xml:space="preserve">Non-approved AI Chat Tools</w:t>
            </w:r>
          </w:p>
        </w:tc>
        <w:tc>
          <w:tcPr>
            <w:tcW w:type="dxa" w:w="4680"/>
          </w:tcPr>
          <w:p>
            <w:pPr>
              <w:spacing w:after="60"/>
            </w:pPr>
            <w:r>
              <w:rPr>
                <w:sz w:val="20"/>
                <w:szCs w:val="20"/>
              </w:rPr>
              <w:t xml:space="preserve">Data privacy risk; see Section 12</w:t>
            </w:r>
          </w:p>
        </w:tc>
      </w:tr>
    </w:tbl>
    <w:p>
      <w:pPr>
        <w:spacing w:after="80"/>
      </w:pPr>
      <w:r>
        <w:t xml:space="preserve"/>
      </w:r>
    </w:p>
    <w:p>
      <w:pPr>
        <w:pStyle w:val="Heading2"/>
        <w:spacing w:after="150" w:before="300"/>
      </w:pPr>
      <w:r>
        <w:t xml:space="preserve">7.2 Personal Browsing</w:t>
      </w:r>
    </w:p>
    <w:p>
      <w:pPr>
        <w:spacing w:after="120" w:line="276"/>
      </w:pPr>
      <w:r>
        <w:rPr>
          <w:sz w:val="22"/>
          <w:szCs w:val="22"/>
        </w:rPr>
        <w:t xml:space="preserve">Personal browsing (news, social media, shopping) is permitted during non-core hours and breaks, provided it does not consume excessive bandwidth or interfere with work. Personal streaming should be restricted to personal devices on the guest Wi-Fi network.</w:t>
      </w:r>
    </w:p>
    <w:p>
      <w:r>
        <w:br w:type="page"/>
      </w:r>
    </w:p>
    <w:p>
      <w:pPr>
        <w:pStyle w:val="Heading1"/>
        <w:spacing w:after="200" w:before="400"/>
      </w:pPr>
      <w:r>
        <w:t xml:space="preserve">8. Data Classification Policy</w:t>
      </w:r>
    </w:p>
    <w:p>
      <w:pPr>
        <w:pStyle w:val="Heading2"/>
        <w:spacing w:after="150" w:before="300"/>
      </w:pPr>
      <w:r>
        <w:t xml:space="preserve">8.1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shd w:fill="1F4E79" w:color="1F4E79" w:val="clear"/>
          </w:tcPr>
          <w:p>
            <w:pPr>
              <w:spacing w:after="60"/>
            </w:pPr>
            <w:r>
              <w:rPr>
                <w:b/>
                <w:bCs/>
                <w:color w:val="FFFFFF"/>
                <w:sz w:val="20"/>
                <w:szCs w:val="20"/>
              </w:rPr>
              <w:t xml:space="preserve">Classification</w:t>
            </w:r>
          </w:p>
        </w:tc>
        <w:tc>
          <w:tcPr>
            <w:tcW w:type="dxa" w:w="2200"/>
            <w:shd w:fill="1F4E79" w:color="1F4E79" w:val="clear"/>
          </w:tcPr>
          <w:p>
            <w:pPr>
              <w:spacing w:after="60"/>
            </w:pPr>
            <w:r>
              <w:rPr>
                <w:b/>
                <w:bCs/>
                <w:color w:val="FFFFFF"/>
                <w:sz w:val="20"/>
                <w:szCs w:val="20"/>
              </w:rPr>
              <w:t xml:space="preserve">Definition</w:t>
            </w:r>
          </w:p>
        </w:tc>
        <w:tc>
          <w:tcPr>
            <w:tcW w:type="dxa" w:w="2800"/>
            <w:shd w:fill="1F4E79" w:color="1F4E79" w:val="clear"/>
          </w:tcPr>
          <w:p>
            <w:pPr>
              <w:spacing w:after="60"/>
            </w:pPr>
            <w:r>
              <w:rPr>
                <w:b/>
                <w:bCs/>
                <w:color w:val="FFFFFF"/>
                <w:sz w:val="20"/>
                <w:szCs w:val="20"/>
              </w:rPr>
              <w:t xml:space="preserve">Examples</w:t>
            </w:r>
          </w:p>
        </w:tc>
        <w:tc>
          <w:tcPr>
            <w:tcW w:type="dxa" w:w="2760"/>
            <w:shd w:fill="1F4E79" w:color="1F4E79" w:val="clear"/>
          </w:tcPr>
          <w:p>
            <w:pPr>
              <w:spacing w:after="60"/>
            </w:pPr>
            <w:r>
              <w:rPr>
                <w:b/>
                <w:bCs/>
                <w:color w:val="FFFFFF"/>
                <w:sz w:val="20"/>
                <w:szCs w:val="20"/>
              </w:rPr>
              <w:t xml:space="preserve">Handling</w:t>
            </w:r>
          </w:p>
        </w:tc>
      </w:tr>
      <w:tr>
        <w:tc>
          <w:tcPr>
            <w:tcW w:type="dxa" w:w="1600"/>
          </w:tcPr>
          <w:p>
            <w:pPr>
              <w:spacing w:after="60"/>
            </w:pPr>
            <w:r>
              <w:rPr>
                <w:sz w:val="20"/>
                <w:szCs w:val="20"/>
              </w:rPr>
              <w:t xml:space="preserve">Restricted</w:t>
            </w:r>
          </w:p>
        </w:tc>
        <w:tc>
          <w:tcPr>
            <w:tcW w:type="dxa" w:w="2200"/>
          </w:tcPr>
          <w:p>
            <w:pPr>
              <w:spacing w:after="60"/>
            </w:pPr>
            <w:r>
              <w:rPr>
                <w:sz w:val="20"/>
                <w:szCs w:val="20"/>
              </w:rPr>
              <w:t xml:space="preserve">Highest sensitivity; unauthorized disclosure causes severe harm</w:t>
            </w:r>
          </w:p>
        </w:tc>
        <w:tc>
          <w:tcPr>
            <w:tcW w:type="dxa" w:w="2800"/>
          </w:tcPr>
          <w:p>
            <w:pPr>
              <w:spacing w:after="60"/>
            </w:pPr>
            <w:r>
              <w:rPr>
                <w:sz w:val="20"/>
                <w:szCs w:val="20"/>
              </w:rPr>
              <w:t xml:space="preserve">Customer PII, credentials, M&amp;A data, encryption keys, source code</w:t>
            </w:r>
          </w:p>
        </w:tc>
        <w:tc>
          <w:tcPr>
            <w:tcW w:type="dxa" w:w="2760"/>
          </w:tcPr>
          <w:p>
            <w:pPr>
              <w:spacing w:after="60"/>
            </w:pPr>
            <w:r>
              <w:rPr>
                <w:sz w:val="20"/>
                <w:szCs w:val="20"/>
              </w:rPr>
              <w:t xml:space="preserve">Encrypted at rest and in transit; need-to-know access only; no copy to personal devices</w:t>
            </w:r>
          </w:p>
        </w:tc>
      </w:tr>
      <w:tr>
        <w:tc>
          <w:tcPr>
            <w:tcW w:type="dxa" w:w="1600"/>
          </w:tcPr>
          <w:p>
            <w:pPr>
              <w:spacing w:after="60"/>
            </w:pPr>
            <w:r>
              <w:rPr>
                <w:sz w:val="20"/>
                <w:szCs w:val="20"/>
              </w:rPr>
              <w:t xml:space="preserve">Confidential</w:t>
            </w:r>
          </w:p>
        </w:tc>
        <w:tc>
          <w:tcPr>
            <w:tcW w:type="dxa" w:w="2200"/>
          </w:tcPr>
          <w:p>
            <w:pPr>
              <w:spacing w:after="60"/>
            </w:pPr>
            <w:r>
              <w:rPr>
                <w:sz w:val="20"/>
                <w:szCs w:val="20"/>
              </w:rPr>
              <w:t xml:space="preserve">Sensitive business; disclosure causes significant harm</w:t>
            </w:r>
          </w:p>
        </w:tc>
        <w:tc>
          <w:tcPr>
            <w:tcW w:type="dxa" w:w="2800"/>
          </w:tcPr>
          <w:p>
            <w:pPr>
              <w:spacing w:after="60"/>
            </w:pPr>
            <w:r>
              <w:rPr>
                <w:sz w:val="20"/>
                <w:szCs w:val="20"/>
              </w:rPr>
              <w:t xml:space="preserve">Financial forecasts, employee salaries, product roadmaps, vendor contracts</w:t>
            </w:r>
          </w:p>
        </w:tc>
        <w:tc>
          <w:tcPr>
            <w:tcW w:type="dxa" w:w="2760"/>
          </w:tcPr>
          <w:p>
            <w:pPr>
              <w:spacing w:after="60"/>
            </w:pPr>
            <w:r>
              <w:rPr>
                <w:sz w:val="20"/>
                <w:szCs w:val="20"/>
              </w:rPr>
              <w:t xml:space="preserve">Encrypted in transit; access controls; no external sharing without NDA</w:t>
            </w:r>
          </w:p>
        </w:tc>
      </w:tr>
      <w:tr>
        <w:tc>
          <w:tcPr>
            <w:tcW w:type="dxa" w:w="1600"/>
          </w:tcPr>
          <w:p>
            <w:pPr>
              <w:spacing w:after="60"/>
            </w:pPr>
            <w:r>
              <w:rPr>
                <w:sz w:val="20"/>
                <w:szCs w:val="20"/>
              </w:rPr>
              <w:t xml:space="preserve">Internal</w:t>
            </w:r>
          </w:p>
        </w:tc>
        <w:tc>
          <w:tcPr>
            <w:tcW w:type="dxa" w:w="2200"/>
          </w:tcPr>
          <w:p>
            <w:pPr>
              <w:spacing w:after="60"/>
            </w:pPr>
            <w:r>
              <w:rPr>
                <w:sz w:val="20"/>
                <w:szCs w:val="20"/>
              </w:rPr>
              <w:t xml:space="preserve">General internal; not for public distribution</w:t>
            </w:r>
          </w:p>
        </w:tc>
        <w:tc>
          <w:tcPr>
            <w:tcW w:type="dxa" w:w="2800"/>
          </w:tcPr>
          <w:p>
            <w:pPr>
              <w:spacing w:after="60"/>
            </w:pPr>
            <w:r>
              <w:rPr>
                <w:sz w:val="20"/>
                <w:szCs w:val="20"/>
              </w:rPr>
              <w:t xml:space="preserve">HR policies, meeting notes, internal announcements, project plans</w:t>
            </w:r>
          </w:p>
        </w:tc>
        <w:tc>
          <w:tcPr>
            <w:tcW w:type="dxa" w:w="2760"/>
          </w:tcPr>
          <w:p>
            <w:pPr>
              <w:spacing w:after="60"/>
            </w:pPr>
            <w:r>
              <w:rPr>
                <w:sz w:val="20"/>
                <w:szCs w:val="20"/>
              </w:rPr>
              <w:t xml:space="preserve">Standard access controls; no external sharing without manager approval</w:t>
            </w:r>
          </w:p>
        </w:tc>
      </w:tr>
      <w:tr>
        <w:tc>
          <w:tcPr>
            <w:tcW w:type="dxa" w:w="1600"/>
          </w:tcPr>
          <w:p>
            <w:pPr>
              <w:spacing w:after="60"/>
            </w:pPr>
            <w:r>
              <w:rPr>
                <w:sz w:val="20"/>
                <w:szCs w:val="20"/>
              </w:rPr>
              <w:t xml:space="preserve">Public</w:t>
            </w:r>
          </w:p>
        </w:tc>
        <w:tc>
          <w:tcPr>
            <w:tcW w:type="dxa" w:w="2200"/>
          </w:tcPr>
          <w:p>
            <w:pPr>
              <w:spacing w:after="60"/>
            </w:pPr>
            <w:r>
              <w:rPr>
                <w:sz w:val="20"/>
                <w:szCs w:val="20"/>
              </w:rPr>
              <w:t xml:space="preserve">Approved for public distribution</w:t>
            </w:r>
          </w:p>
        </w:tc>
        <w:tc>
          <w:tcPr>
            <w:tcW w:type="dxa" w:w="2800"/>
          </w:tcPr>
          <w:p>
            <w:pPr>
              <w:spacing w:after="60"/>
            </w:pPr>
            <w:r>
              <w:rPr>
                <w:sz w:val="20"/>
                <w:szCs w:val="20"/>
              </w:rPr>
              <w:t xml:space="preserve">Press releases, marketing content, published product docs</w:t>
            </w:r>
          </w:p>
        </w:tc>
        <w:tc>
          <w:tcPr>
            <w:tcW w:type="dxa" w:w="2760"/>
          </w:tcPr>
          <w:p>
            <w:pPr>
              <w:spacing w:after="60"/>
            </w:pPr>
            <w:r>
              <w:rPr>
                <w:sz w:val="20"/>
                <w:szCs w:val="20"/>
              </w:rPr>
              <w:t xml:space="preserve">No special controls required</w:t>
            </w:r>
          </w:p>
        </w:tc>
      </w:tr>
    </w:tbl>
    <w:p>
      <w:pPr>
        <w:spacing w:after="80"/>
      </w:pPr>
      <w:r>
        <w:t xml:space="preserve"/>
      </w:r>
    </w:p>
    <w:p>
      <w:pPr>
        <w:pStyle w:val="Heading2"/>
        <w:spacing w:after="150" w:before="300"/>
      </w:pPr>
      <w:r>
        <w:t xml:space="preserve">8.2 Data Labeling</w:t>
      </w:r>
    </w:p>
    <w:p>
      <w:pPr>
        <w:spacing w:after="120" w:line="276"/>
      </w:pPr>
      <w:r>
        <w:rPr>
          <w:sz w:val="22"/>
          <w:szCs w:val="22"/>
        </w:rPr>
        <w:t xml:space="preserve">All documents created by employees must be labeled with the appropriate classification using Microsoft Purview Information Protection labels. Labels are available in all Microsoft 365 applications. Label selection should reflect the most sensitive piece of information contained in the document.</w:t>
      </w:r>
    </w:p>
    <w:p>
      <w:r>
        <w:br w:type="page"/>
      </w:r>
    </w:p>
    <w:p>
      <w:pPr>
        <w:pStyle w:val="Heading1"/>
        <w:spacing w:after="200" w:before="400"/>
      </w:pPr>
      <w:r>
        <w:t xml:space="preserve">9. Security Incident Reporting</w:t>
      </w:r>
    </w:p>
    <w:p>
      <w:pPr>
        <w:pStyle w:val="Heading2"/>
        <w:spacing w:after="150" w:before="300"/>
      </w:pPr>
      <w:r>
        <w:t xml:space="preserve">9.1 What to Report</w:t>
      </w:r>
    </w:p>
    <w:p>
      <w:pPr>
        <w:spacing w:after="120" w:line="276"/>
      </w:pPr>
      <w:r>
        <w:rPr>
          <w:sz w:val="22"/>
          <w:szCs w:val="22"/>
        </w:rPr>
        <w:t xml:space="preserve">The following must be reported immediately to the Security Operations Center (security@optiagent.com):</w:t>
      </w:r>
    </w:p>
    <w:p>
      <w:pPr>
        <w:pStyle w:val="ListParagraph"/>
        <w:numPr>
          <w:ilvl w:val="0"/>
          <w:numId w:val="1"/>
        </w:numPr>
        <w:spacing w:after="80"/>
      </w:pPr>
      <w:r>
        <w:rPr>
          <w:sz w:val="22"/>
          <w:szCs w:val="22"/>
        </w:rPr>
        <w:t xml:space="preserve">Lost or stolen company devices (laptop, phone, tablet, access badge, YubiKey)</w:t>
      </w:r>
    </w:p>
    <w:p>
      <w:pPr>
        <w:pStyle w:val="ListParagraph"/>
        <w:numPr>
          <w:ilvl w:val="0"/>
          <w:numId w:val="1"/>
        </w:numPr>
        <w:spacing w:after="80"/>
      </w:pPr>
      <w:r>
        <w:rPr>
          <w:sz w:val="22"/>
          <w:szCs w:val="22"/>
        </w:rPr>
        <w:t xml:space="preserve">Suspected phishing email or successful phishing click</w:t>
      </w:r>
    </w:p>
    <w:p>
      <w:pPr>
        <w:pStyle w:val="ListParagraph"/>
        <w:numPr>
          <w:ilvl w:val="0"/>
          <w:numId w:val="1"/>
        </w:numPr>
        <w:spacing w:after="80"/>
      </w:pPr>
      <w:r>
        <w:rPr>
          <w:sz w:val="22"/>
          <w:szCs w:val="22"/>
        </w:rPr>
        <w:t xml:space="preserve">Unauthorized access to your account or a colleagues account</w:t>
      </w:r>
    </w:p>
    <w:p>
      <w:pPr>
        <w:pStyle w:val="ListParagraph"/>
        <w:numPr>
          <w:ilvl w:val="0"/>
          <w:numId w:val="1"/>
        </w:numPr>
        <w:spacing w:after="80"/>
      </w:pPr>
      <w:r>
        <w:rPr>
          <w:sz w:val="22"/>
          <w:szCs w:val="22"/>
        </w:rPr>
        <w:t xml:space="preserve">Discovery of malware or ransomware on a company device</w:t>
      </w:r>
    </w:p>
    <w:p>
      <w:pPr>
        <w:pStyle w:val="ListParagraph"/>
        <w:numPr>
          <w:ilvl w:val="0"/>
          <w:numId w:val="1"/>
        </w:numPr>
        <w:spacing w:after="80"/>
      </w:pPr>
      <w:r>
        <w:rPr>
          <w:sz w:val="22"/>
          <w:szCs w:val="22"/>
        </w:rPr>
        <w:t xml:space="preserve">Unauthorized data export, sharing, or disclosure</w:t>
      </w:r>
    </w:p>
    <w:p>
      <w:pPr>
        <w:pStyle w:val="ListParagraph"/>
        <w:numPr>
          <w:ilvl w:val="0"/>
          <w:numId w:val="1"/>
        </w:numPr>
        <w:spacing w:after="80"/>
      </w:pPr>
      <w:r>
        <w:rPr>
          <w:sz w:val="22"/>
          <w:szCs w:val="22"/>
        </w:rPr>
        <w:t xml:space="preserve">Observed physical security breach (unauthorized person in a secure area)</w:t>
      </w:r>
    </w:p>
    <w:p>
      <w:pPr>
        <w:pStyle w:val="Heading2"/>
        <w:spacing w:after="150" w:before="300"/>
      </w:pPr>
      <w:r>
        <w:t xml:space="preserve">9.2 Incident Response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Severity</w:t>
            </w:r>
          </w:p>
        </w:tc>
        <w:tc>
          <w:tcPr>
            <w:tcW w:type="dxa" w:w="2340"/>
            <w:shd w:fill="1F4E79" w:color="1F4E79" w:val="clear"/>
          </w:tcPr>
          <w:p>
            <w:pPr>
              <w:spacing w:after="60"/>
            </w:pPr>
            <w:r>
              <w:rPr>
                <w:b/>
                <w:bCs/>
                <w:color w:val="FFFFFF"/>
                <w:sz w:val="20"/>
                <w:szCs w:val="20"/>
              </w:rPr>
              <w:t xml:space="preserve">Definition</w:t>
            </w:r>
          </w:p>
        </w:tc>
        <w:tc>
          <w:tcPr>
            <w:tcW w:type="dxa" w:w="2340"/>
            <w:shd w:fill="1F4E79" w:color="1F4E79" w:val="clear"/>
          </w:tcPr>
          <w:p>
            <w:pPr>
              <w:spacing w:after="60"/>
            </w:pPr>
            <w:r>
              <w:rPr>
                <w:b/>
                <w:bCs/>
                <w:color w:val="FFFFFF"/>
                <w:sz w:val="20"/>
                <w:szCs w:val="20"/>
              </w:rPr>
              <w:t xml:space="preserve">Response Time</w:t>
            </w:r>
          </w:p>
        </w:tc>
        <w:tc>
          <w:tcPr>
            <w:tcW w:type="dxa" w:w="2340"/>
            <w:shd w:fill="1F4E79" w:color="1F4E79" w:val="clear"/>
          </w:tcPr>
          <w:p>
            <w:pPr>
              <w:spacing w:after="60"/>
            </w:pPr>
            <w:r>
              <w:rPr>
                <w:b/>
                <w:bCs/>
                <w:color w:val="FFFFFF"/>
                <w:sz w:val="20"/>
                <w:szCs w:val="20"/>
              </w:rPr>
              <w:t xml:space="preserve">Escalation</w:t>
            </w:r>
          </w:p>
        </w:tc>
      </w:tr>
      <w:tr>
        <w:tc>
          <w:tcPr>
            <w:tcW w:type="dxa" w:w="2340"/>
          </w:tcPr>
          <w:p>
            <w:pPr>
              <w:spacing w:after="60"/>
            </w:pPr>
            <w:r>
              <w:rPr>
                <w:sz w:val="20"/>
                <w:szCs w:val="20"/>
              </w:rPr>
              <w:t xml:space="preserve">P1 — Critical</w:t>
            </w:r>
          </w:p>
        </w:tc>
        <w:tc>
          <w:tcPr>
            <w:tcW w:type="dxa" w:w="2340"/>
          </w:tcPr>
          <w:p>
            <w:pPr>
              <w:spacing w:after="60"/>
            </w:pPr>
            <w:r>
              <w:rPr>
                <w:sz w:val="20"/>
                <w:szCs w:val="20"/>
              </w:rPr>
              <w:t xml:space="preserve">Active breach; ransomware; customer data exposed</w:t>
            </w:r>
          </w:p>
        </w:tc>
        <w:tc>
          <w:tcPr>
            <w:tcW w:type="dxa" w:w="2340"/>
          </w:tcPr>
          <w:p>
            <w:pPr>
              <w:spacing w:after="60"/>
            </w:pPr>
            <w:r>
              <w:rPr>
                <w:sz w:val="20"/>
                <w:szCs w:val="20"/>
              </w:rPr>
              <w:t xml:space="preserve">SOC acknowledges in 15 minutes</w:t>
            </w:r>
          </w:p>
        </w:tc>
        <w:tc>
          <w:tcPr>
            <w:tcW w:type="dxa" w:w="2340"/>
          </w:tcPr>
          <w:p>
            <w:pPr>
              <w:spacing w:after="60"/>
            </w:pPr>
            <w:r>
              <w:rPr>
                <w:sz w:val="20"/>
                <w:szCs w:val="20"/>
              </w:rPr>
              <w:t xml:space="preserve">CISO + CEO + Legal within 1 hour</w:t>
            </w:r>
          </w:p>
        </w:tc>
      </w:tr>
      <w:tr>
        <w:tc>
          <w:tcPr>
            <w:tcW w:type="dxa" w:w="2340"/>
          </w:tcPr>
          <w:p>
            <w:pPr>
              <w:spacing w:after="60"/>
            </w:pPr>
            <w:r>
              <w:rPr>
                <w:sz w:val="20"/>
                <w:szCs w:val="20"/>
              </w:rPr>
              <w:t xml:space="preserve">P2 — High</w:t>
            </w:r>
          </w:p>
        </w:tc>
        <w:tc>
          <w:tcPr>
            <w:tcW w:type="dxa" w:w="2340"/>
          </w:tcPr>
          <w:p>
            <w:pPr>
              <w:spacing w:after="60"/>
            </w:pPr>
            <w:r>
              <w:rPr>
                <w:sz w:val="20"/>
                <w:szCs w:val="20"/>
              </w:rPr>
              <w:t xml:space="preserve">Suspected breach; significant threat actor activity</w:t>
            </w:r>
          </w:p>
        </w:tc>
        <w:tc>
          <w:tcPr>
            <w:tcW w:type="dxa" w:w="2340"/>
          </w:tcPr>
          <w:p>
            <w:pPr>
              <w:spacing w:after="60"/>
            </w:pPr>
            <w:r>
              <w:rPr>
                <w:sz w:val="20"/>
                <w:szCs w:val="20"/>
              </w:rPr>
              <w:t xml:space="preserve">SOC acknowledges in 1 hour</w:t>
            </w:r>
          </w:p>
        </w:tc>
        <w:tc>
          <w:tcPr>
            <w:tcW w:type="dxa" w:w="2340"/>
          </w:tcPr>
          <w:p>
            <w:pPr>
              <w:spacing w:after="60"/>
            </w:pPr>
            <w:r>
              <w:rPr>
                <w:sz w:val="20"/>
                <w:szCs w:val="20"/>
              </w:rPr>
              <w:t xml:space="preserve">CISO within 4 hours</w:t>
            </w:r>
          </w:p>
        </w:tc>
      </w:tr>
      <w:tr>
        <w:tc>
          <w:tcPr>
            <w:tcW w:type="dxa" w:w="2340"/>
          </w:tcPr>
          <w:p>
            <w:pPr>
              <w:spacing w:after="60"/>
            </w:pPr>
            <w:r>
              <w:rPr>
                <w:sz w:val="20"/>
                <w:szCs w:val="20"/>
              </w:rPr>
              <w:t xml:space="preserve">P3 — Medium</w:t>
            </w:r>
          </w:p>
        </w:tc>
        <w:tc>
          <w:tcPr>
            <w:tcW w:type="dxa" w:w="2340"/>
          </w:tcPr>
          <w:p>
            <w:pPr>
              <w:spacing w:after="60"/>
            </w:pPr>
            <w:r>
              <w:rPr>
                <w:sz w:val="20"/>
                <w:szCs w:val="20"/>
              </w:rPr>
              <w:t xml:space="preserve">Phishing success; single endpoint compromise</w:t>
            </w:r>
          </w:p>
        </w:tc>
        <w:tc>
          <w:tcPr>
            <w:tcW w:type="dxa" w:w="2340"/>
          </w:tcPr>
          <w:p>
            <w:pPr>
              <w:spacing w:after="60"/>
            </w:pPr>
            <w:r>
              <w:rPr>
                <w:sz w:val="20"/>
                <w:szCs w:val="20"/>
              </w:rPr>
              <w:t xml:space="preserve">SOC acknowledges within 4 hours</w:t>
            </w:r>
          </w:p>
        </w:tc>
        <w:tc>
          <w:tcPr>
            <w:tcW w:type="dxa" w:w="2340"/>
          </w:tcPr>
          <w:p>
            <w:pPr>
              <w:spacing w:after="60"/>
            </w:pPr>
            <w:r>
              <w:rPr>
                <w:sz w:val="20"/>
                <w:szCs w:val="20"/>
              </w:rPr>
              <w:t xml:space="preserve">Security Manager</w:t>
            </w:r>
          </w:p>
        </w:tc>
      </w:tr>
      <w:tr>
        <w:tc>
          <w:tcPr>
            <w:tcW w:type="dxa" w:w="2340"/>
          </w:tcPr>
          <w:p>
            <w:pPr>
              <w:spacing w:after="60"/>
            </w:pPr>
            <w:r>
              <w:rPr>
                <w:sz w:val="20"/>
                <w:szCs w:val="20"/>
              </w:rPr>
              <w:t xml:space="preserve">P4 — Low</w:t>
            </w:r>
          </w:p>
        </w:tc>
        <w:tc>
          <w:tcPr>
            <w:tcW w:type="dxa" w:w="2340"/>
          </w:tcPr>
          <w:p>
            <w:pPr>
              <w:spacing w:after="60"/>
            </w:pPr>
            <w:r>
              <w:rPr>
                <w:sz w:val="20"/>
                <w:szCs w:val="20"/>
              </w:rPr>
              <w:t xml:space="preserve">Suspicious activity; policy violation detected</w:t>
            </w:r>
          </w:p>
        </w:tc>
        <w:tc>
          <w:tcPr>
            <w:tcW w:type="dxa" w:w="2340"/>
          </w:tcPr>
          <w:p>
            <w:pPr>
              <w:spacing w:after="60"/>
            </w:pPr>
            <w:r>
              <w:rPr>
                <w:sz w:val="20"/>
                <w:szCs w:val="20"/>
              </w:rPr>
              <w:t xml:space="preserve">SOC acknowledges within 24 hours</w:t>
            </w:r>
          </w:p>
        </w:tc>
        <w:tc>
          <w:tcPr>
            <w:tcW w:type="dxa" w:w="2340"/>
          </w:tcPr>
          <w:p>
            <w:pPr>
              <w:spacing w:after="60"/>
            </w:pPr>
            <w:r>
              <w:rPr>
                <w:sz w:val="20"/>
                <w:szCs w:val="20"/>
              </w:rPr>
              <w:t xml:space="preserve">IT team</w:t>
            </w:r>
          </w:p>
        </w:tc>
      </w:tr>
    </w:tbl>
    <w:p>
      <w:pPr>
        <w:spacing w:after="80"/>
      </w:pPr>
      <w:r>
        <w:t xml:space="preserve"/>
      </w:r>
    </w:p>
    <w:p>
      <w:r>
        <w:br w:type="page"/>
      </w:r>
    </w:p>
    <w:p>
      <w:pPr>
        <w:pStyle w:val="Heading1"/>
        <w:spacing w:after="200" w:before="400"/>
      </w:pPr>
      <w:r>
        <w:t xml:space="preserve">10. Business Continuity Policy</w:t>
      </w:r>
    </w:p>
    <w:p>
      <w:pPr>
        <w:pStyle w:val="Heading2"/>
        <w:spacing w:after="150" w:before="300"/>
      </w:pPr>
      <w:r>
        <w:t xml:space="preserve">10.1 Overview</w:t>
      </w:r>
    </w:p>
    <w:p>
      <w:pPr>
        <w:spacing w:after="120" w:line="276"/>
      </w:pPr>
      <w:r>
        <w:rPr>
          <w:sz w:val="22"/>
          <w:szCs w:val="22"/>
        </w:rPr>
        <w:t xml:space="preserve">OptiAgent Technologies maintains a Business Continuity Plan (BCP) and a Disaster Recovery Plan (DRP) to ensure critical business operations can continue or be rapidly restored following a disruptive event. The BCP is reviewed and tested annually.</w:t>
      </w:r>
    </w:p>
    <w:p>
      <w:pPr>
        <w:pStyle w:val="Heading2"/>
        <w:spacing w:after="150" w:before="300"/>
      </w:pPr>
      <w:r>
        <w:t xml:space="preserve">10.2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System/Function</w:t>
            </w:r>
          </w:p>
        </w:tc>
        <w:tc>
          <w:tcPr>
            <w:tcW w:type="dxa" w:w="3120"/>
            <w:shd w:fill="1F4E79" w:color="1F4E79" w:val="clear"/>
          </w:tcPr>
          <w:p>
            <w:pPr>
              <w:spacing w:after="60"/>
            </w:pPr>
            <w:r>
              <w:rPr>
                <w:b/>
                <w:bCs/>
                <w:color w:val="FFFFFF"/>
                <w:sz w:val="20"/>
                <w:szCs w:val="20"/>
              </w:rPr>
              <w:t xml:space="preserve">Recovery Time Objective (RTO)</w:t>
            </w:r>
          </w:p>
        </w:tc>
        <w:tc>
          <w:tcPr>
            <w:tcW w:type="dxa" w:w="3120"/>
            <w:shd w:fill="1F4E79" w:color="1F4E79" w:val="clear"/>
          </w:tcPr>
          <w:p>
            <w:pPr>
              <w:spacing w:after="60"/>
            </w:pPr>
            <w:r>
              <w:rPr>
                <w:b/>
                <w:bCs/>
                <w:color w:val="FFFFFF"/>
                <w:sz w:val="20"/>
                <w:szCs w:val="20"/>
              </w:rPr>
              <w:t xml:space="preserve">Recovery Point Objective (RPO)</w:t>
            </w:r>
          </w:p>
        </w:tc>
      </w:tr>
      <w:tr>
        <w:tc>
          <w:tcPr>
            <w:tcW w:type="dxa" w:w="3120"/>
          </w:tcPr>
          <w:p>
            <w:pPr>
              <w:spacing w:after="60"/>
            </w:pPr>
            <w:r>
              <w:rPr>
                <w:sz w:val="20"/>
                <w:szCs w:val="20"/>
              </w:rPr>
              <w:t xml:space="preserve">OptiAgent Enterprise Platform (customer-facing)</w:t>
            </w:r>
          </w:p>
        </w:tc>
        <w:tc>
          <w:tcPr>
            <w:tcW w:type="dxa" w:w="3120"/>
          </w:tcPr>
          <w:p>
            <w:pPr>
              <w:spacing w:after="60"/>
            </w:pPr>
            <w:r>
              <w:rPr>
                <w:sz w:val="20"/>
                <w:szCs w:val="20"/>
              </w:rPr>
              <w:t xml:space="preserve">4 hours</w:t>
            </w:r>
          </w:p>
        </w:tc>
        <w:tc>
          <w:tcPr>
            <w:tcW w:type="dxa" w:w="3120"/>
          </w:tcPr>
          <w:p>
            <w:pPr>
              <w:spacing w:after="60"/>
            </w:pPr>
            <w:r>
              <w:rPr>
                <w:sz w:val="20"/>
                <w:szCs w:val="20"/>
              </w:rPr>
              <w:t xml:space="preserve">15 minutes</w:t>
            </w:r>
          </w:p>
        </w:tc>
      </w:tr>
      <w:tr>
        <w:tc>
          <w:tcPr>
            <w:tcW w:type="dxa" w:w="3120"/>
          </w:tcPr>
          <w:p>
            <w:pPr>
              <w:spacing w:after="60"/>
            </w:pPr>
            <w:r>
              <w:rPr>
                <w:sz w:val="20"/>
                <w:szCs w:val="20"/>
              </w:rPr>
              <w:t xml:space="preserve">Corporate email (Exchange Online)</w:t>
            </w:r>
          </w:p>
        </w:tc>
        <w:tc>
          <w:tcPr>
            <w:tcW w:type="dxa" w:w="3120"/>
          </w:tcPr>
          <w:p>
            <w:pPr>
              <w:spacing w:after="60"/>
            </w:pPr>
            <w:r>
              <w:rPr>
                <w:sz w:val="20"/>
                <w:szCs w:val="20"/>
              </w:rPr>
              <w:t xml:space="preserve">2 hours</w:t>
            </w:r>
          </w:p>
        </w:tc>
        <w:tc>
          <w:tcPr>
            <w:tcW w:type="dxa" w:w="3120"/>
          </w:tcPr>
          <w:p>
            <w:pPr>
              <w:spacing w:after="60"/>
            </w:pPr>
            <w:r>
              <w:rPr>
                <w:sz w:val="20"/>
                <w:szCs w:val="20"/>
              </w:rPr>
              <w:t xml:space="preserve">1 hour</w:t>
            </w:r>
          </w:p>
        </w:tc>
      </w:tr>
      <w:tr>
        <w:tc>
          <w:tcPr>
            <w:tcW w:type="dxa" w:w="3120"/>
          </w:tcPr>
          <w:p>
            <w:pPr>
              <w:spacing w:after="60"/>
            </w:pPr>
            <w:r>
              <w:rPr>
                <w:sz w:val="20"/>
                <w:szCs w:val="20"/>
              </w:rPr>
              <w:t xml:space="preserve">Core financial systems (NetSuite)</w:t>
            </w:r>
          </w:p>
        </w:tc>
        <w:tc>
          <w:tcPr>
            <w:tcW w:type="dxa" w:w="3120"/>
          </w:tcPr>
          <w:p>
            <w:pPr>
              <w:spacing w:after="60"/>
            </w:pPr>
            <w:r>
              <w:rPr>
                <w:sz w:val="20"/>
                <w:szCs w:val="20"/>
              </w:rPr>
              <w:t xml:space="preserve">8 hours</w:t>
            </w:r>
          </w:p>
        </w:tc>
        <w:tc>
          <w:tcPr>
            <w:tcW w:type="dxa" w:w="3120"/>
          </w:tcPr>
          <w:p>
            <w:pPr>
              <w:spacing w:after="60"/>
            </w:pPr>
            <w:r>
              <w:rPr>
                <w:sz w:val="20"/>
                <w:szCs w:val="20"/>
              </w:rPr>
              <w:t xml:space="preserve">4 hours</w:t>
            </w:r>
          </w:p>
        </w:tc>
      </w:tr>
      <w:tr>
        <w:tc>
          <w:tcPr>
            <w:tcW w:type="dxa" w:w="3120"/>
          </w:tcPr>
          <w:p>
            <w:pPr>
              <w:spacing w:after="60"/>
            </w:pPr>
            <w:r>
              <w:rPr>
                <w:sz w:val="20"/>
                <w:szCs w:val="20"/>
              </w:rPr>
              <w:t xml:space="preserve">HR systems (Workday)</w:t>
            </w:r>
          </w:p>
        </w:tc>
        <w:tc>
          <w:tcPr>
            <w:tcW w:type="dxa" w:w="3120"/>
          </w:tcPr>
          <w:p>
            <w:pPr>
              <w:spacing w:after="60"/>
            </w:pPr>
            <w:r>
              <w:rPr>
                <w:sz w:val="20"/>
                <w:szCs w:val="20"/>
              </w:rPr>
              <w:t xml:space="preserve">24 hours</w:t>
            </w:r>
          </w:p>
        </w:tc>
        <w:tc>
          <w:tcPr>
            <w:tcW w:type="dxa" w:w="3120"/>
          </w:tcPr>
          <w:p>
            <w:pPr>
              <w:spacing w:after="60"/>
            </w:pPr>
            <w:r>
              <w:rPr>
                <w:sz w:val="20"/>
                <w:szCs w:val="20"/>
              </w:rPr>
              <w:t xml:space="preserve">24 hours</w:t>
            </w:r>
          </w:p>
        </w:tc>
      </w:tr>
      <w:tr>
        <w:tc>
          <w:tcPr>
            <w:tcW w:type="dxa" w:w="3120"/>
          </w:tcPr>
          <w:p>
            <w:pPr>
              <w:spacing w:after="60"/>
            </w:pPr>
            <w:r>
              <w:rPr>
                <w:sz w:val="20"/>
                <w:szCs w:val="20"/>
              </w:rPr>
              <w:t xml:space="preserve">Development infrastructure (GitHub, CI/CD)</w:t>
            </w:r>
          </w:p>
        </w:tc>
        <w:tc>
          <w:tcPr>
            <w:tcW w:type="dxa" w:w="3120"/>
          </w:tcPr>
          <w:p>
            <w:pPr>
              <w:spacing w:after="60"/>
            </w:pPr>
            <w:r>
              <w:rPr>
                <w:sz w:val="20"/>
                <w:szCs w:val="20"/>
              </w:rPr>
              <w:t xml:space="preserve">8 hours</w:t>
            </w:r>
          </w:p>
        </w:tc>
        <w:tc>
          <w:tcPr>
            <w:tcW w:type="dxa" w:w="3120"/>
          </w:tcPr>
          <w:p>
            <w:pPr>
              <w:spacing w:after="60"/>
            </w:pPr>
            <w:r>
              <w:rPr>
                <w:sz w:val="20"/>
                <w:szCs w:val="20"/>
              </w:rPr>
              <w:t xml:space="preserve">1 hour</w:t>
            </w:r>
          </w:p>
        </w:tc>
      </w:tr>
    </w:tbl>
    <w:p>
      <w:pPr>
        <w:spacing w:after="80"/>
      </w:pPr>
      <w:r>
        <w:t xml:space="preserve"/>
      </w:r>
    </w:p>
    <w:p>
      <w:r>
        <w:br w:type="page"/>
      </w:r>
    </w:p>
    <w:p>
      <w:pPr>
        <w:pStyle w:val="Heading1"/>
        <w:spacing w:after="200" w:before="400"/>
      </w:pPr>
      <w:r>
        <w:t xml:space="preserve">11. Physical Security Policy</w:t>
      </w:r>
    </w:p>
    <w:p>
      <w:pPr>
        <w:pStyle w:val="Heading2"/>
        <w:spacing w:after="150" w:before="300"/>
      </w:pPr>
      <w:r>
        <w:t xml:space="preserve">11.1 Access Control</w:t>
      </w:r>
    </w:p>
    <w:p>
      <w:pPr>
        <w:spacing w:after="120" w:line="276"/>
      </w:pPr>
      <w:r>
        <w:rPr>
          <w:sz w:val="22"/>
          <w:szCs w:val="22"/>
        </w:rPr>
        <w:t xml:space="preserve">All OptiAgent office premises operate on a badge-access control system. Employees are issued a proximity access card on their first day (see Onboarding Process, Document ID: HR-OP-001). Rules:</w:t>
      </w:r>
    </w:p>
    <w:p>
      <w:pPr>
        <w:pStyle w:val="ListParagraph"/>
        <w:numPr>
          <w:ilvl w:val="0"/>
          <w:numId w:val="1"/>
        </w:numPr>
        <w:spacing w:after="80"/>
      </w:pPr>
      <w:r>
        <w:rPr>
          <w:sz w:val="22"/>
          <w:szCs w:val="22"/>
        </w:rPr>
        <w:t xml:space="preserve">Never allow unauthorized persons to tailgate through secure access points ("piggybacking")</w:t>
      </w:r>
    </w:p>
    <w:p>
      <w:pPr>
        <w:pStyle w:val="ListParagraph"/>
        <w:numPr>
          <w:ilvl w:val="0"/>
          <w:numId w:val="1"/>
        </w:numPr>
        <w:spacing w:after="80"/>
      </w:pPr>
      <w:r>
        <w:rPr>
          <w:sz w:val="22"/>
          <w:szCs w:val="22"/>
        </w:rPr>
        <w:t xml:space="preserve">Report lost or stolen access badges immediately to Facilities and IT Security</w:t>
      </w:r>
    </w:p>
    <w:p>
      <w:pPr>
        <w:pStyle w:val="ListParagraph"/>
        <w:numPr>
          <w:ilvl w:val="0"/>
          <w:numId w:val="1"/>
        </w:numPr>
        <w:spacing w:after="80"/>
      </w:pPr>
      <w:r>
        <w:rPr>
          <w:sz w:val="22"/>
          <w:szCs w:val="22"/>
        </w:rPr>
        <w:t xml:space="preserve">Access cards are personal and non-transferable; sharing your badge is a terminable offense</w:t>
      </w:r>
    </w:p>
    <w:p>
      <w:pPr>
        <w:pStyle w:val="ListParagraph"/>
        <w:numPr>
          <w:ilvl w:val="0"/>
          <w:numId w:val="1"/>
        </w:numPr>
        <w:spacing w:after="80"/>
      </w:pPr>
      <w:r>
        <w:rPr>
          <w:sz w:val="22"/>
          <w:szCs w:val="22"/>
        </w:rPr>
        <w:t xml:space="preserve">Visitor access must be arranged through the Facilities team at least 24 hours in advance</w:t>
      </w:r>
    </w:p>
    <w:p>
      <w:pPr>
        <w:pStyle w:val="Heading2"/>
        <w:spacing w:after="150" w:before="300"/>
      </w:pPr>
      <w:r>
        <w:t xml:space="preserve">11.2 Clean Desk Policy</w:t>
      </w:r>
    </w:p>
    <w:p>
      <w:pPr>
        <w:pStyle w:val="ListParagraph"/>
        <w:numPr>
          <w:ilvl w:val="0"/>
          <w:numId w:val="1"/>
        </w:numPr>
        <w:spacing w:after="80"/>
      </w:pPr>
      <w:r>
        <w:rPr>
          <w:sz w:val="22"/>
          <w:szCs w:val="22"/>
        </w:rPr>
        <w:t xml:space="preserve">Classified and Confidential documents must be stored in locked drawers or cabinets</w:t>
      </w:r>
    </w:p>
    <w:p>
      <w:pPr>
        <w:pStyle w:val="ListParagraph"/>
        <w:numPr>
          <w:ilvl w:val="0"/>
          <w:numId w:val="1"/>
        </w:numPr>
        <w:spacing w:after="80"/>
      </w:pPr>
      <w:r>
        <w:rPr>
          <w:sz w:val="22"/>
          <w:szCs w:val="22"/>
        </w:rPr>
        <w:t xml:space="preserve">Computer screens must be locked when leaving your desk (Windows+L or Ctrl+Cmd+Q on Mac)</w:t>
      </w:r>
    </w:p>
    <w:p>
      <w:pPr>
        <w:pStyle w:val="ListParagraph"/>
        <w:numPr>
          <w:ilvl w:val="0"/>
          <w:numId w:val="1"/>
        </w:numPr>
        <w:spacing w:after="80"/>
      </w:pPr>
      <w:r>
        <w:rPr>
          <w:sz w:val="22"/>
          <w:szCs w:val="22"/>
        </w:rPr>
        <w:t xml:space="preserve">Sensitive documents must not be left in printers, meeting rooms, or shared spaces</w:t>
      </w:r>
    </w:p>
    <w:p>
      <w:r>
        <w:br w:type="page"/>
      </w:r>
    </w:p>
    <w:p>
      <w:pPr>
        <w:pStyle w:val="Heading1"/>
        <w:spacing w:after="200" w:before="400"/>
      </w:pPr>
      <w:r>
        <w:t xml:space="preserve">12. AI Usage Policy &amp; Generative AI Guidelines</w:t>
      </w:r>
    </w:p>
    <w:p>
      <w:pPr>
        <w:pStyle w:val="Heading2"/>
        <w:spacing w:after="150" w:before="300"/>
      </w:pPr>
      <w:r>
        <w:t xml:space="preserve">12.1 Context</w:t>
      </w:r>
    </w:p>
    <w:p>
      <w:pPr>
        <w:spacing w:after="120" w:line="276"/>
      </w:pPr>
      <w:r>
        <w:rPr>
          <w:sz w:val="22"/>
          <w:szCs w:val="22"/>
        </w:rPr>
        <w:t xml:space="preserve">As an enterprise AI company, OptiAgent Technologies encourages responsible use of AI tools to enhance productivity, creativity, and decision-making. Generative AI presents specific risks around data privacy, intellectual property, and output accuracy that require clear governance.</w:t>
      </w:r>
    </w:p>
    <w:p>
      <w:pPr>
        <w:pStyle w:val="Heading2"/>
        <w:spacing w:after="150" w:before="300"/>
      </w:pPr>
      <w:r>
        <w:t xml:space="preserve">12.2 Approved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color="1F4E79" w:val="clear"/>
          </w:tcPr>
          <w:p>
            <w:pPr>
              <w:spacing w:after="60"/>
            </w:pPr>
            <w:r>
              <w:rPr>
                <w:b/>
                <w:bCs/>
                <w:color w:val="FFFFFF"/>
                <w:sz w:val="20"/>
                <w:szCs w:val="20"/>
              </w:rPr>
              <w:t xml:space="preserve">Tool</w:t>
            </w:r>
          </w:p>
        </w:tc>
        <w:tc>
          <w:tcPr>
            <w:tcW w:type="dxa" w:w="2340"/>
            <w:shd w:fill="1F4E79" w:color="1F4E79" w:val="clear"/>
          </w:tcPr>
          <w:p>
            <w:pPr>
              <w:spacing w:after="60"/>
            </w:pPr>
            <w:r>
              <w:rPr>
                <w:b/>
                <w:bCs/>
                <w:color w:val="FFFFFF"/>
                <w:sz w:val="20"/>
                <w:szCs w:val="20"/>
              </w:rPr>
              <w:t xml:space="preserve">Approved For</w:t>
            </w:r>
          </w:p>
        </w:tc>
        <w:tc>
          <w:tcPr>
            <w:tcW w:type="dxa" w:w="2340"/>
            <w:shd w:fill="1F4E79" w:color="1F4E79" w:val="clear"/>
          </w:tcPr>
          <w:p>
            <w:pPr>
              <w:spacing w:after="60"/>
            </w:pPr>
            <w:r>
              <w:rPr>
                <w:b/>
                <w:bCs/>
                <w:color w:val="FFFFFF"/>
                <w:sz w:val="20"/>
                <w:szCs w:val="20"/>
              </w:rPr>
              <w:t xml:space="preserve">Data Restrictions</w:t>
            </w:r>
          </w:p>
        </w:tc>
        <w:tc>
          <w:tcPr>
            <w:tcW w:type="dxa" w:w="2340"/>
            <w:shd w:fill="1F4E79" w:color="1F4E79" w:val="clear"/>
          </w:tcPr>
          <w:p>
            <w:pPr>
              <w:spacing w:after="60"/>
            </w:pPr>
            <w:r>
              <w:rPr>
                <w:b/>
                <w:bCs/>
                <w:color w:val="FFFFFF"/>
                <w:sz w:val="20"/>
                <w:szCs w:val="20"/>
              </w:rPr>
              <w:t xml:space="preserve">Access</w:t>
            </w:r>
          </w:p>
        </w:tc>
      </w:tr>
      <w:tr>
        <w:tc>
          <w:tcPr>
            <w:tcW w:type="dxa" w:w="2340"/>
          </w:tcPr>
          <w:p>
            <w:pPr>
              <w:spacing w:after="60"/>
            </w:pPr>
            <w:r>
              <w:rPr>
                <w:sz w:val="20"/>
                <w:szCs w:val="20"/>
              </w:rPr>
              <w:t xml:space="preserve">OptiAgent Enterprise Platform (OEP)</w:t>
            </w:r>
          </w:p>
        </w:tc>
        <w:tc>
          <w:tcPr>
            <w:tcW w:type="dxa" w:w="2340"/>
          </w:tcPr>
          <w:p>
            <w:pPr>
              <w:spacing w:after="60"/>
            </w:pPr>
            <w:r>
              <w:rPr>
                <w:sz w:val="20"/>
                <w:szCs w:val="20"/>
              </w:rPr>
              <w:t xml:space="preserve">All employees; primary AI tool</w:t>
            </w:r>
          </w:p>
        </w:tc>
        <w:tc>
          <w:tcPr>
            <w:tcW w:type="dxa" w:w="2340"/>
          </w:tcPr>
          <w:p>
            <w:pPr>
              <w:spacing w:after="60"/>
            </w:pPr>
            <w:r>
              <w:rPr>
                <w:sz w:val="20"/>
                <w:szCs w:val="20"/>
              </w:rPr>
              <w:t xml:space="preserve">All data tiers permitted (within product design)</w:t>
            </w:r>
          </w:p>
        </w:tc>
        <w:tc>
          <w:tcPr>
            <w:tcW w:type="dxa" w:w="2340"/>
          </w:tcPr>
          <w:p>
            <w:pPr>
              <w:spacing w:after="60"/>
            </w:pPr>
            <w:r>
              <w:rPr>
                <w:sz w:val="20"/>
                <w:szCs w:val="20"/>
              </w:rPr>
              <w:t xml:space="preserve">Via Okta SSO</w:t>
            </w:r>
          </w:p>
        </w:tc>
      </w:tr>
      <w:tr>
        <w:tc>
          <w:tcPr>
            <w:tcW w:type="dxa" w:w="2340"/>
          </w:tcPr>
          <w:p>
            <w:pPr>
              <w:spacing w:after="60"/>
            </w:pPr>
            <w:r>
              <w:rPr>
                <w:sz w:val="20"/>
                <w:szCs w:val="20"/>
              </w:rPr>
              <w:t xml:space="preserve">Microsoft 365 Copilot</w:t>
            </w:r>
          </w:p>
        </w:tc>
        <w:tc>
          <w:tcPr>
            <w:tcW w:type="dxa" w:w="2340"/>
          </w:tcPr>
          <w:p>
            <w:pPr>
              <w:spacing w:after="60"/>
            </w:pPr>
            <w:r>
              <w:rPr>
                <w:sz w:val="20"/>
                <w:szCs w:val="20"/>
              </w:rPr>
              <w:t xml:space="preserve">All M365-licensed employees</w:t>
            </w:r>
          </w:p>
        </w:tc>
        <w:tc>
          <w:tcPr>
            <w:tcW w:type="dxa" w:w="2340"/>
          </w:tcPr>
          <w:p>
            <w:pPr>
              <w:spacing w:after="60"/>
            </w:pPr>
            <w:r>
              <w:rPr>
                <w:sz w:val="20"/>
                <w:szCs w:val="20"/>
              </w:rPr>
              <w:t xml:space="preserve">Internal and Confidential data permitted; no Restricted data</w:t>
            </w:r>
          </w:p>
        </w:tc>
        <w:tc>
          <w:tcPr>
            <w:tcW w:type="dxa" w:w="2340"/>
          </w:tcPr>
          <w:p>
            <w:pPr>
              <w:spacing w:after="60"/>
            </w:pPr>
            <w:r>
              <w:rPr>
                <w:sz w:val="20"/>
                <w:szCs w:val="20"/>
              </w:rPr>
              <w:t xml:space="preserve">Via Okta SSO</w:t>
            </w:r>
          </w:p>
        </w:tc>
      </w:tr>
      <w:tr>
        <w:tc>
          <w:tcPr>
            <w:tcW w:type="dxa" w:w="2340"/>
          </w:tcPr>
          <w:p>
            <w:pPr>
              <w:spacing w:after="60"/>
            </w:pPr>
            <w:r>
              <w:rPr>
                <w:sz w:val="20"/>
                <w:szCs w:val="20"/>
              </w:rPr>
              <w:t xml:space="preserve">GitHub Copilot</w:t>
            </w:r>
          </w:p>
        </w:tc>
        <w:tc>
          <w:tcPr>
            <w:tcW w:type="dxa" w:w="2340"/>
          </w:tcPr>
          <w:p>
            <w:pPr>
              <w:spacing w:after="60"/>
            </w:pPr>
            <w:r>
              <w:rPr>
                <w:sz w:val="20"/>
                <w:szCs w:val="20"/>
              </w:rPr>
              <w:t xml:space="preserve">Engineering teams only</w:t>
            </w:r>
          </w:p>
        </w:tc>
        <w:tc>
          <w:tcPr>
            <w:tcW w:type="dxa" w:w="2340"/>
          </w:tcPr>
          <w:p>
            <w:pPr>
              <w:spacing w:after="60"/>
            </w:pPr>
            <w:r>
              <w:rPr>
                <w:sz w:val="20"/>
                <w:szCs w:val="20"/>
              </w:rPr>
              <w:t xml:space="preserve">Internal code only; no customer data in prompts</w:t>
            </w:r>
          </w:p>
        </w:tc>
        <w:tc>
          <w:tcPr>
            <w:tcW w:type="dxa" w:w="2340"/>
          </w:tcPr>
          <w:p>
            <w:pPr>
              <w:spacing w:after="60"/>
            </w:pPr>
            <w:r>
              <w:rPr>
                <w:sz w:val="20"/>
                <w:szCs w:val="20"/>
              </w:rPr>
              <w:t xml:space="preserve">Via GitHub org (Copilot Business)</w:t>
            </w:r>
          </w:p>
        </w:tc>
      </w:tr>
      <w:tr>
        <w:tc>
          <w:tcPr>
            <w:tcW w:type="dxa" w:w="2340"/>
          </w:tcPr>
          <w:p>
            <w:pPr>
              <w:spacing w:after="60"/>
            </w:pPr>
            <w:r>
              <w:rPr>
                <w:sz w:val="20"/>
                <w:szCs w:val="20"/>
              </w:rPr>
              <w:t xml:space="preserve">Grammarly Business</w:t>
            </w:r>
          </w:p>
        </w:tc>
        <w:tc>
          <w:tcPr>
            <w:tcW w:type="dxa" w:w="2340"/>
          </w:tcPr>
          <w:p>
            <w:pPr>
              <w:spacing w:after="60"/>
            </w:pPr>
            <w:r>
              <w:rPr>
                <w:sz w:val="20"/>
                <w:szCs w:val="20"/>
              </w:rPr>
              <w:t xml:space="preserve">All employees</w:t>
            </w:r>
          </w:p>
        </w:tc>
        <w:tc>
          <w:tcPr>
            <w:tcW w:type="dxa" w:w="2340"/>
          </w:tcPr>
          <w:p>
            <w:pPr>
              <w:spacing w:after="60"/>
            </w:pPr>
            <w:r>
              <w:rPr>
                <w:sz w:val="20"/>
                <w:szCs w:val="20"/>
              </w:rPr>
              <w:t xml:space="preserve">Public and Internal content only</w:t>
            </w:r>
          </w:p>
        </w:tc>
        <w:tc>
          <w:tcPr>
            <w:tcW w:type="dxa" w:w="2340"/>
          </w:tcPr>
          <w:p>
            <w:pPr>
              <w:spacing w:after="60"/>
            </w:pPr>
            <w:r>
              <w:rPr>
                <w:sz w:val="20"/>
                <w:szCs w:val="20"/>
              </w:rPr>
              <w:t xml:space="preserve">Via Okta SSO</w:t>
            </w:r>
          </w:p>
        </w:tc>
      </w:tr>
    </w:tbl>
    <w:p>
      <w:pPr>
        <w:spacing w:after="80"/>
      </w:pPr>
      <w:r>
        <w:t xml:space="preserve"/>
      </w:r>
    </w:p>
    <w:p>
      <w:pPr>
        <w:pStyle w:val="Heading2"/>
        <w:spacing w:after="150" w:before="300"/>
      </w:pPr>
      <w:r>
        <w:t xml:space="preserve">12.3 Prohibited AI Uses</w:t>
      </w:r>
    </w:p>
    <w:p>
      <w:pPr>
        <w:pStyle w:val="ListParagraph"/>
        <w:numPr>
          <w:ilvl w:val="0"/>
          <w:numId w:val="1"/>
        </w:numPr>
        <w:spacing w:after="80"/>
      </w:pPr>
      <w:r>
        <w:rPr>
          <w:sz w:val="22"/>
          <w:szCs w:val="22"/>
        </w:rPr>
        <w:t xml:space="preserve">Entering customer PII, PHI, financial model data, or Restricted-class data into any AI tool that sends data to an external model</w:t>
      </w:r>
    </w:p>
    <w:p>
      <w:pPr>
        <w:pStyle w:val="ListParagraph"/>
        <w:numPr>
          <w:ilvl w:val="0"/>
          <w:numId w:val="1"/>
        </w:numPr>
        <w:spacing w:after="80"/>
      </w:pPr>
      <w:r>
        <w:rPr>
          <w:sz w:val="22"/>
          <w:szCs w:val="22"/>
        </w:rPr>
        <w:t xml:space="preserve">Using personal/consumer AI tools (ChatGPT personal, Claude.ai personal, Gemini consumer) on company devices for business purposes without Legal approval</w:t>
      </w:r>
    </w:p>
    <w:p>
      <w:pPr>
        <w:pStyle w:val="ListParagraph"/>
        <w:numPr>
          <w:ilvl w:val="0"/>
          <w:numId w:val="1"/>
        </w:numPr>
        <w:spacing w:after="80"/>
      </w:pPr>
      <w:r>
        <w:rPr>
          <w:sz w:val="22"/>
          <w:szCs w:val="22"/>
        </w:rPr>
        <w:t xml:space="preserve">Passing employee compensation data, individual performance ratings, or HR investigation details into any AI tool</w:t>
      </w:r>
    </w:p>
    <w:p>
      <w:pPr>
        <w:pStyle w:val="ListParagraph"/>
        <w:numPr>
          <w:ilvl w:val="0"/>
          <w:numId w:val="1"/>
        </w:numPr>
        <w:spacing w:after="80"/>
      </w:pPr>
      <w:r>
        <w:rPr>
          <w:sz w:val="22"/>
          <w:szCs w:val="22"/>
        </w:rPr>
        <w:t xml:space="preserve">Using AI to generate communications that impersonate a person or official company communication</w:t>
      </w:r>
    </w:p>
    <w:p>
      <w:pPr>
        <w:pStyle w:val="ListParagraph"/>
        <w:numPr>
          <w:ilvl w:val="0"/>
          <w:numId w:val="1"/>
        </w:numPr>
        <w:spacing w:after="80"/>
      </w:pPr>
      <w:r>
        <w:rPr>
          <w:sz w:val="22"/>
          <w:szCs w:val="22"/>
        </w:rPr>
        <w:t xml:space="preserve">Using AI to create deepfakes or synthetic media of colleagues, customers, or public figures</w:t>
      </w:r>
    </w:p>
    <w:p>
      <w:pPr>
        <w:pStyle w:val="Heading2"/>
        <w:spacing w:after="150" w:before="300"/>
      </w:pPr>
      <w:r>
        <w:t xml:space="preserve">12.4 AI Output Review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Use Case</w:t>
            </w:r>
          </w:p>
        </w:tc>
        <w:tc>
          <w:tcPr>
            <w:tcW w:type="dxa" w:w="3120"/>
            <w:shd w:fill="1F4E79" w:color="1F4E79" w:val="clear"/>
          </w:tcPr>
          <w:p>
            <w:pPr>
              <w:spacing w:after="60"/>
            </w:pPr>
            <w:r>
              <w:rPr>
                <w:b/>
                <w:bCs/>
                <w:color w:val="FFFFFF"/>
                <w:sz w:val="20"/>
                <w:szCs w:val="20"/>
              </w:rPr>
              <w:t xml:space="preserve">Review Requirement</w:t>
            </w:r>
          </w:p>
        </w:tc>
        <w:tc>
          <w:tcPr>
            <w:tcW w:type="dxa" w:w="3120"/>
            <w:shd w:fill="1F4E79" w:color="1F4E79" w:val="clear"/>
          </w:tcPr>
          <w:p>
            <w:pPr>
              <w:spacing w:after="60"/>
            </w:pPr>
            <w:r>
              <w:rPr>
                <w:b/>
                <w:bCs/>
                <w:color w:val="FFFFFF"/>
                <w:sz w:val="20"/>
                <w:szCs w:val="20"/>
              </w:rPr>
              <w:t xml:space="preserve">Responsible Party</w:t>
            </w:r>
          </w:p>
        </w:tc>
      </w:tr>
      <w:tr>
        <w:tc>
          <w:tcPr>
            <w:tcW w:type="dxa" w:w="3120"/>
          </w:tcPr>
          <w:p>
            <w:pPr>
              <w:spacing w:after="60"/>
            </w:pPr>
            <w:r>
              <w:rPr>
                <w:sz w:val="20"/>
                <w:szCs w:val="20"/>
              </w:rPr>
              <w:t xml:space="preserve">Customer-facing documentation</w:t>
            </w:r>
          </w:p>
        </w:tc>
        <w:tc>
          <w:tcPr>
            <w:tcW w:type="dxa" w:w="3120"/>
          </w:tcPr>
          <w:p>
            <w:pPr>
              <w:spacing w:after="60"/>
            </w:pPr>
            <w:r>
              <w:rPr>
                <w:sz w:val="20"/>
                <w:szCs w:val="20"/>
              </w:rPr>
              <w:t xml:space="preserve">Full human review and approval</w:t>
            </w:r>
          </w:p>
        </w:tc>
        <w:tc>
          <w:tcPr>
            <w:tcW w:type="dxa" w:w="3120"/>
          </w:tcPr>
          <w:p>
            <w:pPr>
              <w:spacing w:after="60"/>
            </w:pPr>
            <w:r>
              <w:rPr>
                <w:sz w:val="20"/>
                <w:szCs w:val="20"/>
              </w:rPr>
              <w:t xml:space="preserve">Content owner + Manager</w:t>
            </w:r>
          </w:p>
        </w:tc>
      </w:tr>
      <w:tr>
        <w:tc>
          <w:tcPr>
            <w:tcW w:type="dxa" w:w="3120"/>
          </w:tcPr>
          <w:p>
            <w:pPr>
              <w:spacing w:after="60"/>
            </w:pPr>
            <w:r>
              <w:rPr>
                <w:sz w:val="20"/>
                <w:szCs w:val="20"/>
              </w:rPr>
              <w:t xml:space="preserve">Code generated by Copilot</w:t>
            </w:r>
          </w:p>
        </w:tc>
        <w:tc>
          <w:tcPr>
            <w:tcW w:type="dxa" w:w="3120"/>
          </w:tcPr>
          <w:p>
            <w:pPr>
              <w:spacing w:after="60"/>
            </w:pPr>
            <w:r>
              <w:rPr>
                <w:sz w:val="20"/>
                <w:szCs w:val="20"/>
              </w:rPr>
              <w:t xml:space="preserve">Code review per engineering process; security scan</w:t>
            </w:r>
          </w:p>
        </w:tc>
        <w:tc>
          <w:tcPr>
            <w:tcW w:type="dxa" w:w="3120"/>
          </w:tcPr>
          <w:p>
            <w:pPr>
              <w:spacing w:after="60"/>
            </w:pPr>
            <w:r>
              <w:rPr>
                <w:sz w:val="20"/>
                <w:szCs w:val="20"/>
              </w:rPr>
              <w:t xml:space="preserve">Reviewing engineer</w:t>
            </w:r>
          </w:p>
        </w:tc>
      </w:tr>
      <w:tr>
        <w:tc>
          <w:tcPr>
            <w:tcW w:type="dxa" w:w="3120"/>
          </w:tcPr>
          <w:p>
            <w:pPr>
              <w:spacing w:after="60"/>
            </w:pPr>
            <w:r>
              <w:rPr>
                <w:sz w:val="20"/>
                <w:szCs w:val="20"/>
              </w:rPr>
              <w:t xml:space="preserve">Legal contracts (AI-drafted)</w:t>
            </w:r>
          </w:p>
        </w:tc>
        <w:tc>
          <w:tcPr>
            <w:tcW w:type="dxa" w:w="3120"/>
          </w:tcPr>
          <w:p>
            <w:pPr>
              <w:spacing w:after="60"/>
            </w:pPr>
            <w:r>
              <w:rPr>
                <w:sz w:val="20"/>
                <w:szCs w:val="20"/>
              </w:rPr>
              <w:t xml:space="preserve">Full review by qualified attorney</w:t>
            </w:r>
          </w:p>
        </w:tc>
        <w:tc>
          <w:tcPr>
            <w:tcW w:type="dxa" w:w="3120"/>
          </w:tcPr>
          <w:p>
            <w:pPr>
              <w:spacing w:after="60"/>
            </w:pPr>
            <w:r>
              <w:rPr>
                <w:sz w:val="20"/>
                <w:szCs w:val="20"/>
              </w:rPr>
              <w:t xml:space="preserve">Legal team</w:t>
            </w:r>
          </w:p>
        </w:tc>
      </w:tr>
      <w:tr>
        <w:tc>
          <w:tcPr>
            <w:tcW w:type="dxa" w:w="3120"/>
          </w:tcPr>
          <w:p>
            <w:pPr>
              <w:spacing w:after="60"/>
            </w:pPr>
            <w:r>
              <w:rPr>
                <w:sz w:val="20"/>
                <w:szCs w:val="20"/>
              </w:rPr>
              <w:t xml:space="preserve">Financial models or forecasts</w:t>
            </w:r>
          </w:p>
        </w:tc>
        <w:tc>
          <w:tcPr>
            <w:tcW w:type="dxa" w:w="3120"/>
          </w:tcPr>
          <w:p>
            <w:pPr>
              <w:spacing w:after="60"/>
            </w:pPr>
            <w:r>
              <w:rPr>
                <w:sz w:val="20"/>
                <w:szCs w:val="20"/>
              </w:rPr>
              <w:t xml:space="preserve">Review by Finance; no pure AI financial decision-making</w:t>
            </w:r>
          </w:p>
        </w:tc>
        <w:tc>
          <w:tcPr>
            <w:tcW w:type="dxa" w:w="3120"/>
          </w:tcPr>
          <w:p>
            <w:pPr>
              <w:spacing w:after="60"/>
            </w:pPr>
            <w:r>
              <w:rPr>
                <w:sz w:val="20"/>
                <w:szCs w:val="20"/>
              </w:rPr>
              <w:t xml:space="preserve">Finance Business Partner</w:t>
            </w:r>
          </w:p>
        </w:tc>
      </w:tr>
      <w:tr>
        <w:tc>
          <w:tcPr>
            <w:tcW w:type="dxa" w:w="3120"/>
          </w:tcPr>
          <w:p>
            <w:pPr>
              <w:spacing w:after="60"/>
            </w:pPr>
            <w:r>
              <w:rPr>
                <w:sz w:val="20"/>
                <w:szCs w:val="20"/>
              </w:rPr>
              <w:t xml:space="preserve">HR communications</w:t>
            </w:r>
          </w:p>
        </w:tc>
        <w:tc>
          <w:tcPr>
            <w:tcW w:type="dxa" w:w="3120"/>
          </w:tcPr>
          <w:p>
            <w:pPr>
              <w:spacing w:after="60"/>
            </w:pPr>
            <w:r>
              <w:rPr>
                <w:sz w:val="20"/>
                <w:szCs w:val="20"/>
              </w:rPr>
              <w:t xml:space="preserve">Review by HR before sending</w:t>
            </w:r>
          </w:p>
        </w:tc>
        <w:tc>
          <w:tcPr>
            <w:tcW w:type="dxa" w:w="3120"/>
          </w:tcPr>
          <w:p>
            <w:pPr>
              <w:spacing w:after="60"/>
            </w:pPr>
            <w:r>
              <w:rPr>
                <w:sz w:val="20"/>
                <w:szCs w:val="20"/>
              </w:rPr>
              <w:t xml:space="preserve">HRBP</w:t>
            </w:r>
          </w:p>
        </w:tc>
      </w:tr>
      <w:tr>
        <w:tc>
          <w:tcPr>
            <w:tcW w:type="dxa" w:w="3120"/>
          </w:tcPr>
          <w:p>
            <w:pPr>
              <w:spacing w:after="60"/>
            </w:pPr>
            <w:r>
              <w:rPr>
                <w:sz w:val="20"/>
                <w:szCs w:val="20"/>
              </w:rPr>
              <w:t xml:space="preserve">Marketing content</w:t>
            </w:r>
          </w:p>
        </w:tc>
        <w:tc>
          <w:tcPr>
            <w:tcW w:type="dxa" w:w="3120"/>
          </w:tcPr>
          <w:p>
            <w:pPr>
              <w:spacing w:after="60"/>
            </w:pPr>
            <w:r>
              <w:rPr>
                <w:sz w:val="20"/>
                <w:szCs w:val="20"/>
              </w:rPr>
              <w:t xml:space="preserve">Brand and legal review</w:t>
            </w:r>
          </w:p>
        </w:tc>
        <w:tc>
          <w:tcPr>
            <w:tcW w:type="dxa" w:w="3120"/>
          </w:tcPr>
          <w:p>
            <w:pPr>
              <w:spacing w:after="60"/>
            </w:pPr>
            <w:r>
              <w:rPr>
                <w:sz w:val="20"/>
                <w:szCs w:val="20"/>
              </w:rPr>
              <w:t xml:space="preserve">Marketing + Legal</w:t>
            </w:r>
          </w:p>
        </w:tc>
      </w:tr>
    </w:tbl>
    <w:p>
      <w:pPr>
        <w:spacing w:after="80"/>
      </w:pPr>
      <w:r>
        <w:t xml:space="preserve"/>
      </w:r>
    </w:p>
    <w:p>
      <w:r>
        <w:br w:type="page"/>
      </w:r>
    </w:p>
    <w:p>
      <w:pPr>
        <w:pStyle w:val="Heading1"/>
        <w:spacing w:after="200" w:before="400"/>
      </w:pPr>
      <w:r>
        <w:t xml:space="preserve">13. Confidential Information &amp; Intellectual Property</w:t>
      </w:r>
    </w:p>
    <w:p>
      <w:pPr>
        <w:pStyle w:val="Heading2"/>
        <w:spacing w:after="150" w:before="300"/>
      </w:pPr>
      <w:r>
        <w:t xml:space="preserve">13.1 Company Intellectual Property</w:t>
      </w:r>
    </w:p>
    <w:p>
      <w:pPr>
        <w:spacing w:after="120" w:line="276"/>
      </w:pPr>
      <w:r>
        <w:rPr>
          <w:sz w:val="22"/>
          <w:szCs w:val="22"/>
        </w:rPr>
        <w:t xml:space="preserve">All work product created by employees during their employment, using company resources or in connection with their role, is the intellectual property of OptiAgent Technologies. This includes:</w:t>
      </w:r>
    </w:p>
    <w:p>
      <w:pPr>
        <w:pStyle w:val="ListParagraph"/>
        <w:numPr>
          <w:ilvl w:val="0"/>
          <w:numId w:val="1"/>
        </w:numPr>
        <w:spacing w:after="80"/>
      </w:pPr>
      <w:r>
        <w:rPr>
          <w:sz w:val="22"/>
          <w:szCs w:val="22"/>
        </w:rPr>
        <w:t xml:space="preserve">Software, algorithms, AI models, and source code</w:t>
      </w:r>
    </w:p>
    <w:p>
      <w:pPr>
        <w:pStyle w:val="ListParagraph"/>
        <w:numPr>
          <w:ilvl w:val="0"/>
          <w:numId w:val="1"/>
        </w:numPr>
        <w:spacing w:after="80"/>
      </w:pPr>
      <w:r>
        <w:rPr>
          <w:sz w:val="22"/>
          <w:szCs w:val="22"/>
        </w:rPr>
        <w:t xml:space="preserve">Product designs, prototypes, and patents</w:t>
      </w:r>
    </w:p>
    <w:p>
      <w:pPr>
        <w:pStyle w:val="ListParagraph"/>
        <w:numPr>
          <w:ilvl w:val="0"/>
          <w:numId w:val="1"/>
        </w:numPr>
        <w:spacing w:after="80"/>
      </w:pPr>
      <w:r>
        <w:rPr>
          <w:sz w:val="22"/>
          <w:szCs w:val="22"/>
        </w:rPr>
        <w:t xml:space="preserve">Written content, marketing materials, and training data</w:t>
      </w:r>
    </w:p>
    <w:p>
      <w:pPr>
        <w:pStyle w:val="ListParagraph"/>
        <w:numPr>
          <w:ilvl w:val="0"/>
          <w:numId w:val="1"/>
        </w:numPr>
        <w:spacing w:after="80"/>
      </w:pPr>
      <w:r>
        <w:rPr>
          <w:sz w:val="22"/>
          <w:szCs w:val="22"/>
        </w:rPr>
        <w:t xml:space="preserve">Customer analysis, market research, and competitive intelligence</w:t>
      </w:r>
    </w:p>
    <w:p>
      <w:pPr>
        <w:spacing w:after="120" w:line="276"/>
      </w:pPr>
      <w:r>
        <w:rPr>
          <w:sz w:val="22"/>
          <w:szCs w:val="22"/>
        </w:rPr>
        <w:t xml:space="preserve">Employees must sign the Proprietary Information and Invention Assignment Agreement (PIIA) prior to or on the first day of employment. Contact hr.global@optiagent.com if you have not signed a PIIA.</w:t>
      </w:r>
    </w:p>
    <w:p>
      <w:pPr>
        <w:pStyle w:val="Heading2"/>
        <w:spacing w:after="150" w:before="300"/>
      </w:pPr>
      <w:r>
        <w:t xml:space="preserve">13.2 Third-Party Confidential Information</w:t>
      </w:r>
    </w:p>
    <w:p>
      <w:pPr>
        <w:spacing w:after="120" w:line="276"/>
      </w:pPr>
      <w:r>
        <w:rPr>
          <w:sz w:val="22"/>
          <w:szCs w:val="22"/>
        </w:rPr>
        <w:t xml:space="preserve">Employees must not share, use, or bring to OptiAgent any confidential information belonging to a previous employer or third party. If unsure, consult Legal before using any such information.</w:t>
      </w:r>
    </w:p>
    <w:p>
      <w:r>
        <w:br w:type="page"/>
      </w:r>
    </w:p>
    <w:p>
      <w:pPr>
        <w:pStyle w:val="Heading1"/>
        <w:spacing w:after="200" w:before="400"/>
      </w:pPr>
      <w:r>
        <w:t xml:space="preserve">14. Records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000"/>
        <w:gridCol w:w="2660"/>
      </w:tblGrid>
      <w:tr>
        <w:tc>
          <w:tcPr>
            <w:tcW w:type="dxa" w:w="2600"/>
            <w:shd w:fill="1F4E79" w:color="1F4E79" w:val="clear"/>
          </w:tcPr>
          <w:p>
            <w:pPr>
              <w:spacing w:after="60"/>
            </w:pPr>
            <w:r>
              <w:rPr>
                <w:b/>
                <w:bCs/>
                <w:color w:val="FFFFFF"/>
                <w:sz w:val="20"/>
                <w:szCs w:val="20"/>
              </w:rPr>
              <w:t xml:space="preserve">Record Type</w:t>
            </w:r>
          </w:p>
        </w:tc>
        <w:tc>
          <w:tcPr>
            <w:tcW w:type="dxa" w:w="2100"/>
            <w:shd w:fill="1F4E79" w:color="1F4E79" w:val="clear"/>
          </w:tcPr>
          <w:p>
            <w:pPr>
              <w:spacing w:after="60"/>
            </w:pPr>
            <w:r>
              <w:rPr>
                <w:b/>
                <w:bCs/>
                <w:color w:val="FFFFFF"/>
                <w:sz w:val="20"/>
                <w:szCs w:val="20"/>
              </w:rPr>
              <w:t xml:space="preserve">Retention Period</w:t>
            </w:r>
          </w:p>
        </w:tc>
        <w:tc>
          <w:tcPr>
            <w:tcW w:type="dxa" w:w="2000"/>
            <w:shd w:fill="1F4E79" w:color="1F4E79" w:val="clear"/>
          </w:tcPr>
          <w:p>
            <w:pPr>
              <w:spacing w:after="60"/>
            </w:pPr>
            <w:r>
              <w:rPr>
                <w:b/>
                <w:bCs/>
                <w:color w:val="FFFFFF"/>
                <w:sz w:val="20"/>
                <w:szCs w:val="20"/>
              </w:rPr>
              <w:t xml:space="preserve">Format</w:t>
            </w:r>
          </w:p>
        </w:tc>
        <w:tc>
          <w:tcPr>
            <w:tcW w:type="dxa" w:w="2660"/>
            <w:shd w:fill="1F4E79" w:color="1F4E79" w:val="clear"/>
          </w:tcPr>
          <w:p>
            <w:pPr>
              <w:spacing w:after="60"/>
            </w:pPr>
            <w:r>
              <w:rPr>
                <w:b/>
                <w:bCs/>
                <w:color w:val="FFFFFF"/>
                <w:sz w:val="20"/>
                <w:szCs w:val="20"/>
              </w:rPr>
              <w:t xml:space="preserve">Disposal Method</w:t>
            </w:r>
          </w:p>
        </w:tc>
      </w:tr>
      <w:tr>
        <w:tc>
          <w:tcPr>
            <w:tcW w:type="dxa" w:w="2600"/>
          </w:tcPr>
          <w:p>
            <w:pPr>
              <w:spacing w:after="60"/>
            </w:pPr>
            <w:r>
              <w:rPr>
                <w:sz w:val="20"/>
                <w:szCs w:val="20"/>
              </w:rPr>
              <w:t xml:space="preserve">Employee personnel files</w:t>
            </w:r>
          </w:p>
        </w:tc>
        <w:tc>
          <w:tcPr>
            <w:tcW w:type="dxa" w:w="2100"/>
          </w:tcPr>
          <w:p>
            <w:pPr>
              <w:spacing w:after="60"/>
            </w:pPr>
            <w:r>
              <w:rPr>
                <w:sz w:val="20"/>
                <w:szCs w:val="20"/>
              </w:rPr>
              <w:t xml:space="preserve">7 years after employment ends</w:t>
            </w:r>
          </w:p>
        </w:tc>
        <w:tc>
          <w:tcPr>
            <w:tcW w:type="dxa" w:w="2000"/>
          </w:tcPr>
          <w:p>
            <w:pPr>
              <w:spacing w:after="60"/>
            </w:pPr>
            <w:r>
              <w:rPr>
                <w:sz w:val="20"/>
                <w:szCs w:val="20"/>
              </w:rPr>
              <w:t xml:space="preserve">Workday (electronic)</w:t>
            </w:r>
          </w:p>
        </w:tc>
        <w:tc>
          <w:tcPr>
            <w:tcW w:type="dxa" w:w="2660"/>
          </w:tcPr>
          <w:p>
            <w:pPr>
              <w:spacing w:after="60"/>
            </w:pPr>
            <w:r>
              <w:rPr>
                <w:sz w:val="20"/>
                <w:szCs w:val="20"/>
              </w:rPr>
              <w:t xml:space="preserve">Secure deletion</w:t>
            </w:r>
          </w:p>
        </w:tc>
      </w:tr>
      <w:tr>
        <w:tc>
          <w:tcPr>
            <w:tcW w:type="dxa" w:w="2600"/>
          </w:tcPr>
          <w:p>
            <w:pPr>
              <w:spacing w:after="60"/>
            </w:pPr>
            <w:r>
              <w:rPr>
                <w:sz w:val="20"/>
                <w:szCs w:val="20"/>
              </w:rPr>
              <w:t xml:space="preserve">Payroll records</w:t>
            </w:r>
          </w:p>
        </w:tc>
        <w:tc>
          <w:tcPr>
            <w:tcW w:type="dxa" w:w="2100"/>
          </w:tcPr>
          <w:p>
            <w:pPr>
              <w:spacing w:after="60"/>
            </w:pPr>
            <w:r>
              <w:rPr>
                <w:sz w:val="20"/>
                <w:szCs w:val="20"/>
              </w:rPr>
              <w:t xml:space="preserve">7 years (US); 6 years (UK/SG); 8 years (DE)</w:t>
            </w:r>
          </w:p>
        </w:tc>
        <w:tc>
          <w:tcPr>
            <w:tcW w:type="dxa" w:w="2000"/>
          </w:tcPr>
          <w:p>
            <w:pPr>
              <w:spacing w:after="60"/>
            </w:pPr>
            <w:r>
              <w:rPr>
                <w:sz w:val="20"/>
                <w:szCs w:val="20"/>
              </w:rPr>
              <w:t xml:space="preserve">Payroll system</w:t>
            </w:r>
          </w:p>
        </w:tc>
        <w:tc>
          <w:tcPr>
            <w:tcW w:type="dxa" w:w="2660"/>
          </w:tcPr>
          <w:p>
            <w:pPr>
              <w:spacing w:after="60"/>
            </w:pPr>
            <w:r>
              <w:rPr>
                <w:sz w:val="20"/>
                <w:szCs w:val="20"/>
              </w:rPr>
              <w:t xml:space="preserve">Secure deletion</w:t>
            </w:r>
          </w:p>
        </w:tc>
      </w:tr>
      <w:tr>
        <w:tc>
          <w:tcPr>
            <w:tcW w:type="dxa" w:w="2600"/>
          </w:tcPr>
          <w:p>
            <w:pPr>
              <w:spacing w:after="60"/>
            </w:pPr>
            <w:r>
              <w:rPr>
                <w:sz w:val="20"/>
                <w:szCs w:val="20"/>
              </w:rPr>
              <w:t xml:space="preserve">Customer contracts</w:t>
            </w:r>
          </w:p>
        </w:tc>
        <w:tc>
          <w:tcPr>
            <w:tcW w:type="dxa" w:w="2100"/>
          </w:tcPr>
          <w:p>
            <w:pPr>
              <w:spacing w:after="60"/>
            </w:pPr>
            <w:r>
              <w:rPr>
                <w:sz w:val="20"/>
                <w:szCs w:val="20"/>
              </w:rPr>
              <w:t xml:space="preserve">7 years after expiry</w:t>
            </w:r>
          </w:p>
        </w:tc>
        <w:tc>
          <w:tcPr>
            <w:tcW w:type="dxa" w:w="2000"/>
          </w:tcPr>
          <w:p>
            <w:pPr>
              <w:spacing w:after="60"/>
            </w:pPr>
            <w:r>
              <w:rPr>
                <w:sz w:val="20"/>
                <w:szCs w:val="20"/>
              </w:rPr>
              <w:t xml:space="preserve">DocuSign + SharePoint</w:t>
            </w:r>
          </w:p>
        </w:tc>
        <w:tc>
          <w:tcPr>
            <w:tcW w:type="dxa" w:w="2660"/>
          </w:tcPr>
          <w:p>
            <w:pPr>
              <w:spacing w:after="60"/>
            </w:pPr>
            <w:r>
              <w:rPr>
                <w:sz w:val="20"/>
                <w:szCs w:val="20"/>
              </w:rPr>
              <w:t xml:space="preserve">Secure deletion after Legal review</w:t>
            </w:r>
          </w:p>
        </w:tc>
      </w:tr>
      <w:tr>
        <w:tc>
          <w:tcPr>
            <w:tcW w:type="dxa" w:w="2600"/>
          </w:tcPr>
          <w:p>
            <w:pPr>
              <w:spacing w:after="60"/>
            </w:pPr>
            <w:r>
              <w:rPr>
                <w:sz w:val="20"/>
                <w:szCs w:val="20"/>
              </w:rPr>
              <w:t xml:space="preserve">Financial records</w:t>
            </w:r>
          </w:p>
        </w:tc>
        <w:tc>
          <w:tcPr>
            <w:tcW w:type="dxa" w:w="2100"/>
          </w:tcPr>
          <w:p>
            <w:pPr>
              <w:spacing w:after="60"/>
            </w:pPr>
            <w:r>
              <w:rPr>
                <w:sz w:val="20"/>
                <w:szCs w:val="20"/>
              </w:rPr>
              <w:t xml:space="preserve">7 years</w:t>
            </w:r>
          </w:p>
        </w:tc>
        <w:tc>
          <w:tcPr>
            <w:tcW w:type="dxa" w:w="2000"/>
          </w:tcPr>
          <w:p>
            <w:pPr>
              <w:spacing w:after="60"/>
            </w:pPr>
            <w:r>
              <w:rPr>
                <w:sz w:val="20"/>
                <w:szCs w:val="20"/>
              </w:rPr>
              <w:t xml:space="preserve">NetSuite</w:t>
            </w:r>
          </w:p>
        </w:tc>
        <w:tc>
          <w:tcPr>
            <w:tcW w:type="dxa" w:w="2660"/>
          </w:tcPr>
          <w:p>
            <w:pPr>
              <w:spacing w:after="60"/>
            </w:pPr>
            <w:r>
              <w:rPr>
                <w:sz w:val="20"/>
                <w:szCs w:val="20"/>
              </w:rPr>
              <w:t xml:space="preserve">Per audit policy</w:t>
            </w:r>
          </w:p>
        </w:tc>
      </w:tr>
      <w:tr>
        <w:tc>
          <w:tcPr>
            <w:tcW w:type="dxa" w:w="2600"/>
          </w:tcPr>
          <w:p>
            <w:pPr>
              <w:spacing w:after="60"/>
            </w:pPr>
            <w:r>
              <w:rPr>
                <w:sz w:val="20"/>
                <w:szCs w:val="20"/>
              </w:rPr>
              <w:t xml:space="preserve">Security incident logs</w:t>
            </w:r>
          </w:p>
        </w:tc>
        <w:tc>
          <w:tcPr>
            <w:tcW w:type="dxa" w:w="2100"/>
          </w:tcPr>
          <w:p>
            <w:pPr>
              <w:spacing w:after="60"/>
            </w:pPr>
            <w:r>
              <w:rPr>
                <w:sz w:val="20"/>
                <w:szCs w:val="20"/>
              </w:rPr>
              <w:t xml:space="preserve">3 years</w:t>
            </w:r>
          </w:p>
        </w:tc>
        <w:tc>
          <w:tcPr>
            <w:tcW w:type="dxa" w:w="2000"/>
          </w:tcPr>
          <w:p>
            <w:pPr>
              <w:spacing w:after="60"/>
            </w:pPr>
            <w:r>
              <w:rPr>
                <w:sz w:val="20"/>
                <w:szCs w:val="20"/>
              </w:rPr>
              <w:t xml:space="preserve">SIEM system</w:t>
            </w:r>
          </w:p>
        </w:tc>
        <w:tc>
          <w:tcPr>
            <w:tcW w:type="dxa" w:w="2660"/>
          </w:tcPr>
          <w:p>
            <w:pPr>
              <w:spacing w:after="60"/>
            </w:pPr>
            <w:r>
              <w:rPr>
                <w:sz w:val="20"/>
                <w:szCs w:val="20"/>
              </w:rPr>
              <w:t xml:space="preserve">Automated archival and deletion</w:t>
            </w:r>
          </w:p>
        </w:tc>
      </w:tr>
      <w:tr>
        <w:tc>
          <w:tcPr>
            <w:tcW w:type="dxa" w:w="2600"/>
          </w:tcPr>
          <w:p>
            <w:pPr>
              <w:spacing w:after="60"/>
            </w:pPr>
            <w:r>
              <w:rPr>
                <w:sz w:val="20"/>
                <w:szCs w:val="20"/>
              </w:rPr>
              <w:t xml:space="preserve">Email communications</w:t>
            </w:r>
          </w:p>
        </w:tc>
        <w:tc>
          <w:tcPr>
            <w:tcW w:type="dxa" w:w="2100"/>
          </w:tcPr>
          <w:p>
            <w:pPr>
              <w:spacing w:after="60"/>
            </w:pPr>
            <w:r>
              <w:rPr>
                <w:sz w:val="20"/>
                <w:szCs w:val="20"/>
              </w:rPr>
              <w:t xml:space="preserve">3 years standard; indefinite under legal hold</w:t>
            </w:r>
          </w:p>
        </w:tc>
        <w:tc>
          <w:tcPr>
            <w:tcW w:type="dxa" w:w="2000"/>
          </w:tcPr>
          <w:p>
            <w:pPr>
              <w:spacing w:after="60"/>
            </w:pPr>
            <w:r>
              <w:rPr>
                <w:sz w:val="20"/>
                <w:szCs w:val="20"/>
              </w:rPr>
              <w:t xml:space="preserve">Exchange Online archival</w:t>
            </w:r>
          </w:p>
        </w:tc>
        <w:tc>
          <w:tcPr>
            <w:tcW w:type="dxa" w:w="2660"/>
          </w:tcPr>
          <w:p>
            <w:pPr>
              <w:spacing w:after="60"/>
            </w:pPr>
            <w:r>
              <w:rPr>
                <w:sz w:val="20"/>
                <w:szCs w:val="20"/>
              </w:rPr>
              <w:t xml:space="preserve">Per retention policy</w:t>
            </w:r>
          </w:p>
        </w:tc>
      </w:tr>
      <w:tr>
        <w:tc>
          <w:tcPr>
            <w:tcW w:type="dxa" w:w="2600"/>
          </w:tcPr>
          <w:p>
            <w:pPr>
              <w:spacing w:after="60"/>
            </w:pPr>
            <w:r>
              <w:rPr>
                <w:sz w:val="20"/>
                <w:szCs w:val="20"/>
              </w:rPr>
              <w:t xml:space="preserve">AI model training logs</w:t>
            </w:r>
          </w:p>
        </w:tc>
        <w:tc>
          <w:tcPr>
            <w:tcW w:type="dxa" w:w="2100"/>
          </w:tcPr>
          <w:p>
            <w:pPr>
              <w:spacing w:after="60"/>
            </w:pPr>
            <w:r>
              <w:rPr>
                <w:sz w:val="20"/>
                <w:szCs w:val="20"/>
              </w:rPr>
              <w:t xml:space="preserve">5 years (regulatory requirement)</w:t>
            </w:r>
          </w:p>
        </w:tc>
        <w:tc>
          <w:tcPr>
            <w:tcW w:type="dxa" w:w="2000"/>
          </w:tcPr>
          <w:p>
            <w:pPr>
              <w:spacing w:after="60"/>
            </w:pPr>
            <w:r>
              <w:rPr>
                <w:sz w:val="20"/>
                <w:szCs w:val="20"/>
              </w:rPr>
              <w:t xml:space="preserve">Data lake</w:t>
            </w:r>
          </w:p>
        </w:tc>
        <w:tc>
          <w:tcPr>
            <w:tcW w:type="dxa" w:w="2660"/>
          </w:tcPr>
          <w:p>
            <w:pPr>
              <w:spacing w:after="60"/>
            </w:pPr>
            <w:r>
              <w:rPr>
                <w:sz w:val="20"/>
                <w:szCs w:val="20"/>
              </w:rPr>
              <w:t xml:space="preserve">Secure deletion with audit trail</w:t>
            </w:r>
          </w:p>
        </w:tc>
      </w:tr>
      <w:tr>
        <w:tc>
          <w:tcPr>
            <w:tcW w:type="dxa" w:w="2600"/>
          </w:tcPr>
          <w:p>
            <w:pPr>
              <w:spacing w:after="60"/>
            </w:pPr>
            <w:r>
              <w:rPr>
                <w:sz w:val="20"/>
                <w:szCs w:val="20"/>
              </w:rPr>
              <w:t xml:space="preserve">Board minutes and resolutions</w:t>
            </w:r>
          </w:p>
        </w:tc>
        <w:tc>
          <w:tcPr>
            <w:tcW w:type="dxa" w:w="2100"/>
          </w:tcPr>
          <w:p>
            <w:pPr>
              <w:spacing w:after="60"/>
            </w:pPr>
            <w:r>
              <w:rPr>
                <w:sz w:val="20"/>
                <w:szCs w:val="20"/>
              </w:rPr>
              <w:t xml:space="preserve">Permanent</w:t>
            </w:r>
          </w:p>
        </w:tc>
        <w:tc>
          <w:tcPr>
            <w:tcW w:type="dxa" w:w="2000"/>
          </w:tcPr>
          <w:p>
            <w:pPr>
              <w:spacing w:after="60"/>
            </w:pPr>
            <w:r>
              <w:rPr>
                <w:sz w:val="20"/>
                <w:szCs w:val="20"/>
              </w:rPr>
              <w:t xml:space="preserve">Physical + electronic</w:t>
            </w:r>
          </w:p>
        </w:tc>
        <w:tc>
          <w:tcPr>
            <w:tcW w:type="dxa" w:w="2660"/>
          </w:tcPr>
          <w:p>
            <w:pPr>
              <w:spacing w:after="60"/>
            </w:pPr>
            <w:r>
              <w:rPr>
                <w:sz w:val="20"/>
                <w:szCs w:val="20"/>
              </w:rPr>
              <w:t xml:space="preserve">Never deleted</w:t>
            </w:r>
          </w:p>
        </w:tc>
      </w:tr>
    </w:tbl>
    <w:p>
      <w:pPr>
        <w:spacing w:after="80"/>
      </w:pPr>
      <w:r>
        <w:t xml:space="preserve"/>
      </w:r>
    </w:p>
    <w:p>
      <w:r>
        <w:br w:type="page"/>
      </w:r>
    </w:p>
    <w:p>
      <w:pPr>
        <w:pStyle w:val="Heading1"/>
        <w:spacing w:after="200" w:before="400"/>
      </w:pPr>
      <w:r>
        <w:t xml:space="preserve">15. GDPR &amp; Global Privacy Compliance</w:t>
      </w:r>
    </w:p>
    <w:p>
      <w:pPr>
        <w:pStyle w:val="Heading2"/>
        <w:spacing w:after="150" w:before="300"/>
      </w:pPr>
      <w:r>
        <w:t xml:space="preserve">15.1 GDPR Applicability</w:t>
      </w:r>
    </w:p>
    <w:p>
      <w:pPr>
        <w:spacing w:after="120" w:line="276"/>
      </w:pPr>
      <w:r>
        <w:rPr>
          <w:sz w:val="22"/>
          <w:szCs w:val="22"/>
        </w:rPr>
        <w:t xml:space="preserve">The General Data Protection Regulation (GDPR) applies to all processing of personal data of individuals located in the European Union and, by extension under UK GDPR, the United Kingdom. OptiAgent Technologies is a Data Processor for customer data and a Data Controller for employee data.</w:t>
      </w:r>
    </w:p>
    <w:p>
      <w:pPr>
        <w:pStyle w:val="Heading2"/>
        <w:spacing w:after="150" w:before="300"/>
      </w:pPr>
      <w:r>
        <w:t xml:space="preserve">15.2 Lawful Bases for Processing Employee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Processing Activity</w:t>
            </w:r>
          </w:p>
        </w:tc>
        <w:tc>
          <w:tcPr>
            <w:tcW w:type="dxa" w:w="3120"/>
            <w:shd w:fill="1F4E79" w:color="1F4E79" w:val="clear"/>
          </w:tcPr>
          <w:p>
            <w:pPr>
              <w:spacing w:after="60"/>
            </w:pPr>
            <w:r>
              <w:rPr>
                <w:b/>
                <w:bCs/>
                <w:color w:val="FFFFFF"/>
                <w:sz w:val="20"/>
                <w:szCs w:val="20"/>
              </w:rPr>
              <w:t xml:space="preserve">Lawful Basis</w:t>
            </w:r>
          </w:p>
        </w:tc>
        <w:tc>
          <w:tcPr>
            <w:tcW w:type="dxa" w:w="3120"/>
            <w:shd w:fill="1F4E79" w:color="1F4E79" w:val="clear"/>
          </w:tcPr>
          <w:p>
            <w:pPr>
              <w:spacing w:after="60"/>
            </w:pPr>
            <w:r>
              <w:rPr>
                <w:b/>
                <w:bCs/>
                <w:color w:val="FFFFFF"/>
                <w:sz w:val="20"/>
                <w:szCs w:val="20"/>
              </w:rPr>
              <w:t xml:space="preserve">Retention</w:t>
            </w:r>
          </w:p>
        </w:tc>
      </w:tr>
      <w:tr>
        <w:tc>
          <w:tcPr>
            <w:tcW w:type="dxa" w:w="3120"/>
          </w:tcPr>
          <w:p>
            <w:pPr>
              <w:spacing w:after="60"/>
            </w:pPr>
            <w:r>
              <w:rPr>
                <w:sz w:val="20"/>
                <w:szCs w:val="20"/>
              </w:rPr>
              <w:t xml:space="preserve">Employment contract administration</w:t>
            </w:r>
          </w:p>
        </w:tc>
        <w:tc>
          <w:tcPr>
            <w:tcW w:type="dxa" w:w="3120"/>
          </w:tcPr>
          <w:p>
            <w:pPr>
              <w:spacing w:after="60"/>
            </w:pPr>
            <w:r>
              <w:rPr>
                <w:sz w:val="20"/>
                <w:szCs w:val="20"/>
              </w:rPr>
              <w:t xml:space="preserve">Contract performance</w:t>
            </w:r>
          </w:p>
        </w:tc>
        <w:tc>
          <w:tcPr>
            <w:tcW w:type="dxa" w:w="3120"/>
          </w:tcPr>
          <w:p>
            <w:pPr>
              <w:spacing w:after="60"/>
            </w:pPr>
            <w:r>
              <w:rPr>
                <w:sz w:val="20"/>
                <w:szCs w:val="20"/>
              </w:rPr>
              <w:t xml:space="preserve">Duration of employment + 7 years</w:t>
            </w:r>
          </w:p>
        </w:tc>
      </w:tr>
      <w:tr>
        <w:tc>
          <w:tcPr>
            <w:tcW w:type="dxa" w:w="3120"/>
          </w:tcPr>
          <w:p>
            <w:pPr>
              <w:spacing w:after="60"/>
            </w:pPr>
            <w:r>
              <w:rPr>
                <w:sz w:val="20"/>
                <w:szCs w:val="20"/>
              </w:rPr>
              <w:t xml:space="preserve">Payroll and benefits administration</w:t>
            </w:r>
          </w:p>
        </w:tc>
        <w:tc>
          <w:tcPr>
            <w:tcW w:type="dxa" w:w="3120"/>
          </w:tcPr>
          <w:p>
            <w:pPr>
              <w:spacing w:after="60"/>
            </w:pPr>
            <w:r>
              <w:rPr>
                <w:sz w:val="20"/>
                <w:szCs w:val="20"/>
              </w:rPr>
              <w:t xml:space="preserve">Legal obligation / Contract</w:t>
            </w:r>
          </w:p>
        </w:tc>
        <w:tc>
          <w:tcPr>
            <w:tcW w:type="dxa" w:w="3120"/>
          </w:tcPr>
          <w:p>
            <w:pPr>
              <w:spacing w:after="60"/>
            </w:pPr>
            <w:r>
              <w:rPr>
                <w:sz w:val="20"/>
                <w:szCs w:val="20"/>
              </w:rPr>
              <w:t xml:space="preserve">As per retention schedule</w:t>
            </w:r>
          </w:p>
        </w:tc>
      </w:tr>
      <w:tr>
        <w:tc>
          <w:tcPr>
            <w:tcW w:type="dxa" w:w="3120"/>
          </w:tcPr>
          <w:p>
            <w:pPr>
              <w:spacing w:after="60"/>
            </w:pPr>
            <w:r>
              <w:rPr>
                <w:sz w:val="20"/>
                <w:szCs w:val="20"/>
              </w:rPr>
              <w:t xml:space="preserve">Performance management</w:t>
            </w:r>
          </w:p>
        </w:tc>
        <w:tc>
          <w:tcPr>
            <w:tcW w:type="dxa" w:w="3120"/>
          </w:tcPr>
          <w:p>
            <w:pPr>
              <w:spacing w:after="60"/>
            </w:pPr>
            <w:r>
              <w:rPr>
                <w:sz w:val="20"/>
                <w:szCs w:val="20"/>
              </w:rPr>
              <w:t xml:space="preserve">Legitimate interest</w:t>
            </w:r>
          </w:p>
        </w:tc>
        <w:tc>
          <w:tcPr>
            <w:tcW w:type="dxa" w:w="3120"/>
          </w:tcPr>
          <w:p>
            <w:pPr>
              <w:spacing w:after="60"/>
            </w:pPr>
            <w:r>
              <w:rPr>
                <w:sz w:val="20"/>
                <w:szCs w:val="20"/>
              </w:rPr>
              <w:t xml:space="preserve">Duration of employment + 3 years</w:t>
            </w:r>
          </w:p>
        </w:tc>
      </w:tr>
      <w:tr>
        <w:tc>
          <w:tcPr>
            <w:tcW w:type="dxa" w:w="3120"/>
          </w:tcPr>
          <w:p>
            <w:pPr>
              <w:spacing w:after="60"/>
            </w:pPr>
            <w:r>
              <w:rPr>
                <w:sz w:val="20"/>
                <w:szCs w:val="20"/>
              </w:rPr>
              <w:t xml:space="preserve">Security monitoring (CCTV, access logs)</w:t>
            </w:r>
          </w:p>
        </w:tc>
        <w:tc>
          <w:tcPr>
            <w:tcW w:type="dxa" w:w="3120"/>
          </w:tcPr>
          <w:p>
            <w:pPr>
              <w:spacing w:after="60"/>
            </w:pPr>
            <w:r>
              <w:rPr>
                <w:sz w:val="20"/>
                <w:szCs w:val="20"/>
              </w:rPr>
              <w:t xml:space="preserve">Legitimate interest</w:t>
            </w:r>
          </w:p>
        </w:tc>
        <w:tc>
          <w:tcPr>
            <w:tcW w:type="dxa" w:w="3120"/>
          </w:tcPr>
          <w:p>
            <w:pPr>
              <w:spacing w:after="60"/>
            </w:pPr>
            <w:r>
              <w:rPr>
                <w:sz w:val="20"/>
                <w:szCs w:val="20"/>
              </w:rPr>
              <w:t xml:space="preserve">30 days (CCTV); 1 year (access logs)</w:t>
            </w:r>
          </w:p>
        </w:tc>
      </w:tr>
      <w:tr>
        <w:tc>
          <w:tcPr>
            <w:tcW w:type="dxa" w:w="3120"/>
          </w:tcPr>
          <w:p>
            <w:pPr>
              <w:spacing w:after="60"/>
            </w:pPr>
            <w:r>
              <w:rPr>
                <w:sz w:val="20"/>
                <w:szCs w:val="20"/>
              </w:rPr>
              <w:t xml:space="preserve">Health data for sick leave/accommodation</w:t>
            </w:r>
          </w:p>
        </w:tc>
        <w:tc>
          <w:tcPr>
            <w:tcW w:type="dxa" w:w="3120"/>
          </w:tcPr>
          <w:p>
            <w:pPr>
              <w:spacing w:after="60"/>
            </w:pPr>
            <w:r>
              <w:rPr>
                <w:sz w:val="20"/>
                <w:szCs w:val="20"/>
              </w:rPr>
              <w:t xml:space="preserve">Employment law obligation</w:t>
            </w:r>
          </w:p>
        </w:tc>
        <w:tc>
          <w:tcPr>
            <w:tcW w:type="dxa" w:w="3120"/>
          </w:tcPr>
          <w:p>
            <w:pPr>
              <w:spacing w:after="60"/>
            </w:pPr>
            <w:r>
              <w:rPr>
                <w:sz w:val="20"/>
                <w:szCs w:val="20"/>
              </w:rPr>
              <w:t xml:space="preserve">Duration of employment + 3 years</w:t>
            </w:r>
          </w:p>
        </w:tc>
      </w:tr>
    </w:tbl>
    <w:p>
      <w:pPr>
        <w:spacing w:after="80"/>
      </w:pPr>
      <w:r>
        <w:t xml:space="preserve"/>
      </w:r>
    </w:p>
    <w:p>
      <w:pPr>
        <w:pStyle w:val="Heading2"/>
        <w:spacing w:after="150" w:before="300"/>
      </w:pPr>
      <w:r>
        <w:t xml:space="preserve">15.3 Data Subject Rights</w:t>
      </w:r>
    </w:p>
    <w:p>
      <w:pPr>
        <w:spacing w:after="120" w:line="276"/>
      </w:pPr>
      <w:r>
        <w:rPr>
          <w:sz w:val="22"/>
          <w:szCs w:val="22"/>
        </w:rPr>
        <w:t xml:space="preserve">Individuals have the right to access, rectify, erase, restrict, port, and object to the processing of their personal data. Requests must be submitted to privacy@optiagent.com. OptiAgent will respond within 30 calendar days.</w:t>
      </w:r>
    </w:p>
    <w:p>
      <w:pPr>
        <w:pStyle w:val="Heading2"/>
        <w:spacing w:after="150" w:before="300"/>
      </w:pPr>
      <w:r>
        <w:t xml:space="preserve">15.4 HIPAA Note</w:t>
      </w:r>
    </w:p>
    <w:p>
      <w:pPr>
        <w:spacing w:after="120" w:line="276"/>
      </w:pPr>
      <w:r>
        <w:rPr>
          <w:sz w:val="22"/>
          <w:szCs w:val="22"/>
        </w:rPr>
        <w:t xml:space="preserve">Where OptiAgent processes Protected Health Information (PHI) on behalf of US healthcare customers as a Business Associate, the relevant Business Associate Agreement (BAA) governs data handling. Employees accessing PHI must complete HIPAA awareness training. Contact legal.compliance@optiagent.com for HIPAA-related guidance.</w:t>
      </w:r>
    </w:p>
    <w:p>
      <w:r>
        <w:br w:type="page"/>
      </w:r>
    </w:p>
    <w:p>
      <w:pPr>
        <w:pStyle w:val="Heading1"/>
        <w:spacing w:after="200" w:before="400"/>
      </w:pPr>
      <w:r>
        <w:t xml:space="preserve">16. Compliance, Audit &amp; Policy Enforcement</w:t>
      </w:r>
    </w:p>
    <w:p>
      <w:pPr>
        <w:pStyle w:val="Heading2"/>
        <w:spacing w:after="150" w:before="300"/>
      </w:pPr>
      <w:r>
        <w:t xml:space="preserve">16.1 Compliance Program</w:t>
      </w:r>
    </w:p>
    <w:p>
      <w:pPr>
        <w:spacing w:after="120" w:line="276"/>
      </w:pPr>
      <w:r>
        <w:rPr>
          <w:sz w:val="22"/>
          <w:szCs w:val="22"/>
        </w:rPr>
        <w:t xml:space="preserve">OptiAgent Technologies maintains a formal compliance program led by the Chief Compliance Officer (CCO), who reports to the General Counsel. The compliance program includes:</w:t>
      </w:r>
    </w:p>
    <w:p>
      <w:pPr>
        <w:pStyle w:val="ListParagraph"/>
        <w:numPr>
          <w:ilvl w:val="0"/>
          <w:numId w:val="1"/>
        </w:numPr>
        <w:spacing w:after="80"/>
      </w:pPr>
      <w:r>
        <w:rPr>
          <w:sz w:val="22"/>
          <w:szCs w:val="22"/>
        </w:rPr>
        <w:t xml:space="preserve">Annual risk assessment identifying top compliance risks by business area</w:t>
      </w:r>
    </w:p>
    <w:p>
      <w:pPr>
        <w:pStyle w:val="ListParagraph"/>
        <w:numPr>
          <w:ilvl w:val="0"/>
          <w:numId w:val="1"/>
        </w:numPr>
        <w:spacing w:after="80"/>
      </w:pPr>
      <w:r>
        <w:rPr>
          <w:sz w:val="22"/>
          <w:szCs w:val="22"/>
        </w:rPr>
        <w:t xml:space="preserve">Policy maintenance and annual review cycle (all policies reviewed within 12 months of prior review)</w:t>
      </w:r>
    </w:p>
    <w:p>
      <w:pPr>
        <w:pStyle w:val="ListParagraph"/>
        <w:numPr>
          <w:ilvl w:val="0"/>
          <w:numId w:val="1"/>
        </w:numPr>
        <w:spacing w:after="80"/>
      </w:pPr>
      <w:r>
        <w:rPr>
          <w:sz w:val="22"/>
          <w:szCs w:val="22"/>
        </w:rPr>
        <w:t xml:space="preserve">Mandatory compliance training for all employees (annual completion deadline: December 31)</w:t>
      </w:r>
    </w:p>
    <w:p>
      <w:pPr>
        <w:pStyle w:val="ListParagraph"/>
        <w:numPr>
          <w:ilvl w:val="0"/>
          <w:numId w:val="1"/>
        </w:numPr>
        <w:spacing w:after="80"/>
      </w:pPr>
      <w:r>
        <w:rPr>
          <w:sz w:val="22"/>
          <w:szCs w:val="22"/>
        </w:rPr>
        <w:t xml:space="preserve">Third-party vendor compliance assessments for all vendors with access to Restricted data</w:t>
      </w:r>
    </w:p>
    <w:p>
      <w:pPr>
        <w:pStyle w:val="ListParagraph"/>
        <w:numPr>
          <w:ilvl w:val="0"/>
          <w:numId w:val="1"/>
        </w:numPr>
        <w:spacing w:after="80"/>
      </w:pPr>
      <w:r>
        <w:rPr>
          <w:sz w:val="22"/>
          <w:szCs w:val="22"/>
        </w:rPr>
        <w:t xml:space="preserve">Internal audit conducted by the Internal Audit team (operationally independent)</w:t>
      </w:r>
    </w:p>
    <w:p>
      <w:pPr>
        <w:pStyle w:val="ListParagraph"/>
        <w:numPr>
          <w:ilvl w:val="0"/>
          <w:numId w:val="1"/>
        </w:numPr>
        <w:spacing w:after="80"/>
      </w:pPr>
      <w:r>
        <w:rPr>
          <w:sz w:val="22"/>
          <w:szCs w:val="22"/>
        </w:rPr>
        <w:t xml:space="preserve">External audit by qualified third parties for ISO 27001, SOC 2, and financial audit</w:t>
      </w:r>
    </w:p>
    <w:p>
      <w:pPr>
        <w:pStyle w:val="Heading2"/>
        <w:spacing w:after="150" w:before="300"/>
      </w:pPr>
      <w:r>
        <w:t xml:space="preserve">16.2 Policy Enforcement</w:t>
      </w:r>
    </w:p>
    <w:p>
      <w:pPr>
        <w:spacing w:after="120" w:line="276"/>
      </w:pPr>
      <w:r>
        <w:rPr>
          <w:sz w:val="22"/>
          <w:szCs w:val="22"/>
        </w:rPr>
        <w:t xml:space="preserve">Employees who violate the policies in this document are subject to disciplinary action consistent with the severity of the violation. Minor, inadvertent violations may result in retraining. Repeated or severe violations — particularly those involving data breaches, fraud, or deliberate circumvention of security controls — may result in immediate termination and, where applicable, criminal referral.</w:t>
      </w:r>
    </w:p>
    <w:p>
      <w:pPr>
        <w:pStyle w:val="Heading2"/>
        <w:spacing w:after="150" w:before="300"/>
      </w:pPr>
      <w:r>
        <w:t xml:space="preserve">16.3 Policy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color="1F4E79" w:val="clear"/>
          </w:tcPr>
          <w:p>
            <w:pPr>
              <w:spacing w:after="60"/>
            </w:pPr>
            <w:r>
              <w:rPr>
                <w:b/>
                <w:bCs/>
                <w:color w:val="FFFFFF"/>
                <w:sz w:val="20"/>
                <w:szCs w:val="20"/>
              </w:rPr>
              <w:t xml:space="preserve">Policy Section</w:t>
            </w:r>
          </w:p>
        </w:tc>
        <w:tc>
          <w:tcPr>
            <w:tcW w:type="dxa" w:w="3120"/>
            <w:shd w:fill="1F4E79" w:color="1F4E79" w:val="clear"/>
          </w:tcPr>
          <w:p>
            <w:pPr>
              <w:spacing w:after="60"/>
            </w:pPr>
            <w:r>
              <w:rPr>
                <w:b/>
                <w:bCs/>
                <w:color w:val="FFFFFF"/>
                <w:sz w:val="20"/>
                <w:szCs w:val="20"/>
              </w:rPr>
              <w:t xml:space="preserve">Review Frequency</w:t>
            </w:r>
          </w:p>
        </w:tc>
        <w:tc>
          <w:tcPr>
            <w:tcW w:type="dxa" w:w="3120"/>
            <w:shd w:fill="1F4E79" w:color="1F4E79" w:val="clear"/>
          </w:tcPr>
          <w:p>
            <w:pPr>
              <w:spacing w:after="60"/>
            </w:pPr>
            <w:r>
              <w:rPr>
                <w:b/>
                <w:bCs/>
                <w:color w:val="FFFFFF"/>
                <w:sz w:val="20"/>
                <w:szCs w:val="20"/>
              </w:rPr>
              <w:t xml:space="preserve">Owner</w:t>
            </w:r>
          </w:p>
        </w:tc>
      </w:tr>
      <w:tr>
        <w:tc>
          <w:tcPr>
            <w:tcW w:type="dxa" w:w="3120"/>
          </w:tcPr>
          <w:p>
            <w:pPr>
              <w:spacing w:after="60"/>
            </w:pPr>
            <w:r>
              <w:rPr>
                <w:sz w:val="20"/>
                <w:szCs w:val="20"/>
              </w:rPr>
              <w:t xml:space="preserve">Acceptable Use Policy</w:t>
            </w:r>
          </w:p>
        </w:tc>
        <w:tc>
          <w:tcPr>
            <w:tcW w:type="dxa" w:w="3120"/>
          </w:tcPr>
          <w:p>
            <w:pPr>
              <w:spacing w:after="60"/>
            </w:pPr>
            <w:r>
              <w:rPr>
                <w:sz w:val="20"/>
                <w:szCs w:val="20"/>
              </w:rPr>
              <w:t xml:space="preserve">Annual</w:t>
            </w:r>
          </w:p>
        </w:tc>
        <w:tc>
          <w:tcPr>
            <w:tcW w:type="dxa" w:w="3120"/>
          </w:tcPr>
          <w:p>
            <w:pPr>
              <w:spacing w:after="60"/>
            </w:pPr>
            <w:r>
              <w:rPr>
                <w:sz w:val="20"/>
                <w:szCs w:val="20"/>
              </w:rPr>
              <w:t xml:space="preserve">CISO</w:t>
            </w:r>
          </w:p>
        </w:tc>
      </w:tr>
      <w:tr>
        <w:tc>
          <w:tcPr>
            <w:tcW w:type="dxa" w:w="3120"/>
          </w:tcPr>
          <w:p>
            <w:pPr>
              <w:spacing w:after="60"/>
            </w:pPr>
            <w:r>
              <w:rPr>
                <w:sz w:val="20"/>
                <w:szCs w:val="20"/>
              </w:rPr>
              <w:t xml:space="preserve">Information Security Policy</w:t>
            </w:r>
          </w:p>
        </w:tc>
        <w:tc>
          <w:tcPr>
            <w:tcW w:type="dxa" w:w="3120"/>
          </w:tcPr>
          <w:p>
            <w:pPr>
              <w:spacing w:after="60"/>
            </w:pPr>
            <w:r>
              <w:rPr>
                <w:sz w:val="20"/>
                <w:szCs w:val="20"/>
              </w:rPr>
              <w:t xml:space="preserve">Annual + on major incident</w:t>
            </w:r>
          </w:p>
        </w:tc>
        <w:tc>
          <w:tcPr>
            <w:tcW w:type="dxa" w:w="3120"/>
          </w:tcPr>
          <w:p>
            <w:pPr>
              <w:spacing w:after="60"/>
            </w:pPr>
            <w:r>
              <w:rPr>
                <w:sz w:val="20"/>
                <w:szCs w:val="20"/>
              </w:rPr>
              <w:t xml:space="preserve">CISO</w:t>
            </w:r>
          </w:p>
        </w:tc>
      </w:tr>
      <w:tr>
        <w:tc>
          <w:tcPr>
            <w:tcW w:type="dxa" w:w="3120"/>
          </w:tcPr>
          <w:p>
            <w:pPr>
              <w:spacing w:after="60"/>
            </w:pPr>
            <w:r>
              <w:rPr>
                <w:sz w:val="20"/>
                <w:szCs w:val="20"/>
              </w:rPr>
              <w:t xml:space="preserve">Password &amp; Authentication</w:t>
            </w:r>
          </w:p>
        </w:tc>
        <w:tc>
          <w:tcPr>
            <w:tcW w:type="dxa" w:w="3120"/>
          </w:tcPr>
          <w:p>
            <w:pPr>
              <w:spacing w:after="60"/>
            </w:pPr>
            <w:r>
              <w:rPr>
                <w:sz w:val="20"/>
                <w:szCs w:val="20"/>
              </w:rPr>
              <w:t xml:space="preserve">Annual + on NIST guideline change</w:t>
            </w:r>
          </w:p>
        </w:tc>
        <w:tc>
          <w:tcPr>
            <w:tcW w:type="dxa" w:w="3120"/>
          </w:tcPr>
          <w:p>
            <w:pPr>
              <w:spacing w:after="60"/>
            </w:pPr>
            <w:r>
              <w:rPr>
                <w:sz w:val="20"/>
                <w:szCs w:val="20"/>
              </w:rPr>
              <w:t xml:space="preserve">IT Security Manager</w:t>
            </w:r>
          </w:p>
        </w:tc>
      </w:tr>
      <w:tr>
        <w:tc>
          <w:tcPr>
            <w:tcW w:type="dxa" w:w="3120"/>
          </w:tcPr>
          <w:p>
            <w:pPr>
              <w:spacing w:after="60"/>
            </w:pPr>
            <w:r>
              <w:rPr>
                <w:sz w:val="20"/>
                <w:szCs w:val="20"/>
              </w:rPr>
              <w:t xml:space="preserve">BYOD Policy</w:t>
            </w:r>
          </w:p>
        </w:tc>
        <w:tc>
          <w:tcPr>
            <w:tcW w:type="dxa" w:w="3120"/>
          </w:tcPr>
          <w:p>
            <w:pPr>
              <w:spacing w:after="60"/>
            </w:pPr>
            <w:r>
              <w:rPr>
                <w:sz w:val="20"/>
                <w:szCs w:val="20"/>
              </w:rPr>
              <w:t xml:space="preserve">Annual</w:t>
            </w:r>
          </w:p>
        </w:tc>
        <w:tc>
          <w:tcPr>
            <w:tcW w:type="dxa" w:w="3120"/>
          </w:tcPr>
          <w:p>
            <w:pPr>
              <w:spacing w:after="60"/>
            </w:pPr>
            <w:r>
              <w:rPr>
                <w:sz w:val="20"/>
                <w:szCs w:val="20"/>
              </w:rPr>
              <w:t xml:space="preserve">IT Security Manager</w:t>
            </w:r>
          </w:p>
        </w:tc>
      </w:tr>
      <w:tr>
        <w:tc>
          <w:tcPr>
            <w:tcW w:type="dxa" w:w="3120"/>
          </w:tcPr>
          <w:p>
            <w:pPr>
              <w:spacing w:after="60"/>
            </w:pPr>
            <w:r>
              <w:rPr>
                <w:sz w:val="20"/>
                <w:szCs w:val="20"/>
              </w:rPr>
              <w:t xml:space="preserve">Data Classification</w:t>
            </w:r>
          </w:p>
        </w:tc>
        <w:tc>
          <w:tcPr>
            <w:tcW w:type="dxa" w:w="3120"/>
          </w:tcPr>
          <w:p>
            <w:pPr>
              <w:spacing w:after="60"/>
            </w:pPr>
            <w:r>
              <w:rPr>
                <w:sz w:val="20"/>
                <w:szCs w:val="20"/>
              </w:rPr>
              <w:t xml:space="preserve">Annual</w:t>
            </w:r>
          </w:p>
        </w:tc>
        <w:tc>
          <w:tcPr>
            <w:tcW w:type="dxa" w:w="3120"/>
          </w:tcPr>
          <w:p>
            <w:pPr>
              <w:spacing w:after="60"/>
            </w:pPr>
            <w:r>
              <w:rPr>
                <w:sz w:val="20"/>
                <w:szCs w:val="20"/>
              </w:rPr>
              <w:t xml:space="preserve">Chief Privacy Officer</w:t>
            </w:r>
          </w:p>
        </w:tc>
      </w:tr>
      <w:tr>
        <w:tc>
          <w:tcPr>
            <w:tcW w:type="dxa" w:w="3120"/>
          </w:tcPr>
          <w:p>
            <w:pPr>
              <w:spacing w:after="60"/>
            </w:pPr>
            <w:r>
              <w:rPr>
                <w:sz w:val="20"/>
                <w:szCs w:val="20"/>
              </w:rPr>
              <w:t xml:space="preserve">AI Usage Policy</w:t>
            </w:r>
          </w:p>
        </w:tc>
        <w:tc>
          <w:tcPr>
            <w:tcW w:type="dxa" w:w="3120"/>
          </w:tcPr>
          <w:p>
            <w:pPr>
              <w:spacing w:after="60"/>
            </w:pPr>
            <w:r>
              <w:rPr>
                <w:sz w:val="20"/>
                <w:szCs w:val="20"/>
              </w:rPr>
              <w:t xml:space="preserve">Semi-annual (rapidly evolving area)</w:t>
            </w:r>
          </w:p>
        </w:tc>
        <w:tc>
          <w:tcPr>
            <w:tcW w:type="dxa" w:w="3120"/>
          </w:tcPr>
          <w:p>
            <w:pPr>
              <w:spacing w:after="60"/>
            </w:pPr>
            <w:r>
              <w:rPr>
                <w:sz w:val="20"/>
                <w:szCs w:val="20"/>
              </w:rPr>
              <w:t xml:space="preserve">CISO + Chief AI Officer</w:t>
            </w:r>
          </w:p>
        </w:tc>
      </w:tr>
      <w:tr>
        <w:tc>
          <w:tcPr>
            <w:tcW w:type="dxa" w:w="3120"/>
          </w:tcPr>
          <w:p>
            <w:pPr>
              <w:spacing w:after="60"/>
            </w:pPr>
            <w:r>
              <w:rPr>
                <w:sz w:val="20"/>
                <w:szCs w:val="20"/>
              </w:rPr>
              <w:t xml:space="preserve">GDPR Compliance</w:t>
            </w:r>
          </w:p>
        </w:tc>
        <w:tc>
          <w:tcPr>
            <w:tcW w:type="dxa" w:w="3120"/>
          </w:tcPr>
          <w:p>
            <w:pPr>
              <w:spacing w:after="60"/>
            </w:pPr>
            <w:r>
              <w:rPr>
                <w:sz w:val="20"/>
                <w:szCs w:val="20"/>
              </w:rPr>
              <w:t xml:space="preserve">Annual + on regulatory change</w:t>
            </w:r>
          </w:p>
        </w:tc>
        <w:tc>
          <w:tcPr>
            <w:tcW w:type="dxa" w:w="3120"/>
          </w:tcPr>
          <w:p>
            <w:pPr>
              <w:spacing w:after="60"/>
            </w:pPr>
            <w:r>
              <w:rPr>
                <w:sz w:val="20"/>
                <w:szCs w:val="20"/>
              </w:rPr>
              <w:t xml:space="preserve">Chief Privacy Officer</w:t>
            </w:r>
          </w:p>
        </w:tc>
      </w:tr>
      <w:tr>
        <w:tc>
          <w:tcPr>
            <w:tcW w:type="dxa" w:w="3120"/>
          </w:tcPr>
          <w:p>
            <w:pPr>
              <w:spacing w:after="60"/>
            </w:pPr>
            <w:r>
              <w:rPr>
                <w:sz w:val="20"/>
                <w:szCs w:val="20"/>
              </w:rPr>
              <w:t xml:space="preserve">Records Retention</w:t>
            </w:r>
          </w:p>
        </w:tc>
        <w:tc>
          <w:tcPr>
            <w:tcW w:type="dxa" w:w="3120"/>
          </w:tcPr>
          <w:p>
            <w:pPr>
              <w:spacing w:after="60"/>
            </w:pPr>
            <w:r>
              <w:rPr>
                <w:sz w:val="20"/>
                <w:szCs w:val="20"/>
              </w:rPr>
              <w:t xml:space="preserve">Annual + on legal requirement change</w:t>
            </w:r>
          </w:p>
        </w:tc>
        <w:tc>
          <w:tcPr>
            <w:tcW w:type="dxa" w:w="3120"/>
          </w:tcPr>
          <w:p>
            <w:pPr>
              <w:spacing w:after="60"/>
            </w:pPr>
            <w:r>
              <w:rPr>
                <w:sz w:val="20"/>
                <w:szCs w:val="20"/>
              </w:rPr>
              <w:t xml:space="preserve">General Counsel</w:t>
            </w:r>
          </w:p>
        </w:tc>
      </w:tr>
    </w:tbl>
    <w:p>
      <w:pPr>
        <w:spacing w:after="80"/>
      </w:pPr>
      <w:r>
        <w:t xml:space="preserve"/>
      </w:r>
    </w:p>
    <w:p>
      <w:pPr>
        <w:spacing w:after="120" w:line="276"/>
      </w:pPr>
      <w:r>
        <w:rPr>
          <w:sz w:val="22"/>
          <w:szCs w:val="22"/>
        </w:rPr>
        <w:t xml:space="preserve">This document was approved by:</w:t>
      </w:r>
    </w:p>
    <w:p>
      <w:pPr>
        <w:spacing w:after="120" w:line="276"/>
      </w:pPr>
      <w:r>
        <w:rPr>
          <w:sz w:val="22"/>
          <w:szCs w:val="22"/>
        </w:rPr>
        <w:t xml:space="preserve">Chief Information Security Officer: Raj Anand</w:t>
      </w:r>
    </w:p>
    <w:p>
      <w:pPr>
        <w:spacing w:after="120" w:line="276"/>
      </w:pPr>
      <w:r>
        <w:rPr>
          <w:sz w:val="22"/>
          <w:szCs w:val="22"/>
        </w:rPr>
        <w:t xml:space="preserve">General Counsel: Marcus Webb</w:t>
      </w:r>
    </w:p>
    <w:p>
      <w:pPr>
        <w:spacing w:after="120" w:line="276"/>
      </w:pPr>
      <w:r>
        <w:rPr>
          <w:sz w:val="22"/>
          <w:szCs w:val="22"/>
        </w:rPr>
        <w:t xml:space="preserve">Chief People Officer: Priya Sharma</w:t>
      </w:r>
    </w:p>
    <w:p>
      <w:pPr>
        <w:spacing w:after="120" w:line="276"/>
      </w:pPr>
      <w:r>
        <w:rPr>
          <w:sz w:val="22"/>
          <w:szCs w:val="22"/>
        </w:rPr>
        <w:t xml:space="preserve">Effective Date: January 1, 2025 | Document ID: OAT-CP-001 | Version: 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2"/>
      <w:szCs w:val="32"/>
    </w:rPr>
  </w:style>
  <w:style w:type="paragraph" w:styleId="Heading2">
    <w:name w:val="Heading 2"/>
    <w:basedOn w:val="Normal"/>
    <w:next w:val="Normal"/>
    <w:qFormat/>
    <w:pPr>
      <w:spacing w:after="150" w:before="300"/>
    </w:pPr>
    <w:rPr>
      <w:b/>
      <w:bCs/>
      <w:color w:val="2E75B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Policy</dc:title>
  <dc:creator>OptiAgent Technologies Legal &amp; Compliance</dc:creator>
  <cp:lastModifiedBy>Un-named</cp:lastModifiedBy>
  <cp:revision>1</cp:revision>
  <dcterms:created xsi:type="dcterms:W3CDTF">2026-07-10T04:37:06.986Z</dcterms:created>
  <dcterms:modified xsi:type="dcterms:W3CDTF">2026-07-10T04:37:07.001Z</dcterms:modified>
</cp:coreProperties>
</file>

<file path=docProps/custom.xml><?xml version="1.0" encoding="utf-8"?>
<Properties xmlns="http://schemas.openxmlformats.org/officeDocument/2006/custom-properties" xmlns:vt="http://schemas.openxmlformats.org/officeDocument/2006/docPropsVTypes"/>
</file>