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4E79"/>
          <w:sz w:val="56"/>
          <w:szCs w:val="56"/>
        </w:rPr>
        <w:t xml:space="preserve">OPTIAGENT TECHNOLOGIES</w:t>
      </w:r>
    </w:p>
    <w:p>
      <w:pPr>
        <w:spacing w:after="400"/>
        <w:jc w:val="center"/>
      </w:pPr>
      <w:r>
        <w:rPr>
          <w:b/>
          <w:bCs/>
          <w:color w:val="2E75B6"/>
          <w:sz w:val="40"/>
          <w:szCs w:val="40"/>
        </w:rPr>
        <w:t xml:space="preserve">EMPLOYEE HANDBOOK</w:t>
      </w:r>
    </w:p>
    <w:p>
      <w:pPr>
        <w:spacing w:after="200"/>
        <w:jc w:val="center"/>
      </w:pPr>
      <w:r>
        <w:rPr>
          <w:color w:val="666666"/>
          <w:sz w:val="24"/>
          <w:szCs w:val="24"/>
        </w:rPr>
        <w:t xml:space="preserve">Version 4.2  |  Effective Date: January 1, 2025</w:t>
      </w:r>
    </w:p>
    <w:p>
      <w:pPr>
        <w:spacing w:after="200"/>
        <w:jc w:val="center"/>
      </w:pPr>
      <w:r>
        <w:rPr>
          <w:i/>
          <w:iCs/>
          <w:color w:val="888888"/>
          <w:sz w:val="22"/>
          <w:szCs w:val="22"/>
        </w:rPr>
        <w:t xml:space="preserve">Confidential – For Internal Use Only</w:t>
      </w:r>
    </w:p>
    <w:p>
      <w:r>
        <w:br w:type="page"/>
      </w:r>
    </w:p>
    <w:p>
      <w:pPr>
        <w:pStyle w:val="Heading1"/>
        <w:spacing w:after="200" w:before="400"/>
      </w:pPr>
      <w:r>
        <w:t xml:space="preserve">Table of Contents</w:t>
      </w:r>
    </w:p>
    <w:p>
      <w:pPr>
        <w:spacing w:after="120" w:line="276"/>
      </w:pPr>
      <w:r>
        <w:rPr>
          <w:sz w:val="22"/>
          <w:szCs w:val="22"/>
        </w:rPr>
        <w:t xml:space="preserve">This handbook contains the following sections:</w:t>
      </w:r>
    </w:p>
    <w:p>
      <w:pPr>
        <w:tabs>
          <w:tab w:val="right" w:pos="9000"/>
        </w:tabs>
        <w:spacing w:after="80"/>
      </w:pPr>
      <w:r>
        <w:rPr>
          <w:sz w:val="22"/>
          <w:szCs w:val="22"/>
        </w:rPr>
        <w:t xml:space="preserve">1. About OptiAgent Technologies</w:t>
      </w:r>
      <w:r>
        <w:rPr>
          <w:sz w:val="22"/>
          <w:szCs w:val="22"/>
        </w:rPr>
        <w:t xml:space="preserve">	5</w:t>
      </w:r>
    </w:p>
    <w:p>
      <w:pPr>
        <w:tabs>
          <w:tab w:val="right" w:pos="9000"/>
        </w:tabs>
        <w:spacing w:after="80"/>
      </w:pPr>
      <w:r>
        <w:rPr>
          <w:sz w:val="22"/>
          <w:szCs w:val="22"/>
        </w:rPr>
        <w:t xml:space="preserve">2. Mission, Vision &amp; Values</w:t>
      </w:r>
      <w:r>
        <w:rPr>
          <w:sz w:val="22"/>
          <w:szCs w:val="22"/>
        </w:rPr>
        <w:t xml:space="preserve">	7</w:t>
      </w:r>
    </w:p>
    <w:p>
      <w:pPr>
        <w:tabs>
          <w:tab w:val="right" w:pos="9000"/>
        </w:tabs>
        <w:spacing w:after="80"/>
      </w:pPr>
      <w:r>
        <w:rPr>
          <w:sz w:val="22"/>
          <w:szCs w:val="22"/>
        </w:rPr>
        <w:t xml:space="preserve">3. Code of Conduct &amp; Ethics</w:t>
      </w:r>
      <w:r>
        <w:rPr>
          <w:sz w:val="22"/>
          <w:szCs w:val="22"/>
        </w:rPr>
        <w:t xml:space="preserve">	10</w:t>
      </w:r>
    </w:p>
    <w:p>
      <w:pPr>
        <w:tabs>
          <w:tab w:val="right" w:pos="9000"/>
        </w:tabs>
        <w:spacing w:after="80"/>
      </w:pPr>
      <w:r>
        <w:rPr>
          <w:sz w:val="22"/>
          <w:szCs w:val="22"/>
        </w:rPr>
        <w:t xml:space="preserve">4. Equal Opportunity &amp; Anti-Discrimination</w:t>
      </w:r>
      <w:r>
        <w:rPr>
          <w:sz w:val="22"/>
          <w:szCs w:val="22"/>
        </w:rPr>
        <w:t xml:space="preserve">	14</w:t>
      </w:r>
    </w:p>
    <w:p>
      <w:pPr>
        <w:tabs>
          <w:tab w:val="right" w:pos="9000"/>
        </w:tabs>
        <w:spacing w:after="80"/>
      </w:pPr>
      <w:r>
        <w:rPr>
          <w:sz w:val="22"/>
          <w:szCs w:val="22"/>
        </w:rPr>
        <w:t xml:space="preserve">5. Anti-Harassment &amp; Respectful Workplace</w:t>
      </w:r>
      <w:r>
        <w:rPr>
          <w:sz w:val="22"/>
          <w:szCs w:val="22"/>
        </w:rPr>
        <w:t xml:space="preserve">	17</w:t>
      </w:r>
    </w:p>
    <w:p>
      <w:pPr>
        <w:tabs>
          <w:tab w:val="right" w:pos="9000"/>
        </w:tabs>
        <w:spacing w:after="80"/>
      </w:pPr>
      <w:r>
        <w:rPr>
          <w:sz w:val="22"/>
          <w:szCs w:val="22"/>
        </w:rPr>
        <w:t xml:space="preserve">6. Attendance &amp; Working Hours</w:t>
      </w:r>
      <w:r>
        <w:rPr>
          <w:sz w:val="22"/>
          <w:szCs w:val="22"/>
        </w:rPr>
        <w:t xml:space="preserve">	21</w:t>
      </w:r>
    </w:p>
    <w:p>
      <w:pPr>
        <w:tabs>
          <w:tab w:val="right" w:pos="9000"/>
        </w:tabs>
        <w:spacing w:after="80"/>
      </w:pPr>
      <w:r>
        <w:rPr>
          <w:sz w:val="22"/>
          <w:szCs w:val="22"/>
        </w:rPr>
        <w:t xml:space="preserve">7. Dress Code &amp; Personal Presentation</w:t>
      </w:r>
      <w:r>
        <w:rPr>
          <w:sz w:val="22"/>
          <w:szCs w:val="22"/>
        </w:rPr>
        <w:t xml:space="preserve">	24</w:t>
      </w:r>
    </w:p>
    <w:p>
      <w:pPr>
        <w:tabs>
          <w:tab w:val="right" w:pos="9000"/>
        </w:tabs>
        <w:spacing w:after="80"/>
      </w:pPr>
      <w:r>
        <w:rPr>
          <w:sz w:val="22"/>
          <w:szCs w:val="22"/>
        </w:rPr>
        <w:t xml:space="preserve">8. Remote Work &amp; Hybrid Work Policy</w:t>
      </w:r>
      <w:r>
        <w:rPr>
          <w:sz w:val="22"/>
          <w:szCs w:val="22"/>
        </w:rPr>
        <w:t xml:space="preserve">	26</w:t>
      </w:r>
    </w:p>
    <w:p>
      <w:pPr>
        <w:tabs>
          <w:tab w:val="right" w:pos="9000"/>
        </w:tabs>
        <w:spacing w:after="80"/>
      </w:pPr>
      <w:r>
        <w:rPr>
          <w:sz w:val="22"/>
          <w:szCs w:val="22"/>
        </w:rPr>
        <w:t xml:space="preserve">9. Employee Benefits Overview</w:t>
      </w:r>
      <w:r>
        <w:rPr>
          <w:sz w:val="22"/>
          <w:szCs w:val="22"/>
        </w:rPr>
        <w:t xml:space="preserve">	31</w:t>
      </w:r>
    </w:p>
    <w:p>
      <w:pPr>
        <w:tabs>
          <w:tab w:val="right" w:pos="9000"/>
        </w:tabs>
        <w:spacing w:after="80"/>
      </w:pPr>
      <w:r>
        <w:rPr>
          <w:sz w:val="22"/>
          <w:szCs w:val="22"/>
        </w:rPr>
        <w:t xml:space="preserve">10. Performance Management</w:t>
      </w:r>
      <w:r>
        <w:rPr>
          <w:sz w:val="22"/>
          <w:szCs w:val="22"/>
        </w:rPr>
        <w:t xml:space="preserve">	36</w:t>
      </w:r>
    </w:p>
    <w:p>
      <w:pPr>
        <w:tabs>
          <w:tab w:val="right" w:pos="9000"/>
        </w:tabs>
        <w:spacing w:after="80"/>
      </w:pPr>
      <w:r>
        <w:rPr>
          <w:sz w:val="22"/>
          <w:szCs w:val="22"/>
        </w:rPr>
        <w:t xml:space="preserve">11. Learning &amp; Development</w:t>
      </w:r>
      <w:r>
        <w:rPr>
          <w:sz w:val="22"/>
          <w:szCs w:val="22"/>
        </w:rPr>
        <w:t xml:space="preserve">	41</w:t>
      </w:r>
    </w:p>
    <w:p>
      <w:pPr>
        <w:tabs>
          <w:tab w:val="right" w:pos="9000"/>
        </w:tabs>
        <w:spacing w:after="80"/>
      </w:pPr>
      <w:r>
        <w:rPr>
          <w:sz w:val="22"/>
          <w:szCs w:val="22"/>
        </w:rPr>
        <w:t xml:space="preserve">12. Career Growth &amp; Promotions</w:t>
      </w:r>
      <w:r>
        <w:rPr>
          <w:sz w:val="22"/>
          <w:szCs w:val="22"/>
        </w:rPr>
        <w:t xml:space="preserve">	45</w:t>
      </w:r>
    </w:p>
    <w:p>
      <w:pPr>
        <w:tabs>
          <w:tab w:val="right" w:pos="9000"/>
        </w:tabs>
        <w:spacing w:after="80"/>
      </w:pPr>
      <w:r>
        <w:rPr>
          <w:sz w:val="22"/>
          <w:szCs w:val="22"/>
        </w:rPr>
        <w:t xml:space="preserve">13. Expense &amp; Travel Policy</w:t>
      </w:r>
      <w:r>
        <w:rPr>
          <w:sz w:val="22"/>
          <w:szCs w:val="22"/>
        </w:rPr>
        <w:t xml:space="preserve">	49</w:t>
      </w:r>
    </w:p>
    <w:p>
      <w:pPr>
        <w:tabs>
          <w:tab w:val="right" w:pos="9000"/>
        </w:tabs>
        <w:spacing w:after="80"/>
      </w:pPr>
      <w:r>
        <w:rPr>
          <w:sz w:val="22"/>
          <w:szCs w:val="22"/>
        </w:rPr>
        <w:t xml:space="preserve">14. IT Usage &amp; Cybersecurity</w:t>
      </w:r>
      <w:r>
        <w:rPr>
          <w:sz w:val="22"/>
          <w:szCs w:val="22"/>
        </w:rPr>
        <w:t xml:space="preserve">	54</w:t>
      </w:r>
    </w:p>
    <w:p>
      <w:pPr>
        <w:tabs>
          <w:tab w:val="right" w:pos="9000"/>
        </w:tabs>
        <w:spacing w:after="80"/>
      </w:pPr>
      <w:r>
        <w:rPr>
          <w:sz w:val="22"/>
          <w:szCs w:val="22"/>
        </w:rPr>
        <w:t xml:space="preserve">15. Data Privacy &amp; Information Security</w:t>
      </w:r>
      <w:r>
        <w:rPr>
          <w:sz w:val="22"/>
          <w:szCs w:val="22"/>
        </w:rPr>
        <w:t xml:space="preserve">	59</w:t>
      </w:r>
    </w:p>
    <w:p>
      <w:pPr>
        <w:tabs>
          <w:tab w:val="right" w:pos="9000"/>
        </w:tabs>
        <w:spacing w:after="80"/>
      </w:pPr>
      <w:r>
        <w:rPr>
          <w:sz w:val="22"/>
          <w:szCs w:val="22"/>
        </w:rPr>
        <w:t xml:space="preserve">16. Conflict of Interest</w:t>
      </w:r>
      <w:r>
        <w:rPr>
          <w:sz w:val="22"/>
          <w:szCs w:val="22"/>
        </w:rPr>
        <w:t xml:space="preserve">	64</w:t>
      </w:r>
    </w:p>
    <w:p>
      <w:pPr>
        <w:tabs>
          <w:tab w:val="right" w:pos="9000"/>
        </w:tabs>
        <w:spacing w:after="80"/>
      </w:pPr>
      <w:r>
        <w:rPr>
          <w:sz w:val="22"/>
          <w:szCs w:val="22"/>
        </w:rPr>
        <w:t xml:space="preserve">17. Whistleblower Policy</w:t>
      </w:r>
      <w:r>
        <w:rPr>
          <w:sz w:val="22"/>
          <w:szCs w:val="22"/>
        </w:rPr>
        <w:t xml:space="preserve">	67</w:t>
      </w:r>
    </w:p>
    <w:p>
      <w:pPr>
        <w:tabs>
          <w:tab w:val="right" w:pos="9000"/>
        </w:tabs>
        <w:spacing w:after="80"/>
      </w:pPr>
      <w:r>
        <w:rPr>
          <w:sz w:val="22"/>
          <w:szCs w:val="22"/>
        </w:rPr>
        <w:t xml:space="preserve">18. Health &amp; Safety</w:t>
      </w:r>
      <w:r>
        <w:rPr>
          <w:sz w:val="22"/>
          <w:szCs w:val="22"/>
        </w:rPr>
        <w:t xml:space="preserve">	70</w:t>
      </w:r>
    </w:p>
    <w:p>
      <w:pPr>
        <w:tabs>
          <w:tab w:val="right" w:pos="9000"/>
        </w:tabs>
        <w:spacing w:after="80"/>
      </w:pPr>
      <w:r>
        <w:rPr>
          <w:sz w:val="22"/>
          <w:szCs w:val="22"/>
        </w:rPr>
        <w:t xml:space="preserve">19. Employee &amp; Manager Responsibilities</w:t>
      </w:r>
      <w:r>
        <w:rPr>
          <w:sz w:val="22"/>
          <w:szCs w:val="22"/>
        </w:rPr>
        <w:t xml:space="preserve">	74</w:t>
      </w:r>
    </w:p>
    <w:p>
      <w:pPr>
        <w:tabs>
          <w:tab w:val="right" w:pos="9000"/>
        </w:tabs>
        <w:spacing w:after="80"/>
      </w:pPr>
      <w:r>
        <w:rPr>
          <w:sz w:val="22"/>
          <w:szCs w:val="22"/>
        </w:rPr>
        <w:t xml:space="preserve">20. Termination &amp; Exit Process</w:t>
      </w:r>
      <w:r>
        <w:rPr>
          <w:sz w:val="22"/>
          <w:szCs w:val="22"/>
        </w:rPr>
        <w:t xml:space="preserve">	78</w:t>
      </w:r>
    </w:p>
    <w:p>
      <w:pPr>
        <w:tabs>
          <w:tab w:val="right" w:pos="9000"/>
        </w:tabs>
        <w:spacing w:after="80"/>
      </w:pPr>
      <w:r>
        <w:rPr>
          <w:sz w:val="22"/>
          <w:szCs w:val="22"/>
        </w:rPr>
        <w:t xml:space="preserve">21. Appendices &amp; Glossary</w:t>
      </w:r>
      <w:r>
        <w:rPr>
          <w:sz w:val="22"/>
          <w:szCs w:val="22"/>
        </w:rPr>
        <w:t xml:space="preserve">	84</w:t>
      </w:r>
    </w:p>
    <w:p>
      <w:r>
        <w:br w:type="page"/>
      </w:r>
    </w:p>
    <w:p>
      <w:pPr>
        <w:pStyle w:val="Heading1"/>
        <w:spacing w:after="200" w:before="400"/>
      </w:pPr>
      <w:r>
        <w:t xml:space="preserve">Chapter 1: About OptiAgent Technologies</w:t>
      </w:r>
    </w:p>
    <w:p>
      <w:pPr>
        <w:pStyle w:val="Heading2"/>
        <w:spacing w:after="150" w:before="300"/>
      </w:pPr>
      <w:r>
        <w:t xml:space="preserve">1.1 Company Overview</w:t>
      </w:r>
    </w:p>
    <w:p>
      <w:pPr>
        <w:spacing w:after="120" w:line="276"/>
      </w:pPr>
      <w:r>
        <w:rPr>
          <w:sz w:val="22"/>
          <w:szCs w:val="22"/>
        </w:rPr>
        <w:t xml:space="preserve">OptiAgent Technologies is a global enterprise AI software company headquartered in San Francisco, California, with major offices in London, Hyderabad, Berlin, and Singapore. Founded in 2014, OptiAgent Technologies has grown from a seven-person startup to a workforce of more than 5,000 employees across five continents. The company specializes in intelligent automation platforms, agentic AI solutions, and enterprise knowledge management systems that help Fortune 500 organizations accelerate digital transformation.</w:t>
      </w:r>
    </w:p>
    <w:p>
      <w:pPr>
        <w:spacing w:after="120" w:line="276"/>
      </w:pPr>
      <w:r>
        <w:rPr>
          <w:sz w:val="22"/>
          <w:szCs w:val="22"/>
        </w:rPr>
        <w:t xml:space="preserve">OptiAgent's flagship product suite — OptiAgent Enterprise Platform (OEP) — serves clients across financial services, healthcare, manufacturing, retail, and the public sector. The company's technology is deployed in over 60 countries and processes billions of AI-assisted decisions each year.</w:t>
      </w:r>
    </w:p>
    <w:p>
      <w:pPr>
        <w:spacing w:after="120" w:line="276"/>
      </w:pPr>
      <w:r>
        <w:rPr>
          <w:sz w:val="22"/>
          <w:szCs w:val="22"/>
        </w:rPr>
        <w:t xml:space="preserve">The company trades on NASDAQ under the ticker symbol OATC and reported annual revenue of $1.4 billion in the fiscal year ending December 2024.</w:t>
      </w:r>
    </w:p>
    <w:p>
      <w:pPr>
        <w:pStyle w:val="Heading2"/>
        <w:spacing w:after="150" w:before="300"/>
      </w:pPr>
      <w:r>
        <w:t xml:space="preserve">1.2 Global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Country</w:t>
            </w:r>
          </w:p>
        </w:tc>
        <w:tc>
          <w:tcPr>
            <w:tcW w:type="dxa" w:w="2340"/>
            <w:shd w:fill="1F4E79" w:color="1F4E79" w:val="clear"/>
          </w:tcPr>
          <w:p>
            <w:pPr>
              <w:spacing w:after="60"/>
            </w:pPr>
            <w:r>
              <w:rPr>
                <w:b/>
                <w:bCs/>
                <w:sz w:val="20"/>
                <w:szCs w:val="20"/>
              </w:rPr>
              <w:t xml:space="preserve">Primary Office</w:t>
            </w:r>
          </w:p>
        </w:tc>
        <w:tc>
          <w:tcPr>
            <w:tcW w:type="dxa" w:w="2340"/>
            <w:shd w:fill="1F4E79" w:color="1F4E79" w:val="clear"/>
          </w:tcPr>
          <w:p>
            <w:pPr>
              <w:spacing w:after="60"/>
            </w:pPr>
            <w:r>
              <w:rPr>
                <w:b/>
                <w:bCs/>
                <w:sz w:val="20"/>
                <w:szCs w:val="20"/>
              </w:rPr>
              <w:t xml:space="preserve">Employees (Approx.)</w:t>
            </w:r>
          </w:p>
        </w:tc>
        <w:tc>
          <w:tcPr>
            <w:tcW w:type="dxa" w:w="2340"/>
            <w:shd w:fill="1F4E79" w:color="1F4E79" w:val="clear"/>
          </w:tcPr>
          <w:p>
            <w:pPr>
              <w:spacing w:after="60"/>
            </w:pPr>
            <w:r>
              <w:rPr>
                <w:b/>
                <w:bCs/>
                <w:sz w:val="20"/>
                <w:szCs w:val="20"/>
              </w:rPr>
              <w:t xml:space="preserve">Key Functions</w:t>
            </w:r>
          </w:p>
        </w:tc>
      </w:tr>
      <w:tr>
        <w:tc>
          <w:tcPr>
            <w:tcW w:type="dxa" w:w="2340"/>
          </w:tcPr>
          <w:p>
            <w:pPr>
              <w:spacing w:after="60"/>
            </w:pPr>
            <w:r>
              <w:rPr>
                <w:b w:val="false"/>
                <w:bCs w:val="false"/>
                <w:sz w:val="20"/>
                <w:szCs w:val="20"/>
              </w:rPr>
              <w:t xml:space="preserve">United States</w:t>
            </w:r>
          </w:p>
        </w:tc>
        <w:tc>
          <w:tcPr>
            <w:tcW w:type="dxa" w:w="2340"/>
          </w:tcPr>
          <w:p>
            <w:pPr>
              <w:spacing w:after="60"/>
            </w:pPr>
            <w:r>
              <w:rPr>
                <w:b w:val="false"/>
                <w:bCs w:val="false"/>
                <w:sz w:val="20"/>
                <w:szCs w:val="20"/>
              </w:rPr>
              <w:t xml:space="preserve">San Francisco, CA</w:t>
            </w:r>
          </w:p>
        </w:tc>
        <w:tc>
          <w:tcPr>
            <w:tcW w:type="dxa" w:w="2340"/>
          </w:tcPr>
          <w:p>
            <w:pPr>
              <w:spacing w:after="60"/>
            </w:pPr>
            <w:r>
              <w:rPr>
                <w:b w:val="false"/>
                <w:bCs w:val="false"/>
                <w:sz w:val="20"/>
                <w:szCs w:val="20"/>
              </w:rPr>
              <w:t xml:space="preserve">1,800</w:t>
            </w:r>
          </w:p>
        </w:tc>
        <w:tc>
          <w:tcPr>
            <w:tcW w:type="dxa" w:w="2340"/>
          </w:tcPr>
          <w:p>
            <w:pPr>
              <w:spacing w:after="60"/>
            </w:pPr>
            <w:r>
              <w:rPr>
                <w:b w:val="false"/>
                <w:bCs w:val="false"/>
                <w:sz w:val="20"/>
                <w:szCs w:val="20"/>
              </w:rPr>
              <w:t xml:space="preserve">HQ, Engineering, Sales, Marketing, Legal</w:t>
            </w:r>
          </w:p>
        </w:tc>
      </w:tr>
      <w:tr>
        <w:tc>
          <w:tcPr>
            <w:tcW w:type="dxa" w:w="2340"/>
          </w:tcPr>
          <w:p>
            <w:pPr>
              <w:spacing w:after="60"/>
            </w:pPr>
            <w:r>
              <w:rPr>
                <w:b w:val="false"/>
                <w:bCs w:val="false"/>
                <w:sz w:val="20"/>
                <w:szCs w:val="20"/>
              </w:rPr>
              <w:t xml:space="preserve">United Kingdom</w:t>
            </w:r>
          </w:p>
        </w:tc>
        <w:tc>
          <w:tcPr>
            <w:tcW w:type="dxa" w:w="2340"/>
          </w:tcPr>
          <w:p>
            <w:pPr>
              <w:spacing w:after="60"/>
            </w:pPr>
            <w:r>
              <w:rPr>
                <w:b w:val="false"/>
                <w:bCs w:val="false"/>
                <w:sz w:val="20"/>
                <w:szCs w:val="20"/>
              </w:rPr>
              <w:t xml:space="preserve">London, EC2</w:t>
            </w:r>
          </w:p>
        </w:tc>
        <w:tc>
          <w:tcPr>
            <w:tcW w:type="dxa" w:w="2340"/>
          </w:tcPr>
          <w:p>
            <w:pPr>
              <w:spacing w:after="60"/>
            </w:pPr>
            <w:r>
              <w:rPr>
                <w:b w:val="false"/>
                <w:bCs w:val="false"/>
                <w:sz w:val="20"/>
                <w:szCs w:val="20"/>
              </w:rPr>
              <w:t xml:space="preserve">850</w:t>
            </w:r>
          </w:p>
        </w:tc>
        <w:tc>
          <w:tcPr>
            <w:tcW w:type="dxa" w:w="2340"/>
          </w:tcPr>
          <w:p>
            <w:pPr>
              <w:spacing w:after="60"/>
            </w:pPr>
            <w:r>
              <w:rPr>
                <w:b w:val="false"/>
                <w:bCs w:val="false"/>
                <w:sz w:val="20"/>
                <w:szCs w:val="20"/>
              </w:rPr>
              <w:t xml:space="preserve">EMEA Sales, Customer Success, Finance</w:t>
            </w:r>
          </w:p>
        </w:tc>
      </w:tr>
      <w:tr>
        <w:tc>
          <w:tcPr>
            <w:tcW w:type="dxa" w:w="2340"/>
          </w:tcPr>
          <w:p>
            <w:pPr>
              <w:spacing w:after="60"/>
            </w:pPr>
            <w:r>
              <w:rPr>
                <w:b w:val="false"/>
                <w:bCs w:val="false"/>
                <w:sz w:val="20"/>
                <w:szCs w:val="20"/>
              </w:rPr>
              <w:t xml:space="preserve">India</w:t>
            </w:r>
          </w:p>
        </w:tc>
        <w:tc>
          <w:tcPr>
            <w:tcW w:type="dxa" w:w="2340"/>
          </w:tcPr>
          <w:p>
            <w:pPr>
              <w:spacing w:after="60"/>
            </w:pPr>
            <w:r>
              <w:rPr>
                <w:b w:val="false"/>
                <w:bCs w:val="false"/>
                <w:sz w:val="20"/>
                <w:szCs w:val="20"/>
              </w:rPr>
              <w:t xml:space="preserve">Hyderabad, Telangana</w:t>
            </w:r>
          </w:p>
        </w:tc>
        <w:tc>
          <w:tcPr>
            <w:tcW w:type="dxa" w:w="2340"/>
          </w:tcPr>
          <w:p>
            <w:pPr>
              <w:spacing w:after="60"/>
            </w:pPr>
            <w:r>
              <w:rPr>
                <w:b w:val="false"/>
                <w:bCs w:val="false"/>
                <w:sz w:val="20"/>
                <w:szCs w:val="20"/>
              </w:rPr>
              <w:t xml:space="preserve">1,600</w:t>
            </w:r>
          </w:p>
        </w:tc>
        <w:tc>
          <w:tcPr>
            <w:tcW w:type="dxa" w:w="2340"/>
          </w:tcPr>
          <w:p>
            <w:pPr>
              <w:spacing w:after="60"/>
            </w:pPr>
            <w:r>
              <w:rPr>
                <w:b w:val="false"/>
                <w:bCs w:val="false"/>
                <w:sz w:val="20"/>
                <w:szCs w:val="20"/>
              </w:rPr>
              <w:t xml:space="preserve">Engineering, Support, QA, HR Shared Services</w:t>
            </w:r>
          </w:p>
        </w:tc>
      </w:tr>
      <w:tr>
        <w:tc>
          <w:tcPr>
            <w:tcW w:type="dxa" w:w="2340"/>
          </w:tcPr>
          <w:p>
            <w:pPr>
              <w:spacing w:after="60"/>
            </w:pPr>
            <w:r>
              <w:rPr>
                <w:b w:val="false"/>
                <w:bCs w:val="false"/>
                <w:sz w:val="20"/>
                <w:szCs w:val="20"/>
              </w:rPr>
              <w:t xml:space="preserve">Germany</w:t>
            </w:r>
          </w:p>
        </w:tc>
        <w:tc>
          <w:tcPr>
            <w:tcW w:type="dxa" w:w="2340"/>
          </w:tcPr>
          <w:p>
            <w:pPr>
              <w:spacing w:after="60"/>
            </w:pPr>
            <w:r>
              <w:rPr>
                <w:b w:val="false"/>
                <w:bCs w:val="false"/>
                <w:sz w:val="20"/>
                <w:szCs w:val="20"/>
              </w:rPr>
              <w:t xml:space="preserve">Berlin</w:t>
            </w:r>
          </w:p>
        </w:tc>
        <w:tc>
          <w:tcPr>
            <w:tcW w:type="dxa" w:w="2340"/>
          </w:tcPr>
          <w:p>
            <w:pPr>
              <w:spacing w:after="60"/>
            </w:pPr>
            <w:r>
              <w:rPr>
                <w:b w:val="false"/>
                <w:bCs w:val="false"/>
                <w:sz w:val="20"/>
                <w:szCs w:val="20"/>
              </w:rPr>
              <w:t xml:space="preserve">450</w:t>
            </w:r>
          </w:p>
        </w:tc>
        <w:tc>
          <w:tcPr>
            <w:tcW w:type="dxa" w:w="2340"/>
          </w:tcPr>
          <w:p>
            <w:pPr>
              <w:spacing w:after="60"/>
            </w:pPr>
            <w:r>
              <w:rPr>
                <w:b w:val="false"/>
                <w:bCs w:val="false"/>
                <w:sz w:val="20"/>
                <w:szCs w:val="20"/>
              </w:rPr>
              <w:t xml:space="preserve">DACH Sales, Compliance, Engineering</w:t>
            </w:r>
          </w:p>
        </w:tc>
      </w:tr>
      <w:tr>
        <w:tc>
          <w:tcPr>
            <w:tcW w:type="dxa" w:w="2340"/>
          </w:tcPr>
          <w:p>
            <w:pPr>
              <w:spacing w:after="60"/>
            </w:pPr>
            <w:r>
              <w:rPr>
                <w:b w:val="false"/>
                <w:bCs w:val="false"/>
                <w:sz w:val="20"/>
                <w:szCs w:val="20"/>
              </w:rPr>
              <w:t xml:space="preserve">Singapore</w:t>
            </w:r>
          </w:p>
        </w:tc>
        <w:tc>
          <w:tcPr>
            <w:tcW w:type="dxa" w:w="2340"/>
          </w:tcPr>
          <w:p>
            <w:pPr>
              <w:spacing w:after="60"/>
            </w:pPr>
            <w:r>
              <w:rPr>
                <w:b w:val="false"/>
                <w:bCs w:val="false"/>
                <w:sz w:val="20"/>
                <w:szCs w:val="20"/>
              </w:rPr>
              <w:t xml:space="preserve">Marina Bay</w:t>
            </w:r>
          </w:p>
        </w:tc>
        <w:tc>
          <w:tcPr>
            <w:tcW w:type="dxa" w:w="2340"/>
          </w:tcPr>
          <w:p>
            <w:pPr>
              <w:spacing w:after="60"/>
            </w:pPr>
            <w:r>
              <w:rPr>
                <w:b w:val="false"/>
                <w:bCs w:val="false"/>
                <w:sz w:val="20"/>
                <w:szCs w:val="20"/>
              </w:rPr>
              <w:t xml:space="preserve">300</w:t>
            </w:r>
          </w:p>
        </w:tc>
        <w:tc>
          <w:tcPr>
            <w:tcW w:type="dxa" w:w="2340"/>
          </w:tcPr>
          <w:p>
            <w:pPr>
              <w:spacing w:after="60"/>
            </w:pPr>
            <w:r>
              <w:rPr>
                <w:b w:val="false"/>
                <w:bCs w:val="false"/>
                <w:sz w:val="20"/>
                <w:szCs w:val="20"/>
              </w:rPr>
              <w:t xml:space="preserve">APAC HQ, Sales, Customer Success</w:t>
            </w:r>
          </w:p>
        </w:tc>
      </w:tr>
    </w:tbl>
    <w:p>
      <w:pPr>
        <w:spacing w:after="100"/>
      </w:pPr>
      <w:r>
        <w:t xml:space="preserve"/>
      </w:r>
    </w:p>
    <w:p>
      <w:pPr>
        <w:pStyle w:val="Heading2"/>
        <w:spacing w:after="150" w:before="300"/>
      </w:pPr>
      <w:r>
        <w:t xml:space="preserve">1.3 Legal Entities</w:t>
      </w:r>
    </w:p>
    <w:p>
      <w:pPr>
        <w:spacing w:after="120" w:line="276"/>
      </w:pPr>
      <w:r>
        <w:rPr>
          <w:sz w:val="22"/>
          <w:szCs w:val="22"/>
        </w:rPr>
        <w:t xml:space="preserve">OptiAgent Technologies operates through the following legal entities. Your employment contract will specify which entity you are employed by, and the applicable employment law is determined by your country of employment.</w:t>
      </w:r>
    </w:p>
    <w:p>
      <w:pPr>
        <w:pStyle w:val="ListParagraph"/>
        <w:numPr>
          <w:ilvl w:val="0"/>
          <w:numId w:val="1"/>
        </w:numPr>
        <w:spacing w:after="80"/>
      </w:pPr>
      <w:r>
        <w:rPr>
          <w:sz w:val="22"/>
          <w:szCs w:val="22"/>
        </w:rPr>
        <w:t xml:space="preserve">OptiAgent Technologies, Inc. — Delaware corporation (USA)</w:t>
      </w:r>
    </w:p>
    <w:p>
      <w:pPr>
        <w:pStyle w:val="ListParagraph"/>
        <w:numPr>
          <w:ilvl w:val="0"/>
          <w:numId w:val="1"/>
        </w:numPr>
        <w:spacing w:after="80"/>
      </w:pPr>
      <w:r>
        <w:rPr>
          <w:sz w:val="22"/>
          <w:szCs w:val="22"/>
        </w:rPr>
        <w:t xml:space="preserve">OptiAgent Technologies Ltd. — UK private limited company</w:t>
      </w:r>
    </w:p>
    <w:p>
      <w:pPr>
        <w:pStyle w:val="ListParagraph"/>
        <w:numPr>
          <w:ilvl w:val="0"/>
          <w:numId w:val="1"/>
        </w:numPr>
        <w:spacing w:after="80"/>
      </w:pPr>
      <w:r>
        <w:rPr>
          <w:sz w:val="22"/>
          <w:szCs w:val="22"/>
        </w:rPr>
        <w:t xml:space="preserve">OptiAgent Technologies India Pvt. Ltd. — Indian private limited company</w:t>
      </w:r>
    </w:p>
    <w:p>
      <w:pPr>
        <w:pStyle w:val="ListParagraph"/>
        <w:numPr>
          <w:ilvl w:val="0"/>
          <w:numId w:val="1"/>
        </w:numPr>
        <w:spacing w:after="80"/>
      </w:pPr>
      <w:r>
        <w:rPr>
          <w:sz w:val="22"/>
          <w:szCs w:val="22"/>
        </w:rPr>
        <w:t xml:space="preserve">OptiAgent Technologies GmbH — German limited liability company</w:t>
      </w:r>
    </w:p>
    <w:p>
      <w:pPr>
        <w:pStyle w:val="ListParagraph"/>
        <w:numPr>
          <w:ilvl w:val="0"/>
          <w:numId w:val="1"/>
        </w:numPr>
        <w:spacing w:after="80"/>
      </w:pPr>
      <w:r>
        <w:rPr>
          <w:sz w:val="22"/>
          <w:szCs w:val="22"/>
        </w:rPr>
        <w:t xml:space="preserve">OptiAgent Technologies Pte. Ltd. — Singapore private limited company</w:t>
      </w:r>
    </w:p>
    <w:p>
      <w:pPr>
        <w:spacing w:after="100"/>
      </w:pPr>
      <w:r>
        <w:t xml:space="preserve"/>
      </w:r>
    </w:p>
    <w:p>
      <w:pPr>
        <w:pStyle w:val="Heading2"/>
        <w:spacing w:after="150" w:before="300"/>
      </w:pPr>
      <w:r>
        <w:t xml:space="preserve">1.4 How to Use This Handbook</w:t>
      </w:r>
    </w:p>
    <w:p>
      <w:pPr>
        <w:spacing w:after="120" w:line="276"/>
      </w:pPr>
      <w:r>
        <w:rPr>
          <w:sz w:val="22"/>
          <w:szCs w:val="22"/>
        </w:rPr>
        <w:t xml:space="preserve">This Employee Handbook serves as the definitive reference for your rights, responsibilities, and the standards of behavior expected at OptiAgent Technologies. It is designed to be read alongside — not instead of — the specific policies and documents referenced throughout. Key companion documents include:</w:t>
      </w:r>
    </w:p>
    <w:p>
      <w:pPr>
        <w:pStyle w:val="ListParagraph"/>
        <w:numPr>
          <w:ilvl w:val="0"/>
          <w:numId w:val="1"/>
        </w:numPr>
        <w:spacing w:after="80"/>
      </w:pPr>
      <w:r>
        <w:rPr>
          <w:sz w:val="22"/>
          <w:szCs w:val="22"/>
        </w:rPr>
        <w:t xml:space="preserve">Leave Policy (Document ID: HR-LP-001) — governs all forms of leave including annual, sick, maternity, and paternity leave</w:t>
      </w:r>
    </w:p>
    <w:p>
      <w:pPr>
        <w:pStyle w:val="ListParagraph"/>
        <w:numPr>
          <w:ilvl w:val="0"/>
          <w:numId w:val="1"/>
        </w:numPr>
        <w:spacing w:after="80"/>
      </w:pPr>
      <w:r>
        <w:rPr>
          <w:sz w:val="22"/>
          <w:szCs w:val="22"/>
        </w:rPr>
        <w:t xml:space="preserve">Holiday Calendar (Document ID: HR-HC-001) — lists all company-observed public and regional holidays by country</w:t>
      </w:r>
    </w:p>
    <w:p>
      <w:pPr>
        <w:pStyle w:val="ListParagraph"/>
        <w:numPr>
          <w:ilvl w:val="0"/>
          <w:numId w:val="1"/>
        </w:numPr>
        <w:spacing w:after="80"/>
      </w:pPr>
      <w:r>
        <w:rPr>
          <w:sz w:val="22"/>
          <w:szCs w:val="22"/>
        </w:rPr>
        <w:t xml:space="preserve">Salary Grades (Document ID: HR-SG-001) — defines compensation bands, job levels, and bonus structures</w:t>
      </w:r>
    </w:p>
    <w:p>
      <w:pPr>
        <w:pStyle w:val="ListParagraph"/>
        <w:numPr>
          <w:ilvl w:val="0"/>
          <w:numId w:val="1"/>
        </w:numPr>
        <w:spacing w:after="80"/>
      </w:pPr>
      <w:r>
        <w:rPr>
          <w:sz w:val="22"/>
          <w:szCs w:val="22"/>
        </w:rPr>
        <w:t xml:space="preserve">Onboarding Process (Document ID: HR-OP-001) — outlines the pre-joining through 90-day integration process</w:t>
      </w:r>
    </w:p>
    <w:p>
      <w:pPr>
        <w:pStyle w:val="ListParagraph"/>
        <w:numPr>
          <w:ilvl w:val="0"/>
          <w:numId w:val="1"/>
        </w:numPr>
        <w:spacing w:after="80"/>
      </w:pPr>
      <w:r>
        <w:rPr>
          <w:sz w:val="22"/>
          <w:szCs w:val="22"/>
        </w:rPr>
        <w:t xml:space="preserve">Company Policy (Document ID: OAT-CP-001) — covers IT, cybersecurity, data, and acceptable use policies</w:t>
      </w:r>
    </w:p>
    <w:p>
      <w:pPr>
        <w:pStyle w:val="ListParagraph"/>
        <w:numPr>
          <w:ilvl w:val="0"/>
          <w:numId w:val="1"/>
        </w:numPr>
        <w:spacing w:after="80"/>
      </w:pPr>
      <w:r>
        <w:rPr>
          <w:sz w:val="22"/>
          <w:szCs w:val="22"/>
        </w:rPr>
        <w:t xml:space="preserve">HR FAQs (Document ID: HR-FAQ-001) — answers to the most frequently asked HR questions</w:t>
      </w:r>
    </w:p>
    <w:p>
      <w:pPr>
        <w:spacing w:after="120" w:line="276"/>
      </w:pPr>
      <w:r>
        <w:rPr>
          <w:sz w:val="22"/>
          <w:szCs w:val="22"/>
        </w:rPr>
        <w:t xml:space="preserve">When there is a conflict between this handbook and a country-specific addendum, the country-specific addendum takes precedence to comply with local law. Contact HR People Operations at hr.global@optiagent.com for clarification.</w:t>
      </w:r>
    </w:p>
    <w:p>
      <w:r>
        <w:br w:type="page"/>
      </w:r>
    </w:p>
    <w:p>
      <w:pPr>
        <w:pStyle w:val="Heading1"/>
        <w:spacing w:after="200" w:before="400"/>
      </w:pPr>
      <w:r>
        <w:t xml:space="preserve">Chapter 2: Mission, Vision &amp; Values</w:t>
      </w:r>
    </w:p>
    <w:p>
      <w:pPr>
        <w:pStyle w:val="Heading2"/>
        <w:spacing w:after="150" w:before="300"/>
      </w:pPr>
      <w:r>
        <w:t xml:space="preserve">2.1 Our Mission</w:t>
      </w:r>
    </w:p>
    <w:p>
      <w:pPr>
        <w:spacing w:after="200" w:before="200"/>
        <w:jc w:val="center"/>
      </w:pPr>
      <w:r>
        <w:rPr>
          <w:i/>
          <w:iCs/>
          <w:color w:val="1F4E79"/>
          <w:sz w:val="24"/>
          <w:szCs w:val="24"/>
        </w:rPr>
        <w:t xml:space="preserve">"To make intelligent automation accessible, trustworthy, and impactful for every enterprise on Earth."</w:t>
      </w:r>
    </w:p>
    <w:p>
      <w:pPr>
        <w:spacing w:after="120" w:line="276"/>
      </w:pPr>
      <w:r>
        <w:rPr>
          <w:sz w:val="22"/>
          <w:szCs w:val="22"/>
        </w:rPr>
        <w:t xml:space="preserve">At OptiAgent Technologies, we believe that artificial intelligence should amplify human capability, not replace human judgment. Our products are designed to handle repetitive, high-volume cognitive work so that our clients' employees can focus on creativity, strategy, and relationship-building. Our mission drives every product decision, every hiring decision, and every interaction with customers and partners.</w:t>
      </w:r>
    </w:p>
    <w:p>
      <w:pPr>
        <w:pStyle w:val="Heading2"/>
        <w:spacing w:after="150" w:before="300"/>
      </w:pPr>
      <w:r>
        <w:t xml:space="preserve">2.2 Our Vision</w:t>
      </w:r>
    </w:p>
    <w:p>
      <w:pPr>
        <w:spacing w:after="200" w:before="200"/>
        <w:jc w:val="center"/>
      </w:pPr>
      <w:r>
        <w:rPr>
          <w:i/>
          <w:iCs/>
          <w:color w:val="1F4E79"/>
          <w:sz w:val="24"/>
          <w:szCs w:val="24"/>
        </w:rPr>
        <w:t xml:space="preserve">"A world where every knowledge worker is supported by a trusted AI partner — making faster, better decisions with complete confidence."</w:t>
      </w:r>
    </w:p>
    <w:p>
      <w:pPr>
        <w:spacing w:after="120" w:line="276"/>
      </w:pPr>
      <w:r>
        <w:rPr>
          <w:sz w:val="22"/>
          <w:szCs w:val="22"/>
        </w:rPr>
        <w:t xml:space="preserve">Our vision is not just aspirational — it is the lens through which we evaluate everything we build. Products, partnerships, and processes that do not serve this vision are challenged and reformed.</w:t>
      </w:r>
    </w:p>
    <w:p>
      <w:pPr>
        <w:pStyle w:val="Heading2"/>
        <w:spacing w:after="150" w:before="300"/>
      </w:pPr>
      <w:r>
        <w:t xml:space="preserve">2.3 Core Values</w:t>
      </w:r>
    </w:p>
    <w:p>
      <w:pPr>
        <w:spacing w:after="120" w:line="276"/>
      </w:pPr>
      <w:r>
        <w:rPr>
          <w:sz w:val="22"/>
          <w:szCs w:val="22"/>
        </w:rPr>
        <w:t xml:space="preserve">The following six values define who we are as an organization. They shape how we hire, how we evaluate performance, how we lead, and how we interact with customers and each other. These are not slogans — they are behavioral commitments.</w:t>
      </w:r>
    </w:p>
    <w:p>
      <w:pPr>
        <w:pStyle w:val="Heading3"/>
        <w:spacing w:after="100" w:before="200"/>
      </w:pPr>
      <w:r>
        <w:t xml:space="preserve">Value 1: Trustworthy by Design</w:t>
      </w:r>
    </w:p>
    <w:p>
      <w:pPr>
        <w:spacing w:after="120" w:line="276"/>
      </w:pPr>
      <w:r>
        <w:rPr>
          <w:sz w:val="22"/>
          <w:szCs w:val="22"/>
        </w:rPr>
        <w:t xml:space="preserve">We build products and run our business with transparency, honesty, and accountability. When something goes wrong — and things do go wrong — we acknowledge it, own it, and fix it. Our AI products are held to the same standard: explainable, auditable, and aligned with human values.</w:t>
      </w:r>
    </w:p>
    <w:p>
      <w:pPr>
        <w:pStyle w:val="ListParagraph"/>
        <w:numPr>
          <w:ilvl w:val="0"/>
          <w:numId w:val="1"/>
        </w:numPr>
        <w:spacing w:after="80"/>
      </w:pPr>
      <w:r>
        <w:rPr>
          <w:sz w:val="22"/>
          <w:szCs w:val="22"/>
        </w:rPr>
        <w:t xml:space="preserve">We never misrepresent product capabilities to prospects or customers</w:t>
      </w:r>
    </w:p>
    <w:p>
      <w:pPr>
        <w:pStyle w:val="ListParagraph"/>
        <w:numPr>
          <w:ilvl w:val="0"/>
          <w:numId w:val="1"/>
        </w:numPr>
        <w:spacing w:after="80"/>
      </w:pPr>
      <w:r>
        <w:rPr>
          <w:sz w:val="22"/>
          <w:szCs w:val="22"/>
        </w:rPr>
        <w:t xml:space="preserve">We disclose conflicts of interest proactively</w:t>
      </w:r>
    </w:p>
    <w:p>
      <w:pPr>
        <w:pStyle w:val="ListParagraph"/>
        <w:numPr>
          <w:ilvl w:val="0"/>
          <w:numId w:val="1"/>
        </w:numPr>
        <w:spacing w:after="80"/>
      </w:pPr>
      <w:r>
        <w:rPr>
          <w:sz w:val="22"/>
          <w:szCs w:val="22"/>
        </w:rPr>
        <w:t xml:space="preserve">We maintain audit trails for significant business decisions</w:t>
      </w:r>
    </w:p>
    <w:p>
      <w:pPr>
        <w:pStyle w:val="Heading3"/>
        <w:spacing w:after="100" w:before="200"/>
      </w:pPr>
      <w:r>
        <w:t xml:space="preserve">Value 2: Customer Obsession</w:t>
      </w:r>
    </w:p>
    <w:p>
      <w:pPr>
        <w:spacing w:after="120" w:line="276"/>
      </w:pPr>
      <w:r>
        <w:rPr>
          <w:sz w:val="22"/>
          <w:szCs w:val="22"/>
        </w:rPr>
        <w:t xml:space="preserve">Our customers' success is our success. We go beyond solving the stated problem to understand the underlying need. We measure our own performance by the outcomes our customers achieve, not by the number of features we ship.</w:t>
      </w:r>
    </w:p>
    <w:p>
      <w:pPr>
        <w:pStyle w:val="ListParagraph"/>
        <w:numPr>
          <w:ilvl w:val="0"/>
          <w:numId w:val="1"/>
        </w:numPr>
        <w:spacing w:after="80"/>
      </w:pPr>
      <w:r>
        <w:rPr>
          <w:sz w:val="22"/>
          <w:szCs w:val="22"/>
        </w:rPr>
        <w:t xml:space="preserve">We maintain a Net Promoter Score target of 65+ across all regions</w:t>
      </w:r>
    </w:p>
    <w:p>
      <w:pPr>
        <w:pStyle w:val="ListParagraph"/>
        <w:numPr>
          <w:ilvl w:val="0"/>
          <w:numId w:val="1"/>
        </w:numPr>
        <w:spacing w:after="80"/>
      </w:pPr>
      <w:r>
        <w:rPr>
          <w:sz w:val="22"/>
          <w:szCs w:val="22"/>
        </w:rPr>
        <w:t xml:space="preserve">Every team, not just Customer Success, has customer interaction goals</w:t>
      </w:r>
    </w:p>
    <w:p>
      <w:pPr>
        <w:pStyle w:val="ListParagraph"/>
        <w:numPr>
          <w:ilvl w:val="0"/>
          <w:numId w:val="1"/>
        </w:numPr>
        <w:spacing w:after="80"/>
      </w:pPr>
      <w:r>
        <w:rPr>
          <w:sz w:val="22"/>
          <w:szCs w:val="22"/>
        </w:rPr>
        <w:t xml:space="preserve">We share customer feedback broadly and act on it systematically</w:t>
      </w:r>
    </w:p>
    <w:p>
      <w:pPr>
        <w:pStyle w:val="Heading3"/>
        <w:spacing w:after="100" w:before="200"/>
      </w:pPr>
      <w:r>
        <w:t xml:space="preserve">Value 3: Engineering Excellence</w:t>
      </w:r>
    </w:p>
    <w:p>
      <w:pPr>
        <w:spacing w:after="120" w:line="276"/>
      </w:pPr>
      <w:r>
        <w:rPr>
          <w:sz w:val="22"/>
          <w:szCs w:val="22"/>
        </w:rPr>
        <w:t xml:space="preserve">Quality is not negotiable. We set high standards for the reliability, security, and performance of everything we ship. We invest in testing, documentation, and code review because technical debt is a business risk. Every engineer is expected to own the quality of their work end-to-end.</w:t>
      </w:r>
    </w:p>
    <w:p>
      <w:pPr>
        <w:pStyle w:val="Heading3"/>
        <w:spacing w:after="100" w:before="200"/>
      </w:pPr>
      <w:r>
        <w:t xml:space="preserve">Value 4: Inclusive Collaboration</w:t>
      </w:r>
    </w:p>
    <w:p>
      <w:pPr>
        <w:spacing w:after="120" w:line="276"/>
      </w:pPr>
      <w:r>
        <w:rPr>
          <w:sz w:val="22"/>
          <w:szCs w:val="22"/>
        </w:rPr>
        <w:t xml:space="preserve">The best ideas come from diverse teams working together with psychological safety. We actively seek out perspectives different from our own, we listen before we speak, and we give credit generously. We believe that inclusion is a competitive advantage, not just a moral imperative.</w:t>
      </w:r>
    </w:p>
    <w:p>
      <w:pPr>
        <w:pStyle w:val="Heading3"/>
        <w:spacing w:after="100" w:before="200"/>
      </w:pPr>
      <w:r>
        <w:t xml:space="preserve">Value 5: Relentless Learning</w:t>
      </w:r>
    </w:p>
    <w:p>
      <w:pPr>
        <w:spacing w:after="120" w:line="276"/>
      </w:pPr>
      <w:r>
        <w:rPr>
          <w:sz w:val="22"/>
          <w:szCs w:val="22"/>
        </w:rPr>
        <w:t xml:space="preserve">The AI industry moves at a speed that demands continuous learning. We fund education, we create time for experimentation, and we celebrate intellectual curiosity. Failure that teaches us something is valued; complacency is not. Every employee at OptiAgent has access to a personal learning budget. See Section 11 — Learning &amp; Development for details.</w:t>
      </w:r>
    </w:p>
    <w:p>
      <w:pPr>
        <w:pStyle w:val="Heading3"/>
        <w:spacing w:after="100" w:before="200"/>
      </w:pPr>
      <w:r>
        <w:t xml:space="preserve">Value 6: Impact at Scale</w:t>
      </w:r>
    </w:p>
    <w:p>
      <w:pPr>
        <w:spacing w:after="120" w:line="276"/>
      </w:pPr>
      <w:r>
        <w:rPr>
          <w:sz w:val="22"/>
          <w:szCs w:val="22"/>
        </w:rPr>
        <w:t xml:space="preserve">We are not satisfied with incremental improvement. We aim to create products and processes that move the needle significantly — for our customers, for our communities, and for the world. We measure the size of the problems we solve, not just the elegance of the solutions.</w:t>
      </w:r>
    </w:p>
    <w:p>
      <w:pPr>
        <w:pStyle w:val="Heading2"/>
        <w:spacing w:after="150" w:before="300"/>
      </w:pPr>
      <w:r>
        <w:t xml:space="preserve">2.4 Values in Practice: Behavioral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sz w:val="20"/>
                <w:szCs w:val="20"/>
              </w:rPr>
              <w:t xml:space="preserve">Value</w:t>
            </w:r>
          </w:p>
        </w:tc>
        <w:tc>
          <w:tcPr>
            <w:tcW w:type="dxa" w:w="3120"/>
            <w:shd w:fill="1F4E79" w:color="1F4E79" w:val="clear"/>
          </w:tcPr>
          <w:p>
            <w:pPr>
              <w:spacing w:after="60"/>
            </w:pPr>
            <w:r>
              <w:rPr>
                <w:b/>
                <w:bCs/>
                <w:sz w:val="20"/>
                <w:szCs w:val="20"/>
              </w:rPr>
              <w:t xml:space="preserve">What Good Looks Like</w:t>
            </w:r>
          </w:p>
        </w:tc>
        <w:tc>
          <w:tcPr>
            <w:tcW w:type="dxa" w:w="3120"/>
            <w:shd w:fill="1F4E79" w:color="1F4E79" w:val="clear"/>
          </w:tcPr>
          <w:p>
            <w:pPr>
              <w:spacing w:after="60"/>
            </w:pPr>
            <w:r>
              <w:rPr>
                <w:b/>
                <w:bCs/>
                <w:sz w:val="20"/>
                <w:szCs w:val="20"/>
              </w:rPr>
              <w:t xml:space="preserve">What This Isn't</w:t>
            </w:r>
          </w:p>
        </w:tc>
      </w:tr>
      <w:tr>
        <w:tc>
          <w:tcPr>
            <w:tcW w:type="dxa" w:w="3120"/>
          </w:tcPr>
          <w:p>
            <w:pPr>
              <w:spacing w:after="60"/>
            </w:pPr>
            <w:r>
              <w:rPr>
                <w:b w:val="false"/>
                <w:bCs w:val="false"/>
                <w:sz w:val="20"/>
                <w:szCs w:val="20"/>
              </w:rPr>
              <w:t xml:space="preserve">Trustworthy by Design</w:t>
            </w:r>
          </w:p>
        </w:tc>
        <w:tc>
          <w:tcPr>
            <w:tcW w:type="dxa" w:w="3120"/>
          </w:tcPr>
          <w:p>
            <w:pPr>
              <w:spacing w:after="60"/>
            </w:pPr>
            <w:r>
              <w:rPr>
                <w:b w:val="false"/>
                <w:bCs w:val="false"/>
                <w:sz w:val="20"/>
                <w:szCs w:val="20"/>
              </w:rPr>
              <w:t xml:space="preserve">Proactive communication of risks and issues</w:t>
            </w:r>
          </w:p>
        </w:tc>
        <w:tc>
          <w:tcPr>
            <w:tcW w:type="dxa" w:w="3120"/>
          </w:tcPr>
          <w:p>
            <w:pPr>
              <w:spacing w:after="60"/>
            </w:pPr>
            <w:r>
              <w:rPr>
                <w:b w:val="false"/>
                <w:bCs w:val="false"/>
                <w:sz w:val="20"/>
                <w:szCs w:val="20"/>
              </w:rPr>
              <w:t xml:space="preserve">Hiding bad news until it becomes a crisis</w:t>
            </w:r>
          </w:p>
        </w:tc>
      </w:tr>
      <w:tr>
        <w:tc>
          <w:tcPr>
            <w:tcW w:type="dxa" w:w="3120"/>
          </w:tcPr>
          <w:p>
            <w:pPr>
              <w:spacing w:after="60"/>
            </w:pPr>
            <w:r>
              <w:rPr>
                <w:b w:val="false"/>
                <w:bCs w:val="false"/>
                <w:sz w:val="20"/>
                <w:szCs w:val="20"/>
              </w:rPr>
              <w:t xml:space="preserve">Customer Obsession</w:t>
            </w:r>
          </w:p>
        </w:tc>
        <w:tc>
          <w:tcPr>
            <w:tcW w:type="dxa" w:w="3120"/>
          </w:tcPr>
          <w:p>
            <w:pPr>
              <w:spacing w:after="60"/>
            </w:pPr>
            <w:r>
              <w:rPr>
                <w:b w:val="false"/>
                <w:bCs w:val="false"/>
                <w:sz w:val="20"/>
                <w:szCs w:val="20"/>
              </w:rPr>
              <w:t xml:space="preserve">Following up 30 days after delivery to confirm outcome</w:t>
            </w:r>
          </w:p>
        </w:tc>
        <w:tc>
          <w:tcPr>
            <w:tcW w:type="dxa" w:w="3120"/>
          </w:tcPr>
          <w:p>
            <w:pPr>
              <w:spacing w:after="60"/>
            </w:pPr>
            <w:r>
              <w:rPr>
                <w:b w:val="false"/>
                <w:bCs w:val="false"/>
                <w:sz w:val="20"/>
                <w:szCs w:val="20"/>
              </w:rPr>
              <w:t xml:space="preserve">Closing a ticket without confirming resolution</w:t>
            </w:r>
          </w:p>
        </w:tc>
      </w:tr>
      <w:tr>
        <w:tc>
          <w:tcPr>
            <w:tcW w:type="dxa" w:w="3120"/>
          </w:tcPr>
          <w:p>
            <w:pPr>
              <w:spacing w:after="60"/>
            </w:pPr>
            <w:r>
              <w:rPr>
                <w:b w:val="false"/>
                <w:bCs w:val="false"/>
                <w:sz w:val="20"/>
                <w:szCs w:val="20"/>
              </w:rPr>
              <w:t xml:space="preserve">Engineering Excellence</w:t>
            </w:r>
          </w:p>
        </w:tc>
        <w:tc>
          <w:tcPr>
            <w:tcW w:type="dxa" w:w="3120"/>
          </w:tcPr>
          <w:p>
            <w:pPr>
              <w:spacing w:after="60"/>
            </w:pPr>
            <w:r>
              <w:rPr>
                <w:b w:val="false"/>
                <w:bCs w:val="false"/>
                <w:sz w:val="20"/>
                <w:szCs w:val="20"/>
              </w:rPr>
              <w:t xml:space="preserve">Writing tests before merging to main</w:t>
            </w:r>
          </w:p>
        </w:tc>
        <w:tc>
          <w:tcPr>
            <w:tcW w:type="dxa" w:w="3120"/>
          </w:tcPr>
          <w:p>
            <w:pPr>
              <w:spacing w:after="60"/>
            </w:pPr>
            <w:r>
              <w:rPr>
                <w:b w:val="false"/>
                <w:bCs w:val="false"/>
                <w:sz w:val="20"/>
                <w:szCs w:val="20"/>
              </w:rPr>
              <w:t xml:space="preserve">Skipping code review under time pressure</w:t>
            </w:r>
          </w:p>
        </w:tc>
      </w:tr>
      <w:tr>
        <w:tc>
          <w:tcPr>
            <w:tcW w:type="dxa" w:w="3120"/>
          </w:tcPr>
          <w:p>
            <w:pPr>
              <w:spacing w:after="60"/>
            </w:pPr>
            <w:r>
              <w:rPr>
                <w:b w:val="false"/>
                <w:bCs w:val="false"/>
                <w:sz w:val="20"/>
                <w:szCs w:val="20"/>
              </w:rPr>
              <w:t xml:space="preserve">Inclusive Collaboration</w:t>
            </w:r>
          </w:p>
        </w:tc>
        <w:tc>
          <w:tcPr>
            <w:tcW w:type="dxa" w:w="3120"/>
          </w:tcPr>
          <w:p>
            <w:pPr>
              <w:spacing w:after="60"/>
            </w:pPr>
            <w:r>
              <w:rPr>
                <w:b w:val="false"/>
                <w:bCs w:val="false"/>
                <w:sz w:val="20"/>
                <w:szCs w:val="20"/>
              </w:rPr>
              <w:t xml:space="preserve">Actively soliciting quieter voices in meetings</w:t>
            </w:r>
          </w:p>
        </w:tc>
        <w:tc>
          <w:tcPr>
            <w:tcW w:type="dxa" w:w="3120"/>
          </w:tcPr>
          <w:p>
            <w:pPr>
              <w:spacing w:after="60"/>
            </w:pPr>
            <w:r>
              <w:rPr>
                <w:b w:val="false"/>
                <w:bCs w:val="false"/>
                <w:sz w:val="20"/>
                <w:szCs w:val="20"/>
              </w:rPr>
              <w:t xml:space="preserve">Letting the loudest voice set the direction</w:t>
            </w:r>
          </w:p>
        </w:tc>
      </w:tr>
      <w:tr>
        <w:tc>
          <w:tcPr>
            <w:tcW w:type="dxa" w:w="3120"/>
          </w:tcPr>
          <w:p>
            <w:pPr>
              <w:spacing w:after="60"/>
            </w:pPr>
            <w:r>
              <w:rPr>
                <w:b w:val="false"/>
                <w:bCs w:val="false"/>
                <w:sz w:val="20"/>
                <w:szCs w:val="20"/>
              </w:rPr>
              <w:t xml:space="preserve">Relentless Learning</w:t>
            </w:r>
          </w:p>
        </w:tc>
        <w:tc>
          <w:tcPr>
            <w:tcW w:type="dxa" w:w="3120"/>
          </w:tcPr>
          <w:p>
            <w:pPr>
              <w:spacing w:after="60"/>
            </w:pPr>
            <w:r>
              <w:rPr>
                <w:b w:val="false"/>
                <w:bCs w:val="false"/>
                <w:sz w:val="20"/>
                <w:szCs w:val="20"/>
              </w:rPr>
              <w:t xml:space="preserve">Completing at least 40 hours of structured learning per year</w:t>
            </w:r>
          </w:p>
        </w:tc>
        <w:tc>
          <w:tcPr>
            <w:tcW w:type="dxa" w:w="3120"/>
          </w:tcPr>
          <w:p>
            <w:pPr>
              <w:spacing w:after="60"/>
            </w:pPr>
            <w:r>
              <w:rPr>
                <w:b w:val="false"/>
                <w:bCs w:val="false"/>
                <w:sz w:val="20"/>
                <w:szCs w:val="20"/>
              </w:rPr>
              <w:t xml:space="preserve">Doing the same things the same way year after year</w:t>
            </w:r>
          </w:p>
        </w:tc>
      </w:tr>
      <w:tr>
        <w:tc>
          <w:tcPr>
            <w:tcW w:type="dxa" w:w="3120"/>
          </w:tcPr>
          <w:p>
            <w:pPr>
              <w:spacing w:after="60"/>
            </w:pPr>
            <w:r>
              <w:rPr>
                <w:b w:val="false"/>
                <w:bCs w:val="false"/>
                <w:sz w:val="20"/>
                <w:szCs w:val="20"/>
              </w:rPr>
              <w:t xml:space="preserve">Impact at Scale</w:t>
            </w:r>
          </w:p>
        </w:tc>
        <w:tc>
          <w:tcPr>
            <w:tcW w:type="dxa" w:w="3120"/>
          </w:tcPr>
          <w:p>
            <w:pPr>
              <w:spacing w:after="60"/>
            </w:pPr>
            <w:r>
              <w:rPr>
                <w:b w:val="false"/>
                <w:bCs w:val="false"/>
                <w:sz w:val="20"/>
                <w:szCs w:val="20"/>
              </w:rPr>
              <w:t xml:space="preserve">Defining success metrics before starting a project</w:t>
            </w:r>
          </w:p>
        </w:tc>
        <w:tc>
          <w:tcPr>
            <w:tcW w:type="dxa" w:w="3120"/>
          </w:tcPr>
          <w:p>
            <w:pPr>
              <w:spacing w:after="60"/>
            </w:pPr>
            <w:r>
              <w:rPr>
                <w:b w:val="false"/>
                <w:bCs w:val="false"/>
                <w:sz w:val="20"/>
                <w:szCs w:val="20"/>
              </w:rPr>
              <w:t xml:space="preserve">Shipping without knowing how you'll measure success</w:t>
            </w:r>
          </w:p>
        </w:tc>
      </w:tr>
    </w:tbl>
    <w:p>
      <w:pPr>
        <w:spacing w:after="100"/>
      </w:pPr>
      <w:r>
        <w:t xml:space="preserve"/>
      </w:r>
    </w:p>
    <w:p>
      <w:r>
        <w:br w:type="page"/>
      </w:r>
    </w:p>
    <w:p>
      <w:pPr>
        <w:pStyle w:val="Heading1"/>
        <w:spacing w:after="200" w:before="400"/>
      </w:pPr>
      <w:r>
        <w:t xml:space="preserve">Chapter 3: Code of Conduct &amp; Ethics</w:t>
      </w:r>
    </w:p>
    <w:p>
      <w:pPr>
        <w:pStyle w:val="Heading2"/>
        <w:spacing w:after="150" w:before="300"/>
      </w:pPr>
      <w:r>
        <w:t xml:space="preserve">3.1 Purpose &amp; Scope</w:t>
      </w:r>
    </w:p>
    <w:p>
      <w:pPr>
        <w:spacing w:after="120" w:line="276"/>
      </w:pPr>
      <w:r>
        <w:rPr>
          <w:sz w:val="22"/>
          <w:szCs w:val="22"/>
        </w:rPr>
        <w:t xml:space="preserve">The Code of Conduct applies to all employees, contractors, interns, and third parties acting on behalf of OptiAgent Technologies, regardless of seniority, location, or employment type. It governs conduct in the workplace, at company events, during business travel, on company-owned or company-issued devices, and in any external setting where the individual is representing OptiAgent.</w:t>
      </w:r>
    </w:p>
    <w:p>
      <w:pPr>
        <w:spacing w:after="120" w:line="276"/>
      </w:pPr>
      <w:r>
        <w:rPr>
          <w:sz w:val="22"/>
          <w:szCs w:val="22"/>
        </w:rPr>
        <w:t xml:space="preserve">Adherence to this Code is a condition of employment. Violations may result in disciplinary action up to and including immediate termination of employment. In serious cases involving fraud, theft, or criminal conduct, OptiAgent will cooperate with law enforcement.</w:t>
      </w:r>
    </w:p>
    <w:p>
      <w:pPr>
        <w:pStyle w:val="Heading2"/>
        <w:spacing w:after="150" w:before="300"/>
      </w:pPr>
      <w:r>
        <w:t xml:space="preserve">3.2 Honest and Ethical Business Conduct</w:t>
      </w:r>
    </w:p>
    <w:p>
      <w:pPr>
        <w:spacing w:after="120" w:line="276"/>
      </w:pPr>
      <w:r>
        <w:rPr>
          <w:sz w:val="22"/>
          <w:szCs w:val="22"/>
        </w:rPr>
        <w:t xml:space="preserve">All employees must deal honestly and ethically with customers, vendors, partners, regulators, and the public. This includes:</w:t>
      </w:r>
    </w:p>
    <w:p>
      <w:pPr>
        <w:pStyle w:val="ListParagraph"/>
        <w:numPr>
          <w:ilvl w:val="0"/>
          <w:numId w:val="1"/>
        </w:numPr>
        <w:spacing w:after="80"/>
      </w:pPr>
      <w:r>
        <w:rPr>
          <w:sz w:val="22"/>
          <w:szCs w:val="22"/>
        </w:rPr>
        <w:t xml:space="preserve">Providing accurate information in all business communications, proposals, and reports</w:t>
      </w:r>
    </w:p>
    <w:p>
      <w:pPr>
        <w:pStyle w:val="ListParagraph"/>
        <w:numPr>
          <w:ilvl w:val="0"/>
          <w:numId w:val="1"/>
        </w:numPr>
        <w:spacing w:after="80"/>
      </w:pPr>
      <w:r>
        <w:rPr>
          <w:sz w:val="22"/>
          <w:szCs w:val="22"/>
        </w:rPr>
        <w:t xml:space="preserve">Never misrepresenting your role, authority, or the company's products and services</w:t>
      </w:r>
    </w:p>
    <w:p>
      <w:pPr>
        <w:pStyle w:val="ListParagraph"/>
        <w:numPr>
          <w:ilvl w:val="0"/>
          <w:numId w:val="1"/>
        </w:numPr>
        <w:spacing w:after="80"/>
      </w:pPr>
      <w:r>
        <w:rPr>
          <w:sz w:val="22"/>
          <w:szCs w:val="22"/>
        </w:rPr>
        <w:t xml:space="preserve">Ensuring that all financial records and expense reports are accurate and complete</w:t>
      </w:r>
    </w:p>
    <w:p>
      <w:pPr>
        <w:pStyle w:val="ListParagraph"/>
        <w:numPr>
          <w:ilvl w:val="0"/>
          <w:numId w:val="1"/>
        </w:numPr>
        <w:spacing w:after="80"/>
      </w:pPr>
      <w:r>
        <w:rPr>
          <w:sz w:val="22"/>
          <w:szCs w:val="22"/>
        </w:rPr>
        <w:t xml:space="preserve">Complying with all applicable laws, regulations, and contractual obligations</w:t>
      </w:r>
    </w:p>
    <w:p>
      <w:pPr>
        <w:pStyle w:val="ListParagraph"/>
        <w:numPr>
          <w:ilvl w:val="0"/>
          <w:numId w:val="1"/>
        </w:numPr>
        <w:spacing w:after="80"/>
      </w:pPr>
      <w:r>
        <w:rPr>
          <w:sz w:val="22"/>
          <w:szCs w:val="22"/>
        </w:rPr>
        <w:t xml:space="preserve">Never engaging in bribery, kickbacks, or corrupt practices of any kind</w:t>
      </w:r>
    </w:p>
    <w:p>
      <w:pPr>
        <w:pStyle w:val="Heading2"/>
        <w:spacing w:after="150" w:before="300"/>
      </w:pPr>
      <w:r>
        <w:t xml:space="preserve">3.3 Conflicts of Interest</w:t>
      </w:r>
    </w:p>
    <w:p>
      <w:pPr>
        <w:spacing w:after="120" w:line="276"/>
      </w:pPr>
      <w:r>
        <w:rPr>
          <w:sz w:val="22"/>
          <w:szCs w:val="22"/>
        </w:rPr>
        <w:t xml:space="preserve">A conflict of interest exists when personal, financial, or other interests interfere — or could appear to interfere — with your ability to act in the best interests of OptiAgent Technologies. The following are common examples:</w:t>
      </w:r>
    </w:p>
    <w:p>
      <w:pPr>
        <w:pStyle w:val="ListParagraph"/>
        <w:numPr>
          <w:ilvl w:val="0"/>
          <w:numId w:val="1"/>
        </w:numPr>
        <w:spacing w:after="80"/>
      </w:pPr>
      <w:r>
        <w:rPr>
          <w:sz w:val="22"/>
          <w:szCs w:val="22"/>
        </w:rPr>
        <w:t xml:space="preserve">Holding a financial interest in a competitor, supplier, or customer (excluding publicly traded shares under 1% of voting stock)</w:t>
      </w:r>
    </w:p>
    <w:p>
      <w:pPr>
        <w:pStyle w:val="ListParagraph"/>
        <w:numPr>
          <w:ilvl w:val="0"/>
          <w:numId w:val="1"/>
        </w:numPr>
        <w:spacing w:after="80"/>
      </w:pPr>
      <w:r>
        <w:rPr>
          <w:sz w:val="22"/>
          <w:szCs w:val="22"/>
        </w:rPr>
        <w:t xml:space="preserve">Serving on the board of a competitor, supplier, or customer without prior written approval from the Chief People Officer</w:t>
      </w:r>
    </w:p>
    <w:p>
      <w:pPr>
        <w:pStyle w:val="ListParagraph"/>
        <w:numPr>
          <w:ilvl w:val="0"/>
          <w:numId w:val="1"/>
        </w:numPr>
        <w:spacing w:after="80"/>
      </w:pPr>
      <w:r>
        <w:rPr>
          <w:sz w:val="22"/>
          <w:szCs w:val="22"/>
        </w:rPr>
        <w:t xml:space="preserve">Directing company business to a vendor in which a family member has a financial interest</w:t>
      </w:r>
    </w:p>
    <w:p>
      <w:pPr>
        <w:pStyle w:val="ListParagraph"/>
        <w:numPr>
          <w:ilvl w:val="0"/>
          <w:numId w:val="1"/>
        </w:numPr>
        <w:spacing w:after="80"/>
      </w:pPr>
      <w:r>
        <w:rPr>
          <w:sz w:val="22"/>
          <w:szCs w:val="22"/>
        </w:rPr>
        <w:t xml:space="preserve">Hiring a family member into a role where you have direct or indirect supervisory authority</w:t>
      </w:r>
    </w:p>
    <w:p>
      <w:pPr>
        <w:pStyle w:val="ListParagraph"/>
        <w:numPr>
          <w:ilvl w:val="0"/>
          <w:numId w:val="1"/>
        </w:numPr>
        <w:spacing w:after="80"/>
      </w:pPr>
      <w:r>
        <w:rPr>
          <w:sz w:val="22"/>
          <w:szCs w:val="22"/>
        </w:rPr>
        <w:t xml:space="preserve">Accepting gifts, entertainment, or hospitality from vendors or customers beyond the thresholds defined in Section 13.4</w:t>
      </w:r>
    </w:p>
    <w:p>
      <w:pPr>
        <w:spacing w:after="120" w:line="276"/>
      </w:pPr>
      <w:r>
        <w:rPr>
          <w:sz w:val="22"/>
          <w:szCs w:val="22"/>
        </w:rPr>
        <w:t xml:space="preserve">If a potential conflict arises, you must disclose it immediately to your manager and the Legal department using the Conflict of Interest Disclosure Form available on the HR Portal. Disclosure alone is not misconduct — failure to disclose is. See Chapter 16 for the full Conflict of Interest Policy.</w:t>
      </w:r>
    </w:p>
    <w:p>
      <w:pPr>
        <w:pStyle w:val="Heading2"/>
        <w:spacing w:after="150" w:before="300"/>
      </w:pPr>
      <w:r>
        <w:t xml:space="preserve">3.4 Gifts &amp; Entertainment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Scenario</w:t>
            </w:r>
          </w:p>
        </w:tc>
        <w:tc>
          <w:tcPr>
            <w:tcW w:type="dxa" w:w="2340"/>
            <w:shd w:fill="1F4E79" w:color="1F4E79" w:val="clear"/>
          </w:tcPr>
          <w:p>
            <w:pPr>
              <w:spacing w:after="60"/>
            </w:pPr>
            <w:r>
              <w:rPr>
                <w:b/>
                <w:bCs/>
                <w:sz w:val="20"/>
                <w:szCs w:val="20"/>
              </w:rPr>
              <w:t xml:space="preserve">Permitted Value</w:t>
            </w:r>
          </w:p>
        </w:tc>
        <w:tc>
          <w:tcPr>
            <w:tcW w:type="dxa" w:w="2340"/>
            <w:shd w:fill="1F4E79" w:color="1F4E79" w:val="clear"/>
          </w:tcPr>
          <w:p>
            <w:pPr>
              <w:spacing w:after="60"/>
            </w:pPr>
            <w:r>
              <w:rPr>
                <w:b/>
                <w:bCs/>
                <w:sz w:val="20"/>
                <w:szCs w:val="20"/>
              </w:rPr>
              <w:t xml:space="preserve">Approval Required</w:t>
            </w:r>
          </w:p>
        </w:tc>
        <w:tc>
          <w:tcPr>
            <w:tcW w:type="dxa" w:w="2340"/>
            <w:shd w:fill="1F4E79" w:color="1F4E79" w:val="clear"/>
          </w:tcPr>
          <w:p>
            <w:pPr>
              <w:spacing w:after="60"/>
            </w:pPr>
            <w:r>
              <w:rPr>
                <w:b/>
                <w:bCs/>
                <w:sz w:val="20"/>
                <w:szCs w:val="20"/>
              </w:rPr>
              <w:t xml:space="preserve">Reporting Required</w:t>
            </w:r>
          </w:p>
        </w:tc>
      </w:tr>
      <w:tr>
        <w:tc>
          <w:tcPr>
            <w:tcW w:type="dxa" w:w="2340"/>
          </w:tcPr>
          <w:p>
            <w:pPr>
              <w:spacing w:after="60"/>
            </w:pPr>
            <w:r>
              <w:rPr>
                <w:b w:val="false"/>
                <w:bCs w:val="false"/>
                <w:sz w:val="20"/>
                <w:szCs w:val="20"/>
              </w:rPr>
              <w:t xml:space="preserve">Gift received from vendor</w:t>
            </w:r>
          </w:p>
        </w:tc>
        <w:tc>
          <w:tcPr>
            <w:tcW w:type="dxa" w:w="2340"/>
          </w:tcPr>
          <w:p>
            <w:pPr>
              <w:spacing w:after="60"/>
            </w:pPr>
            <w:r>
              <w:rPr>
                <w:b w:val="false"/>
                <w:bCs w:val="false"/>
                <w:sz w:val="20"/>
                <w:szCs w:val="20"/>
              </w:rPr>
              <w:t xml:space="preserve">Up to $50 USD equivalent</w:t>
            </w:r>
          </w:p>
        </w:tc>
        <w:tc>
          <w:tcPr>
            <w:tcW w:type="dxa" w:w="2340"/>
          </w:tcPr>
          <w:p>
            <w:pPr>
              <w:spacing w:after="60"/>
            </w:pPr>
            <w:r>
              <w:rPr>
                <w:b w:val="false"/>
                <w:bCs w:val="false"/>
                <w:sz w:val="20"/>
                <w:szCs w:val="20"/>
              </w:rPr>
              <w:t xml:space="preserve">No</w:t>
            </w:r>
          </w:p>
        </w:tc>
        <w:tc>
          <w:tcPr>
            <w:tcW w:type="dxa" w:w="2340"/>
          </w:tcPr>
          <w:p>
            <w:pPr>
              <w:spacing w:after="60"/>
            </w:pPr>
            <w:r>
              <w:rPr>
                <w:b w:val="false"/>
                <w:bCs w:val="false"/>
                <w:sz w:val="20"/>
                <w:szCs w:val="20"/>
              </w:rPr>
              <w:t xml:space="preserve">No</w:t>
            </w:r>
          </w:p>
        </w:tc>
      </w:tr>
      <w:tr>
        <w:tc>
          <w:tcPr>
            <w:tcW w:type="dxa" w:w="2340"/>
          </w:tcPr>
          <w:p>
            <w:pPr>
              <w:spacing w:after="60"/>
            </w:pPr>
            <w:r>
              <w:rPr>
                <w:b w:val="false"/>
                <w:bCs w:val="false"/>
                <w:sz w:val="20"/>
                <w:szCs w:val="20"/>
              </w:rPr>
              <w:t xml:space="preserve">Gift received from vendor</w:t>
            </w:r>
          </w:p>
        </w:tc>
        <w:tc>
          <w:tcPr>
            <w:tcW w:type="dxa" w:w="2340"/>
          </w:tcPr>
          <w:p>
            <w:pPr>
              <w:spacing w:after="60"/>
            </w:pPr>
            <w:r>
              <w:rPr>
                <w:b w:val="false"/>
                <w:bCs w:val="false"/>
                <w:sz w:val="20"/>
                <w:szCs w:val="20"/>
              </w:rPr>
              <w:t xml:space="preserve">$51–$250 USD equivalent</w:t>
            </w:r>
          </w:p>
        </w:tc>
        <w:tc>
          <w:tcPr>
            <w:tcW w:type="dxa" w:w="2340"/>
          </w:tcPr>
          <w:p>
            <w:pPr>
              <w:spacing w:after="60"/>
            </w:pPr>
            <w:r>
              <w:rPr>
                <w:b w:val="false"/>
                <w:bCs w:val="false"/>
                <w:sz w:val="20"/>
                <w:szCs w:val="20"/>
              </w:rPr>
              <w:t xml:space="preserve">Manager</w:t>
            </w:r>
          </w:p>
        </w:tc>
        <w:tc>
          <w:tcPr>
            <w:tcW w:type="dxa" w:w="2340"/>
          </w:tcPr>
          <w:p>
            <w:pPr>
              <w:spacing w:after="60"/>
            </w:pPr>
            <w:r>
              <w:rPr>
                <w:b w:val="false"/>
                <w:bCs w:val="false"/>
                <w:sz w:val="20"/>
                <w:szCs w:val="20"/>
              </w:rPr>
              <w:t xml:space="preserve">Yes, HR Portal</w:t>
            </w:r>
          </w:p>
        </w:tc>
      </w:tr>
      <w:tr>
        <w:tc>
          <w:tcPr>
            <w:tcW w:type="dxa" w:w="2340"/>
          </w:tcPr>
          <w:p>
            <w:pPr>
              <w:spacing w:after="60"/>
            </w:pPr>
            <w:r>
              <w:rPr>
                <w:b w:val="false"/>
                <w:bCs w:val="false"/>
                <w:sz w:val="20"/>
                <w:szCs w:val="20"/>
              </w:rPr>
              <w:t xml:space="preserve">Gift received from vendor</w:t>
            </w:r>
          </w:p>
        </w:tc>
        <w:tc>
          <w:tcPr>
            <w:tcW w:type="dxa" w:w="2340"/>
          </w:tcPr>
          <w:p>
            <w:pPr>
              <w:spacing w:after="60"/>
            </w:pPr>
            <w:r>
              <w:rPr>
                <w:b w:val="false"/>
                <w:bCs w:val="false"/>
                <w:sz w:val="20"/>
                <w:szCs w:val="20"/>
              </w:rPr>
              <w:t xml:space="preserve">Over $250 USD equivalent</w:t>
            </w:r>
          </w:p>
        </w:tc>
        <w:tc>
          <w:tcPr>
            <w:tcW w:type="dxa" w:w="2340"/>
          </w:tcPr>
          <w:p>
            <w:pPr>
              <w:spacing w:after="60"/>
            </w:pPr>
            <w:r>
              <w:rPr>
                <w:b w:val="false"/>
                <w:bCs w:val="false"/>
                <w:sz w:val="20"/>
                <w:szCs w:val="20"/>
              </w:rPr>
              <w:t xml:space="preserve">Must decline</w:t>
            </w:r>
          </w:p>
        </w:tc>
        <w:tc>
          <w:tcPr>
            <w:tcW w:type="dxa" w:w="2340"/>
          </w:tcPr>
          <w:p>
            <w:pPr>
              <w:spacing w:after="60"/>
            </w:pPr>
            <w:r>
              <w:rPr>
                <w:b w:val="false"/>
                <w:bCs w:val="false"/>
                <w:sz w:val="20"/>
                <w:szCs w:val="20"/>
              </w:rPr>
              <w:t xml:space="preserve">N/A</w:t>
            </w:r>
          </w:p>
        </w:tc>
      </w:tr>
      <w:tr>
        <w:tc>
          <w:tcPr>
            <w:tcW w:type="dxa" w:w="2340"/>
          </w:tcPr>
          <w:p>
            <w:pPr>
              <w:spacing w:after="60"/>
            </w:pPr>
            <w:r>
              <w:rPr>
                <w:b w:val="false"/>
                <w:bCs w:val="false"/>
                <w:sz w:val="20"/>
                <w:szCs w:val="20"/>
              </w:rPr>
              <w:t xml:space="preserve">Business meal (domestic)</w:t>
            </w:r>
          </w:p>
        </w:tc>
        <w:tc>
          <w:tcPr>
            <w:tcW w:type="dxa" w:w="2340"/>
          </w:tcPr>
          <w:p>
            <w:pPr>
              <w:spacing w:after="60"/>
            </w:pPr>
            <w:r>
              <w:rPr>
                <w:b w:val="false"/>
                <w:bCs w:val="false"/>
                <w:sz w:val="20"/>
                <w:szCs w:val="20"/>
              </w:rPr>
              <w:t xml:space="preserve">Up to $150 per person</w:t>
            </w:r>
          </w:p>
        </w:tc>
        <w:tc>
          <w:tcPr>
            <w:tcW w:type="dxa" w:w="2340"/>
          </w:tcPr>
          <w:p>
            <w:pPr>
              <w:spacing w:after="60"/>
            </w:pPr>
            <w:r>
              <w:rPr>
                <w:b w:val="false"/>
                <w:bCs w:val="false"/>
                <w:sz w:val="20"/>
                <w:szCs w:val="20"/>
              </w:rPr>
              <w:t xml:space="preserve">No</w:t>
            </w:r>
          </w:p>
        </w:tc>
        <w:tc>
          <w:tcPr>
            <w:tcW w:type="dxa" w:w="2340"/>
          </w:tcPr>
          <w:p>
            <w:pPr>
              <w:spacing w:after="60"/>
            </w:pPr>
            <w:r>
              <w:rPr>
                <w:b w:val="false"/>
                <w:bCs w:val="false"/>
                <w:sz w:val="20"/>
                <w:szCs w:val="20"/>
              </w:rPr>
              <w:t xml:space="preserve">Expense report</w:t>
            </w:r>
          </w:p>
        </w:tc>
      </w:tr>
      <w:tr>
        <w:tc>
          <w:tcPr>
            <w:tcW w:type="dxa" w:w="2340"/>
          </w:tcPr>
          <w:p>
            <w:pPr>
              <w:spacing w:after="60"/>
            </w:pPr>
            <w:r>
              <w:rPr>
                <w:b w:val="false"/>
                <w:bCs w:val="false"/>
                <w:sz w:val="20"/>
                <w:szCs w:val="20"/>
              </w:rPr>
              <w:t xml:space="preserve">Business entertainment (event/concert)</w:t>
            </w:r>
          </w:p>
        </w:tc>
        <w:tc>
          <w:tcPr>
            <w:tcW w:type="dxa" w:w="2340"/>
          </w:tcPr>
          <w:p>
            <w:pPr>
              <w:spacing w:after="60"/>
            </w:pPr>
            <w:r>
              <w:rPr>
                <w:b w:val="false"/>
                <w:bCs w:val="false"/>
                <w:sz w:val="20"/>
                <w:szCs w:val="20"/>
              </w:rPr>
              <w:t xml:space="preserve">Up to $300 per person</w:t>
            </w:r>
          </w:p>
        </w:tc>
        <w:tc>
          <w:tcPr>
            <w:tcW w:type="dxa" w:w="2340"/>
          </w:tcPr>
          <w:p>
            <w:pPr>
              <w:spacing w:after="60"/>
            </w:pPr>
            <w:r>
              <w:rPr>
                <w:b w:val="false"/>
                <w:bCs w:val="false"/>
                <w:sz w:val="20"/>
                <w:szCs w:val="20"/>
              </w:rPr>
              <w:t xml:space="preserve">Manager + Finance</w:t>
            </w:r>
          </w:p>
        </w:tc>
        <w:tc>
          <w:tcPr>
            <w:tcW w:type="dxa" w:w="2340"/>
          </w:tcPr>
          <w:p>
            <w:pPr>
              <w:spacing w:after="60"/>
            </w:pPr>
            <w:r>
              <w:rPr>
                <w:b w:val="false"/>
                <w:bCs w:val="false"/>
                <w:sz w:val="20"/>
                <w:szCs w:val="20"/>
              </w:rPr>
              <w:t xml:space="preserve">Yes</w:t>
            </w:r>
          </w:p>
        </w:tc>
      </w:tr>
      <w:tr>
        <w:tc>
          <w:tcPr>
            <w:tcW w:type="dxa" w:w="2340"/>
          </w:tcPr>
          <w:p>
            <w:pPr>
              <w:spacing w:after="60"/>
            </w:pPr>
            <w:r>
              <w:rPr>
                <w:b w:val="false"/>
                <w:bCs w:val="false"/>
                <w:sz w:val="20"/>
                <w:szCs w:val="20"/>
              </w:rPr>
              <w:t xml:space="preserve">International business gift (giving)</w:t>
            </w:r>
          </w:p>
        </w:tc>
        <w:tc>
          <w:tcPr>
            <w:tcW w:type="dxa" w:w="2340"/>
          </w:tcPr>
          <w:p>
            <w:pPr>
              <w:spacing w:after="60"/>
            </w:pPr>
            <w:r>
              <w:rPr>
                <w:b w:val="false"/>
                <w:bCs w:val="false"/>
                <w:sz w:val="20"/>
                <w:szCs w:val="20"/>
              </w:rPr>
              <w:t xml:space="preserve">Up to $100 USD equivalent</w:t>
            </w:r>
          </w:p>
        </w:tc>
        <w:tc>
          <w:tcPr>
            <w:tcW w:type="dxa" w:w="2340"/>
          </w:tcPr>
          <w:p>
            <w:pPr>
              <w:spacing w:after="60"/>
            </w:pPr>
            <w:r>
              <w:rPr>
                <w:b w:val="false"/>
                <w:bCs w:val="false"/>
                <w:sz w:val="20"/>
                <w:szCs w:val="20"/>
              </w:rPr>
              <w:t xml:space="preserve">Manager</w:t>
            </w:r>
          </w:p>
        </w:tc>
        <w:tc>
          <w:tcPr>
            <w:tcW w:type="dxa" w:w="2340"/>
          </w:tcPr>
          <w:p>
            <w:pPr>
              <w:spacing w:after="60"/>
            </w:pPr>
            <w:r>
              <w:rPr>
                <w:b w:val="false"/>
                <w:bCs w:val="false"/>
                <w:sz w:val="20"/>
                <w:szCs w:val="20"/>
              </w:rPr>
              <w:t xml:space="preserve">Yes, HR Portal</w:t>
            </w:r>
          </w:p>
        </w:tc>
      </w:tr>
      <w:tr>
        <w:tc>
          <w:tcPr>
            <w:tcW w:type="dxa" w:w="2340"/>
          </w:tcPr>
          <w:p>
            <w:pPr>
              <w:spacing w:after="60"/>
            </w:pPr>
            <w:r>
              <w:rPr>
                <w:b w:val="false"/>
                <w:bCs w:val="false"/>
                <w:sz w:val="20"/>
                <w:szCs w:val="20"/>
              </w:rPr>
              <w:t xml:space="preserve">Cash gifts (any direction)</w:t>
            </w:r>
          </w:p>
        </w:tc>
        <w:tc>
          <w:tcPr>
            <w:tcW w:type="dxa" w:w="2340"/>
          </w:tcPr>
          <w:p>
            <w:pPr>
              <w:spacing w:after="60"/>
            </w:pPr>
            <w:r>
              <w:rPr>
                <w:b w:val="false"/>
                <w:bCs w:val="false"/>
                <w:sz w:val="20"/>
                <w:szCs w:val="20"/>
              </w:rPr>
              <w:t xml:space="preserve">Prohibited entirely</w:t>
            </w:r>
          </w:p>
        </w:tc>
        <w:tc>
          <w:tcPr>
            <w:tcW w:type="dxa" w:w="2340"/>
          </w:tcPr>
          <w:p>
            <w:pPr>
              <w:spacing w:after="60"/>
            </w:pPr>
            <w:r>
              <w:rPr>
                <w:b w:val="false"/>
                <w:bCs w:val="false"/>
                <w:sz w:val="20"/>
                <w:szCs w:val="20"/>
              </w:rPr>
              <w:t xml:space="preserve">N/A</w:t>
            </w:r>
          </w:p>
        </w:tc>
        <w:tc>
          <w:tcPr>
            <w:tcW w:type="dxa" w:w="2340"/>
          </w:tcPr>
          <w:p>
            <w:pPr>
              <w:spacing w:after="60"/>
            </w:pPr>
            <w:r>
              <w:rPr>
                <w:b w:val="false"/>
                <w:bCs w:val="false"/>
                <w:sz w:val="20"/>
                <w:szCs w:val="20"/>
              </w:rPr>
              <w:t xml:space="preserve">N/A</w:t>
            </w:r>
          </w:p>
        </w:tc>
      </w:tr>
    </w:tbl>
    <w:p>
      <w:pPr>
        <w:spacing w:after="100"/>
      </w:pPr>
      <w:r>
        <w:t xml:space="preserve"/>
      </w:r>
    </w:p>
    <w:p>
      <w:pPr>
        <w:pStyle w:val="Heading2"/>
        <w:spacing w:after="150" w:before="300"/>
      </w:pPr>
      <w:r>
        <w:t xml:space="preserve">3.5 Insider Trading &amp; Financial Conduct</w:t>
      </w:r>
    </w:p>
    <w:p>
      <w:pPr>
        <w:spacing w:after="120" w:line="276"/>
      </w:pPr>
      <w:r>
        <w:rPr>
          <w:sz w:val="22"/>
          <w:szCs w:val="22"/>
        </w:rPr>
        <w:t xml:space="preserve">As a publicly traded company, OptiAgent Technologies is subject to securities laws that prohibit trading in company shares on the basis of material non-public information (MNPI). All employees are subject to the following rules:</w:t>
      </w:r>
    </w:p>
    <w:p>
      <w:pPr>
        <w:pStyle w:val="ListParagraph"/>
        <w:numPr>
          <w:ilvl w:val="0"/>
          <w:numId w:val="1"/>
        </w:numPr>
        <w:spacing w:after="80"/>
      </w:pPr>
      <w:r>
        <w:rPr>
          <w:sz w:val="22"/>
          <w:szCs w:val="22"/>
        </w:rPr>
        <w:t xml:space="preserve">You may not trade OptiAgent (OATC) stock while in possession of any MNPI, including earnings results, M&amp;A activity, product launches, or regulatory decisions</w:t>
      </w:r>
    </w:p>
    <w:p>
      <w:pPr>
        <w:pStyle w:val="ListParagraph"/>
        <w:numPr>
          <w:ilvl w:val="0"/>
          <w:numId w:val="1"/>
        </w:numPr>
        <w:spacing w:after="80"/>
      </w:pPr>
      <w:r>
        <w:rPr>
          <w:sz w:val="22"/>
          <w:szCs w:val="22"/>
        </w:rPr>
        <w:t xml:space="preserve">You may not tip family members, friends, or associates with MNPI</w:t>
      </w:r>
    </w:p>
    <w:p>
      <w:pPr>
        <w:pStyle w:val="ListParagraph"/>
        <w:numPr>
          <w:ilvl w:val="0"/>
          <w:numId w:val="1"/>
        </w:numPr>
        <w:spacing w:after="80"/>
      </w:pPr>
      <w:r>
        <w:rPr>
          <w:sz w:val="22"/>
          <w:szCs w:val="22"/>
        </w:rPr>
        <w:t xml:space="preserve">You must comply with the quarterly blackout periods published by the Legal &amp; Compliance team (typically 3 weeks before and 2 trading days after earnings announcements)</w:t>
      </w:r>
    </w:p>
    <w:p>
      <w:pPr>
        <w:pStyle w:val="ListParagraph"/>
        <w:numPr>
          <w:ilvl w:val="0"/>
          <w:numId w:val="1"/>
        </w:numPr>
        <w:spacing w:after="80"/>
      </w:pPr>
      <w:r>
        <w:rPr>
          <w:sz w:val="22"/>
          <w:szCs w:val="22"/>
        </w:rPr>
        <w:t xml:space="preserve">Employees in roles designated as "insiders" by the Legal team must pre-clear all trades with the General Counsel's office</w:t>
      </w:r>
    </w:p>
    <w:p>
      <w:pPr>
        <w:spacing w:after="120" w:line="276"/>
      </w:pPr>
      <w:r>
        <w:rPr>
          <w:sz w:val="22"/>
          <w:szCs w:val="22"/>
        </w:rPr>
        <w:t xml:space="preserve">Violation of securities laws is a criminal offense. If you are uncertain whether information constitutes MNPI, consult the Legal team before trading. See the Insider Trading Policy available on the Legal SharePoint site for complete rules.</w:t>
      </w:r>
    </w:p>
    <w:p>
      <w:pPr>
        <w:pStyle w:val="Heading2"/>
        <w:spacing w:after="150" w:before="300"/>
      </w:pPr>
      <w:r>
        <w:t xml:space="preserve">3.6 Confidential Information</w:t>
      </w:r>
    </w:p>
    <w:p>
      <w:pPr>
        <w:spacing w:after="120" w:line="276"/>
      </w:pPr>
      <w:r>
        <w:rPr>
          <w:sz w:val="22"/>
          <w:szCs w:val="22"/>
        </w:rPr>
        <w:t xml:space="preserve">During your employment, you will have access to confidential information belonging to OptiAgent Technologies, its customers, and its partners. This information must be protected at all times. Confidential information includes but is not limited to:</w:t>
      </w:r>
    </w:p>
    <w:p>
      <w:pPr>
        <w:pStyle w:val="ListParagraph"/>
        <w:numPr>
          <w:ilvl w:val="0"/>
          <w:numId w:val="1"/>
        </w:numPr>
        <w:spacing w:after="80"/>
      </w:pPr>
      <w:r>
        <w:rPr>
          <w:sz w:val="22"/>
          <w:szCs w:val="22"/>
        </w:rPr>
        <w:t xml:space="preserve">Customer data, contracts, and usage information</w:t>
      </w:r>
    </w:p>
    <w:p>
      <w:pPr>
        <w:pStyle w:val="ListParagraph"/>
        <w:numPr>
          <w:ilvl w:val="0"/>
          <w:numId w:val="1"/>
        </w:numPr>
        <w:spacing w:after="80"/>
      </w:pPr>
      <w:r>
        <w:rPr>
          <w:sz w:val="22"/>
          <w:szCs w:val="22"/>
        </w:rPr>
        <w:t xml:space="preserve">Product roadmaps, source code, and technical architecture</w:t>
      </w:r>
    </w:p>
    <w:p>
      <w:pPr>
        <w:pStyle w:val="ListParagraph"/>
        <w:numPr>
          <w:ilvl w:val="0"/>
          <w:numId w:val="1"/>
        </w:numPr>
        <w:spacing w:after="80"/>
      </w:pPr>
      <w:r>
        <w:rPr>
          <w:sz w:val="22"/>
          <w:szCs w:val="22"/>
        </w:rPr>
        <w:t xml:space="preserve">Employee compensation, performance data, and personal information</w:t>
      </w:r>
    </w:p>
    <w:p>
      <w:pPr>
        <w:pStyle w:val="ListParagraph"/>
        <w:numPr>
          <w:ilvl w:val="0"/>
          <w:numId w:val="1"/>
        </w:numPr>
        <w:spacing w:after="80"/>
      </w:pPr>
      <w:r>
        <w:rPr>
          <w:sz w:val="22"/>
          <w:szCs w:val="22"/>
        </w:rPr>
        <w:t xml:space="preserve">Financial results, forecasts, and business plans not yet made public</w:t>
      </w:r>
    </w:p>
    <w:p>
      <w:pPr>
        <w:pStyle w:val="ListParagraph"/>
        <w:numPr>
          <w:ilvl w:val="0"/>
          <w:numId w:val="1"/>
        </w:numPr>
        <w:spacing w:after="80"/>
      </w:pPr>
      <w:r>
        <w:rPr>
          <w:sz w:val="22"/>
          <w:szCs w:val="22"/>
        </w:rPr>
        <w:t xml:space="preserve">Partner and vendor pricing, contracts, and commercial terms</w:t>
      </w:r>
    </w:p>
    <w:p>
      <w:pPr>
        <w:spacing w:after="120" w:line="276"/>
      </w:pPr>
      <w:r>
        <w:rPr>
          <w:sz w:val="22"/>
          <w:szCs w:val="22"/>
        </w:rPr>
        <w:t xml:space="preserve">Your obligation to protect confidential information does not end when your employment ends. The Non-Disclosure Agreement (NDA) you signed at joining remains in effect for a period specified in your employment contract. See Chapter 15 for Data Privacy &amp; Information Security obligations, and refer to Company Policy (Document ID: OAT-CP-001) for data classification rules.</w:t>
      </w:r>
    </w:p>
    <w:p>
      <w:pPr>
        <w:pStyle w:val="Heading2"/>
        <w:spacing w:after="150" w:before="300"/>
      </w:pPr>
      <w:r>
        <w:t xml:space="preserve">3.7 Reporting Ethical Concerns</w:t>
      </w:r>
    </w:p>
    <w:p>
      <w:pPr>
        <w:spacing w:after="120" w:line="276"/>
      </w:pPr>
      <w:r>
        <w:rPr>
          <w:sz w:val="22"/>
          <w:szCs w:val="22"/>
        </w:rPr>
        <w:t xml:space="preserve">OptiAgent Technologies takes ethical violations seriously. If you observe, suspect, or are aware of any conduct that may violate this Code, company policy, or applicable law, you are expected to report it. You may do so through any of the following channels:</w:t>
      </w:r>
    </w:p>
    <w:p>
      <w:pPr>
        <w:pStyle w:val="ListParagraph"/>
        <w:numPr>
          <w:ilvl w:val="0"/>
          <w:numId w:val="1"/>
        </w:numPr>
        <w:spacing w:after="80"/>
      </w:pPr>
      <w:r>
        <w:rPr>
          <w:sz w:val="22"/>
          <w:szCs w:val="22"/>
        </w:rPr>
        <w:t xml:space="preserve">Your direct manager (if the concern does not involve your manager)</w:t>
      </w:r>
    </w:p>
    <w:p>
      <w:pPr>
        <w:pStyle w:val="ListParagraph"/>
        <w:numPr>
          <w:ilvl w:val="0"/>
          <w:numId w:val="1"/>
        </w:numPr>
        <w:spacing w:after="80"/>
      </w:pPr>
      <w:r>
        <w:rPr>
          <w:sz w:val="22"/>
          <w:szCs w:val="22"/>
        </w:rPr>
        <w:t xml:space="preserve">The HR People Operations team at ethics@optiagent.com</w:t>
      </w:r>
    </w:p>
    <w:p>
      <w:pPr>
        <w:pStyle w:val="ListParagraph"/>
        <w:numPr>
          <w:ilvl w:val="0"/>
          <w:numId w:val="1"/>
        </w:numPr>
        <w:spacing w:after="80"/>
      </w:pPr>
      <w:r>
        <w:rPr>
          <w:sz w:val="22"/>
          <w:szCs w:val="22"/>
        </w:rPr>
        <w:t xml:space="preserve">The Legal &amp; Compliance team at legal.compliance@optiagent.com</w:t>
      </w:r>
    </w:p>
    <w:p>
      <w:pPr>
        <w:pStyle w:val="ListParagraph"/>
        <w:numPr>
          <w:ilvl w:val="0"/>
          <w:numId w:val="1"/>
        </w:numPr>
        <w:spacing w:after="80"/>
      </w:pPr>
      <w:r>
        <w:rPr>
          <w:sz w:val="22"/>
          <w:szCs w:val="22"/>
        </w:rPr>
        <w:t xml:space="preserve">The anonymous Ethics Hotline at 1-800-OAT-ETHX (available 24/7, independently operated by EthicsPoint)</w:t>
      </w:r>
    </w:p>
    <w:p>
      <w:pPr>
        <w:pStyle w:val="ListParagraph"/>
        <w:numPr>
          <w:ilvl w:val="0"/>
          <w:numId w:val="1"/>
        </w:numPr>
        <w:spacing w:after="80"/>
      </w:pPr>
      <w:r>
        <w:rPr>
          <w:sz w:val="22"/>
          <w:szCs w:val="22"/>
        </w:rPr>
        <w:t xml:space="preserve">Online anonymous submission at https://optiagent.ethicspoint.com</w:t>
      </w:r>
    </w:p>
    <w:p>
      <w:pPr>
        <w:spacing w:after="120" w:line="276"/>
      </w:pPr>
      <w:r>
        <w:rPr>
          <w:sz w:val="22"/>
          <w:szCs w:val="22"/>
        </w:rPr>
        <w:t xml:space="preserve">OptiAgent has a strict non-retaliation policy. No employee will be penalized, demoted, or adversely affected for making a good-faith report of a potential violation, even if the investigation concludes that no violation occurred. See Chapter 17 for the full Whistleblower Policy.</w:t>
      </w:r>
    </w:p>
    <w:p>
      <w:r>
        <w:br w:type="page"/>
      </w:r>
    </w:p>
    <w:p>
      <w:pPr>
        <w:pStyle w:val="Heading1"/>
        <w:spacing w:after="200" w:before="400"/>
      </w:pPr>
      <w:r>
        <w:t xml:space="preserve">Chapter 4: Equal Opportunity &amp; Anti-Discrimination</w:t>
      </w:r>
    </w:p>
    <w:p>
      <w:pPr>
        <w:pStyle w:val="Heading2"/>
        <w:spacing w:after="150" w:before="300"/>
      </w:pPr>
      <w:r>
        <w:t xml:space="preserve">4.1 Equal Opportunity Statement</w:t>
      </w:r>
    </w:p>
    <w:p>
      <w:pPr>
        <w:spacing w:after="120" w:line="276"/>
      </w:pPr>
      <w:r>
        <w:rPr>
          <w:sz w:val="22"/>
          <w:szCs w:val="22"/>
        </w:rPr>
        <w:t xml:space="preserve">OptiAgent Technologies is an equal opportunity employer. We are committed to providing a workplace free from discrimination and harassment, where every employee and candidate is evaluated on the basis of their qualifications, skills, and performance — not on personal characteristics unrelated to the role.</w:t>
      </w:r>
    </w:p>
    <w:p>
      <w:pPr>
        <w:spacing w:after="120" w:line="276"/>
      </w:pPr>
      <w:r>
        <w:rPr>
          <w:sz w:val="22"/>
          <w:szCs w:val="22"/>
        </w:rPr>
        <w:t xml:space="preserve">Employment decisions including hiring, promotion, assignment, compensation, training, disciplinary action, and termination are made without regard to:</w:t>
      </w:r>
    </w:p>
    <w:p>
      <w:pPr>
        <w:pStyle w:val="ListParagraph"/>
        <w:numPr>
          <w:ilvl w:val="0"/>
          <w:numId w:val="1"/>
        </w:numPr>
        <w:spacing w:after="80"/>
      </w:pPr>
      <w:r>
        <w:rPr>
          <w:sz w:val="22"/>
          <w:szCs w:val="22"/>
        </w:rPr>
        <w:t xml:space="preserve">Race, color, ethnicity, or national origin</w:t>
      </w:r>
    </w:p>
    <w:p>
      <w:pPr>
        <w:pStyle w:val="ListParagraph"/>
        <w:numPr>
          <w:ilvl w:val="0"/>
          <w:numId w:val="1"/>
        </w:numPr>
        <w:spacing w:after="80"/>
      </w:pPr>
      <w:r>
        <w:rPr>
          <w:sz w:val="22"/>
          <w:szCs w:val="22"/>
        </w:rPr>
        <w:t xml:space="preserve">Gender identity or expression, sex, or sexual orientation</w:t>
      </w:r>
    </w:p>
    <w:p>
      <w:pPr>
        <w:pStyle w:val="ListParagraph"/>
        <w:numPr>
          <w:ilvl w:val="0"/>
          <w:numId w:val="1"/>
        </w:numPr>
        <w:spacing w:after="80"/>
      </w:pPr>
      <w:r>
        <w:rPr>
          <w:sz w:val="22"/>
          <w:szCs w:val="22"/>
        </w:rPr>
        <w:t xml:space="preserve">Age (employees and candidates aged 18 and above are equally protected)</w:t>
      </w:r>
    </w:p>
    <w:p>
      <w:pPr>
        <w:pStyle w:val="ListParagraph"/>
        <w:numPr>
          <w:ilvl w:val="0"/>
          <w:numId w:val="1"/>
        </w:numPr>
        <w:spacing w:after="80"/>
      </w:pPr>
      <w:r>
        <w:rPr>
          <w:sz w:val="22"/>
          <w:szCs w:val="22"/>
        </w:rPr>
        <w:t xml:space="preserve">Disability (physical, mental, or cognitive)</w:t>
      </w:r>
    </w:p>
    <w:p>
      <w:pPr>
        <w:pStyle w:val="ListParagraph"/>
        <w:numPr>
          <w:ilvl w:val="0"/>
          <w:numId w:val="1"/>
        </w:numPr>
        <w:spacing w:after="80"/>
      </w:pPr>
      <w:r>
        <w:rPr>
          <w:sz w:val="22"/>
          <w:szCs w:val="22"/>
        </w:rPr>
        <w:t xml:space="preserve">Religion, belief, or philosophical conviction</w:t>
      </w:r>
    </w:p>
    <w:p>
      <w:pPr>
        <w:pStyle w:val="ListParagraph"/>
        <w:numPr>
          <w:ilvl w:val="0"/>
          <w:numId w:val="1"/>
        </w:numPr>
        <w:spacing w:after="80"/>
      </w:pPr>
      <w:r>
        <w:rPr>
          <w:sz w:val="22"/>
          <w:szCs w:val="22"/>
        </w:rPr>
        <w:t xml:space="preserve">Pregnancy, parental status, or family responsibilities</w:t>
      </w:r>
    </w:p>
    <w:p>
      <w:pPr>
        <w:pStyle w:val="ListParagraph"/>
        <w:numPr>
          <w:ilvl w:val="0"/>
          <w:numId w:val="1"/>
        </w:numPr>
        <w:spacing w:after="80"/>
      </w:pPr>
      <w:r>
        <w:rPr>
          <w:sz w:val="22"/>
          <w:szCs w:val="22"/>
        </w:rPr>
        <w:t xml:space="preserve">Marital or civil partnership status</w:t>
      </w:r>
    </w:p>
    <w:p>
      <w:pPr>
        <w:pStyle w:val="ListParagraph"/>
        <w:numPr>
          <w:ilvl w:val="0"/>
          <w:numId w:val="1"/>
        </w:numPr>
        <w:spacing w:after="80"/>
      </w:pPr>
      <w:r>
        <w:rPr>
          <w:sz w:val="22"/>
          <w:szCs w:val="22"/>
        </w:rPr>
        <w:t xml:space="preserve">Military or veteran status</w:t>
      </w:r>
    </w:p>
    <w:p>
      <w:pPr>
        <w:pStyle w:val="ListParagraph"/>
        <w:numPr>
          <w:ilvl w:val="0"/>
          <w:numId w:val="1"/>
        </w:numPr>
        <w:spacing w:after="80"/>
      </w:pPr>
      <w:r>
        <w:rPr>
          <w:sz w:val="22"/>
          <w:szCs w:val="22"/>
        </w:rPr>
        <w:t xml:space="preserve">Genetic information or health condition</w:t>
      </w:r>
    </w:p>
    <w:p>
      <w:pPr>
        <w:pStyle w:val="ListParagraph"/>
        <w:numPr>
          <w:ilvl w:val="0"/>
          <w:numId w:val="1"/>
        </w:numPr>
        <w:spacing w:after="80"/>
      </w:pPr>
      <w:r>
        <w:rPr>
          <w:sz w:val="22"/>
          <w:szCs w:val="22"/>
        </w:rPr>
        <w:t xml:space="preserve">Any other characteristic protected under applicable local law</w:t>
      </w:r>
    </w:p>
    <w:p>
      <w:pPr>
        <w:pStyle w:val="Heading2"/>
        <w:spacing w:after="150" w:before="300"/>
      </w:pPr>
      <w:r>
        <w:t xml:space="preserve">4.2 Country-Specific Legal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Country</w:t>
            </w:r>
          </w:p>
        </w:tc>
        <w:tc>
          <w:tcPr>
            <w:tcW w:type="dxa" w:w="2340"/>
            <w:shd w:fill="1F4E79" w:color="1F4E79" w:val="clear"/>
          </w:tcPr>
          <w:p>
            <w:pPr>
              <w:spacing w:after="60"/>
            </w:pPr>
            <w:r>
              <w:rPr>
                <w:b/>
                <w:bCs/>
                <w:sz w:val="20"/>
                <w:szCs w:val="20"/>
              </w:rPr>
              <w:t xml:space="preserve">Key Legislation</w:t>
            </w:r>
          </w:p>
        </w:tc>
        <w:tc>
          <w:tcPr>
            <w:tcW w:type="dxa" w:w="2340"/>
            <w:shd w:fill="1F4E79" w:color="1F4E79" w:val="clear"/>
          </w:tcPr>
          <w:p>
            <w:pPr>
              <w:spacing w:after="60"/>
            </w:pPr>
            <w:r>
              <w:rPr>
                <w:b/>
                <w:bCs/>
                <w:sz w:val="20"/>
                <w:szCs w:val="20"/>
              </w:rPr>
              <w:t xml:space="preserve">Enforcement Body</w:t>
            </w:r>
          </w:p>
        </w:tc>
        <w:tc>
          <w:tcPr>
            <w:tcW w:type="dxa" w:w="2340"/>
            <w:shd w:fill="1F4E79" w:color="1F4E79" w:val="clear"/>
          </w:tcPr>
          <w:p>
            <w:pPr>
              <w:spacing w:after="60"/>
            </w:pPr>
            <w:r>
              <w:rPr>
                <w:b/>
                <w:bCs/>
                <w:sz w:val="20"/>
                <w:szCs w:val="20"/>
              </w:rPr>
              <w:t xml:space="preserve">OptiAgent Contact</w:t>
            </w:r>
          </w:p>
        </w:tc>
      </w:tr>
      <w:tr>
        <w:tc>
          <w:tcPr>
            <w:tcW w:type="dxa" w:w="2340"/>
          </w:tcPr>
          <w:p>
            <w:pPr>
              <w:spacing w:after="60"/>
            </w:pPr>
            <w:r>
              <w:rPr>
                <w:b w:val="false"/>
                <w:bCs w:val="false"/>
                <w:sz w:val="20"/>
                <w:szCs w:val="20"/>
              </w:rPr>
              <w:t xml:space="preserve">United States</w:t>
            </w:r>
          </w:p>
        </w:tc>
        <w:tc>
          <w:tcPr>
            <w:tcW w:type="dxa" w:w="2340"/>
          </w:tcPr>
          <w:p>
            <w:pPr>
              <w:spacing w:after="60"/>
            </w:pPr>
            <w:r>
              <w:rPr>
                <w:b w:val="false"/>
                <w:bCs w:val="false"/>
                <w:sz w:val="20"/>
                <w:szCs w:val="20"/>
              </w:rPr>
              <w:t xml:space="preserve">Title VII, ADA, ADEA, GINA</w:t>
            </w:r>
          </w:p>
        </w:tc>
        <w:tc>
          <w:tcPr>
            <w:tcW w:type="dxa" w:w="2340"/>
          </w:tcPr>
          <w:p>
            <w:pPr>
              <w:spacing w:after="60"/>
            </w:pPr>
            <w:r>
              <w:rPr>
                <w:b w:val="false"/>
                <w:bCs w:val="false"/>
                <w:sz w:val="20"/>
                <w:szCs w:val="20"/>
              </w:rPr>
              <w:t xml:space="preserve">EEOC</w:t>
            </w:r>
          </w:p>
        </w:tc>
        <w:tc>
          <w:tcPr>
            <w:tcW w:type="dxa" w:w="2340"/>
          </w:tcPr>
          <w:p>
            <w:pPr>
              <w:spacing w:after="60"/>
            </w:pPr>
            <w:r>
              <w:rPr>
                <w:b w:val="false"/>
                <w:bCs w:val="false"/>
                <w:sz w:val="20"/>
                <w:szCs w:val="20"/>
              </w:rPr>
              <w:t xml:space="preserve">ushr@optiagent.com</w:t>
            </w:r>
          </w:p>
        </w:tc>
      </w:tr>
      <w:tr>
        <w:tc>
          <w:tcPr>
            <w:tcW w:type="dxa" w:w="2340"/>
          </w:tcPr>
          <w:p>
            <w:pPr>
              <w:spacing w:after="60"/>
            </w:pPr>
            <w:r>
              <w:rPr>
                <w:b w:val="false"/>
                <w:bCs w:val="false"/>
                <w:sz w:val="20"/>
                <w:szCs w:val="20"/>
              </w:rPr>
              <w:t xml:space="preserve">United Kingdom</w:t>
            </w:r>
          </w:p>
        </w:tc>
        <w:tc>
          <w:tcPr>
            <w:tcW w:type="dxa" w:w="2340"/>
          </w:tcPr>
          <w:p>
            <w:pPr>
              <w:spacing w:after="60"/>
            </w:pPr>
            <w:r>
              <w:rPr>
                <w:b w:val="false"/>
                <w:bCs w:val="false"/>
                <w:sz w:val="20"/>
                <w:szCs w:val="20"/>
              </w:rPr>
              <w:t xml:space="preserve">Equality Act 2010</w:t>
            </w:r>
          </w:p>
        </w:tc>
        <w:tc>
          <w:tcPr>
            <w:tcW w:type="dxa" w:w="2340"/>
          </w:tcPr>
          <w:p>
            <w:pPr>
              <w:spacing w:after="60"/>
            </w:pPr>
            <w:r>
              <w:rPr>
                <w:b w:val="false"/>
                <w:bCs w:val="false"/>
                <w:sz w:val="20"/>
                <w:szCs w:val="20"/>
              </w:rPr>
              <w:t xml:space="preserve">EHRC</w:t>
            </w:r>
          </w:p>
        </w:tc>
        <w:tc>
          <w:tcPr>
            <w:tcW w:type="dxa" w:w="2340"/>
          </w:tcPr>
          <w:p>
            <w:pPr>
              <w:spacing w:after="60"/>
            </w:pPr>
            <w:r>
              <w:rPr>
                <w:b w:val="false"/>
                <w:bCs w:val="false"/>
                <w:sz w:val="20"/>
                <w:szCs w:val="20"/>
              </w:rPr>
              <w:t xml:space="preserve">ukhr@optiagent.com</w:t>
            </w:r>
          </w:p>
        </w:tc>
      </w:tr>
      <w:tr>
        <w:tc>
          <w:tcPr>
            <w:tcW w:type="dxa" w:w="2340"/>
          </w:tcPr>
          <w:p>
            <w:pPr>
              <w:spacing w:after="60"/>
            </w:pPr>
            <w:r>
              <w:rPr>
                <w:b w:val="false"/>
                <w:bCs w:val="false"/>
                <w:sz w:val="20"/>
                <w:szCs w:val="20"/>
              </w:rPr>
              <w:t xml:space="preserve">India</w:t>
            </w:r>
          </w:p>
        </w:tc>
        <w:tc>
          <w:tcPr>
            <w:tcW w:type="dxa" w:w="2340"/>
          </w:tcPr>
          <w:p>
            <w:pPr>
              <w:spacing w:after="60"/>
            </w:pPr>
            <w:r>
              <w:rPr>
                <w:b w:val="false"/>
                <w:bCs w:val="false"/>
                <w:sz w:val="20"/>
                <w:szCs w:val="20"/>
              </w:rPr>
              <w:t xml:space="preserve">POSH Act 2013, PWD Act 2016</w:t>
            </w:r>
          </w:p>
        </w:tc>
        <w:tc>
          <w:tcPr>
            <w:tcW w:type="dxa" w:w="2340"/>
          </w:tcPr>
          <w:p>
            <w:pPr>
              <w:spacing w:after="60"/>
            </w:pPr>
            <w:r>
              <w:rPr>
                <w:b w:val="false"/>
                <w:bCs w:val="false"/>
                <w:sz w:val="20"/>
                <w:szCs w:val="20"/>
              </w:rPr>
              <w:t xml:space="preserve">ICC/State Commissions</w:t>
            </w:r>
          </w:p>
        </w:tc>
        <w:tc>
          <w:tcPr>
            <w:tcW w:type="dxa" w:w="2340"/>
          </w:tcPr>
          <w:p>
            <w:pPr>
              <w:spacing w:after="60"/>
            </w:pPr>
            <w:r>
              <w:rPr>
                <w:b w:val="false"/>
                <w:bCs w:val="false"/>
                <w:sz w:val="20"/>
                <w:szCs w:val="20"/>
              </w:rPr>
              <w:t xml:space="preserve">indhr@optiagent.com</w:t>
            </w:r>
          </w:p>
        </w:tc>
      </w:tr>
      <w:tr>
        <w:tc>
          <w:tcPr>
            <w:tcW w:type="dxa" w:w="2340"/>
          </w:tcPr>
          <w:p>
            <w:pPr>
              <w:spacing w:after="60"/>
            </w:pPr>
            <w:r>
              <w:rPr>
                <w:b w:val="false"/>
                <w:bCs w:val="false"/>
                <w:sz w:val="20"/>
                <w:szCs w:val="20"/>
              </w:rPr>
              <w:t xml:space="preserve">Germany</w:t>
            </w:r>
          </w:p>
        </w:tc>
        <w:tc>
          <w:tcPr>
            <w:tcW w:type="dxa" w:w="2340"/>
          </w:tcPr>
          <w:p>
            <w:pPr>
              <w:spacing w:after="60"/>
            </w:pPr>
            <w:r>
              <w:rPr>
                <w:b w:val="false"/>
                <w:bCs w:val="false"/>
                <w:sz w:val="20"/>
                <w:szCs w:val="20"/>
              </w:rPr>
              <w:t xml:space="preserve">AGG (Allgemeines Gleichbehandlungsgesetz)</w:t>
            </w:r>
          </w:p>
        </w:tc>
        <w:tc>
          <w:tcPr>
            <w:tcW w:type="dxa" w:w="2340"/>
          </w:tcPr>
          <w:p>
            <w:pPr>
              <w:spacing w:after="60"/>
            </w:pPr>
            <w:r>
              <w:rPr>
                <w:b w:val="false"/>
                <w:bCs w:val="false"/>
                <w:sz w:val="20"/>
                <w:szCs w:val="20"/>
              </w:rPr>
              <w:t xml:space="preserve">ADBR</w:t>
            </w:r>
          </w:p>
        </w:tc>
        <w:tc>
          <w:tcPr>
            <w:tcW w:type="dxa" w:w="2340"/>
          </w:tcPr>
          <w:p>
            <w:pPr>
              <w:spacing w:after="60"/>
            </w:pPr>
            <w:r>
              <w:rPr>
                <w:b w:val="false"/>
                <w:bCs w:val="false"/>
                <w:sz w:val="20"/>
                <w:szCs w:val="20"/>
              </w:rPr>
              <w:t xml:space="preserve">dehr@optiagent.com</w:t>
            </w:r>
          </w:p>
        </w:tc>
      </w:tr>
      <w:tr>
        <w:tc>
          <w:tcPr>
            <w:tcW w:type="dxa" w:w="2340"/>
          </w:tcPr>
          <w:p>
            <w:pPr>
              <w:spacing w:after="60"/>
            </w:pPr>
            <w:r>
              <w:rPr>
                <w:b w:val="false"/>
                <w:bCs w:val="false"/>
                <w:sz w:val="20"/>
                <w:szCs w:val="20"/>
              </w:rPr>
              <w:t xml:space="preserve">Singapore</w:t>
            </w:r>
          </w:p>
        </w:tc>
        <w:tc>
          <w:tcPr>
            <w:tcW w:type="dxa" w:w="2340"/>
          </w:tcPr>
          <w:p>
            <w:pPr>
              <w:spacing w:after="60"/>
            </w:pPr>
            <w:r>
              <w:rPr>
                <w:b w:val="false"/>
                <w:bCs w:val="false"/>
                <w:sz w:val="20"/>
                <w:szCs w:val="20"/>
              </w:rPr>
              <w:t xml:space="preserve">TAFEP Guidelines, ECWA</w:t>
            </w:r>
          </w:p>
        </w:tc>
        <w:tc>
          <w:tcPr>
            <w:tcW w:type="dxa" w:w="2340"/>
          </w:tcPr>
          <w:p>
            <w:pPr>
              <w:spacing w:after="60"/>
            </w:pPr>
            <w:r>
              <w:rPr>
                <w:b w:val="false"/>
                <w:bCs w:val="false"/>
                <w:sz w:val="20"/>
                <w:szCs w:val="20"/>
              </w:rPr>
              <w:t xml:space="preserve">MOM/TAFEP</w:t>
            </w:r>
          </w:p>
        </w:tc>
        <w:tc>
          <w:tcPr>
            <w:tcW w:type="dxa" w:w="2340"/>
          </w:tcPr>
          <w:p>
            <w:pPr>
              <w:spacing w:after="60"/>
            </w:pPr>
            <w:r>
              <w:rPr>
                <w:b w:val="false"/>
                <w:bCs w:val="false"/>
                <w:sz w:val="20"/>
                <w:szCs w:val="20"/>
              </w:rPr>
              <w:t xml:space="preserve">sghr@optiagent.com</w:t>
            </w:r>
          </w:p>
        </w:tc>
      </w:tr>
    </w:tbl>
    <w:p>
      <w:pPr>
        <w:spacing w:after="100"/>
      </w:pPr>
      <w:r>
        <w:t xml:space="preserve"/>
      </w:r>
    </w:p>
    <w:p>
      <w:pPr>
        <w:pStyle w:val="Heading2"/>
        <w:spacing w:after="150" w:before="300"/>
      </w:pPr>
      <w:r>
        <w:t xml:space="preserve">4.3 Reasonable Accommodation</w:t>
      </w:r>
    </w:p>
    <w:p>
      <w:pPr>
        <w:spacing w:after="120" w:line="276"/>
      </w:pPr>
      <w:r>
        <w:rPr>
          <w:sz w:val="22"/>
          <w:szCs w:val="22"/>
        </w:rPr>
        <w:t xml:space="preserve">OptiAgent Technologies will provide reasonable accommodations to employees and candidates with disabilities, religious practices, or other protected characteristics, unless doing so would cause undue hardship to the business. Employees who require an accommodation should submit a request to their local HR Business Partner or via hr.global@optiagent.com. The process is as follows:</w:t>
      </w:r>
    </w:p>
    <w:p>
      <w:pPr>
        <w:pStyle w:val="ListParagraph"/>
        <w:numPr>
          <w:ilvl w:val="0"/>
          <w:numId w:val="1"/>
        </w:numPr>
        <w:spacing w:after="80"/>
      </w:pPr>
      <w:r>
        <w:rPr>
          <w:sz w:val="22"/>
          <w:szCs w:val="22"/>
        </w:rPr>
        <w:t xml:space="preserve">Step 1: Employee submits Accommodation Request Form (HR Portal &gt; Forms &gt; Accommodation)</w:t>
      </w:r>
    </w:p>
    <w:p>
      <w:pPr>
        <w:pStyle w:val="ListParagraph"/>
        <w:numPr>
          <w:ilvl w:val="0"/>
          <w:numId w:val="1"/>
        </w:numPr>
        <w:spacing w:after="80"/>
      </w:pPr>
      <w:r>
        <w:rPr>
          <w:sz w:val="22"/>
          <w:szCs w:val="22"/>
        </w:rPr>
        <w:t xml:space="preserve">Step 2: HR acknowledges receipt within 5 business days</w:t>
      </w:r>
    </w:p>
    <w:p>
      <w:pPr>
        <w:pStyle w:val="ListParagraph"/>
        <w:numPr>
          <w:ilvl w:val="0"/>
          <w:numId w:val="1"/>
        </w:numPr>
        <w:spacing w:after="80"/>
      </w:pPr>
      <w:r>
        <w:rPr>
          <w:sz w:val="22"/>
          <w:szCs w:val="22"/>
        </w:rPr>
        <w:t xml:space="preserve">Step 3: HR and employee engage in an interactive dialogue to identify appropriate solutions</w:t>
      </w:r>
    </w:p>
    <w:p>
      <w:pPr>
        <w:pStyle w:val="ListParagraph"/>
        <w:numPr>
          <w:ilvl w:val="0"/>
          <w:numId w:val="1"/>
        </w:numPr>
        <w:spacing w:after="80"/>
      </w:pPr>
      <w:r>
        <w:rPr>
          <w:sz w:val="22"/>
          <w:szCs w:val="22"/>
        </w:rPr>
        <w:t xml:space="preserve">Step 4: HR consults with the employee's manager and, if needed, Legal or Occupational Health</w:t>
      </w:r>
    </w:p>
    <w:p>
      <w:pPr>
        <w:pStyle w:val="ListParagraph"/>
        <w:numPr>
          <w:ilvl w:val="0"/>
          <w:numId w:val="1"/>
        </w:numPr>
        <w:spacing w:after="80"/>
      </w:pPr>
      <w:r>
        <w:rPr>
          <w:sz w:val="22"/>
          <w:szCs w:val="22"/>
        </w:rPr>
        <w:t xml:space="preserve">Step 5: Decision communicated within 15 business days of initial submission</w:t>
      </w:r>
    </w:p>
    <w:p>
      <w:pPr>
        <w:pStyle w:val="ListParagraph"/>
        <w:numPr>
          <w:ilvl w:val="0"/>
          <w:numId w:val="1"/>
        </w:numPr>
        <w:spacing w:after="80"/>
      </w:pPr>
      <w:r>
        <w:rPr>
          <w:sz w:val="22"/>
          <w:szCs w:val="22"/>
        </w:rPr>
        <w:t xml:space="preserve">Step 6: Accommodation implemented and reviewed annually or upon change in circumstances</w:t>
      </w:r>
    </w:p>
    <w:p>
      <w:pPr>
        <w:pStyle w:val="Heading2"/>
        <w:spacing w:after="150" w:before="300"/>
      </w:pPr>
      <w:r>
        <w:t xml:space="preserve">4.4 Complaint Process</w:t>
      </w:r>
    </w:p>
    <w:p>
      <w:pPr>
        <w:spacing w:after="120" w:line="276"/>
      </w:pPr>
      <w:r>
        <w:rPr>
          <w:sz w:val="22"/>
          <w:szCs w:val="22"/>
        </w:rPr>
        <w:t xml:space="preserve">Any employee who believes they have been subjected to discrimination in violation of this policy should report the concern promptly using the channels described in Section 3.7. All complaints are investigated confidentially, and both the complainant and the respondent are treated with fairness throughout the process. Retaliation against anyone who makes a good-faith complaint is strictly prohibited.</w:t>
      </w:r>
    </w:p>
    <w:p>
      <w:r>
        <w:br w:type="page"/>
      </w:r>
    </w:p>
    <w:p>
      <w:pPr>
        <w:pStyle w:val="Heading1"/>
        <w:spacing w:after="200" w:before="400"/>
      </w:pPr>
      <w:r>
        <w:t xml:space="preserve">Chapter 5: Anti-Harassment &amp; Respectful Workplace</w:t>
      </w:r>
    </w:p>
    <w:p>
      <w:pPr>
        <w:pStyle w:val="Heading2"/>
        <w:spacing w:after="150" w:before="300"/>
      </w:pPr>
      <w:r>
        <w:t xml:space="preserve">5.1 Zero Tolerance Policy</w:t>
      </w:r>
    </w:p>
    <w:p>
      <w:pPr>
        <w:spacing w:after="120" w:line="276"/>
      </w:pPr>
      <w:r>
        <w:rPr>
          <w:sz w:val="22"/>
          <w:szCs w:val="22"/>
        </w:rPr>
        <w:t xml:space="preserve">OptiAgent Technologies maintains a zero-tolerance policy toward harassment of any kind. Harassment is defined as any unwelcome conduct, verbal or non-verbal, physical or electronic, based on a protected characteristic that creates a hostile, intimidating, or offensive work environment, or that unreasonably interferes with an employee's work performance.</w:t>
      </w:r>
    </w:p>
    <w:p>
      <w:pPr>
        <w:pStyle w:val="Heading2"/>
        <w:spacing w:after="150" w:before="300"/>
      </w:pPr>
      <w:r>
        <w:t xml:space="preserve">5.2 Forms of Prohibited Harassment</w:t>
      </w:r>
    </w:p>
    <w:p>
      <w:pPr>
        <w:pStyle w:val="Heading3"/>
        <w:spacing w:after="100" w:before="200"/>
      </w:pPr>
      <w:r>
        <w:t xml:space="preserve">5.2.1 Sexual Harassment</w:t>
      </w:r>
    </w:p>
    <w:p>
      <w:pPr>
        <w:spacing w:after="120" w:line="276"/>
      </w:pPr>
      <w:r>
        <w:rPr>
          <w:sz w:val="22"/>
          <w:szCs w:val="22"/>
        </w:rPr>
        <w:t xml:space="preserve">Sexual harassment includes any unwelcome sexual advance, request for sexual favors, or verbal or physical conduct of a sexual nature. This includes:</w:t>
      </w:r>
    </w:p>
    <w:p>
      <w:pPr>
        <w:pStyle w:val="ListParagraph"/>
        <w:numPr>
          <w:ilvl w:val="0"/>
          <w:numId w:val="1"/>
        </w:numPr>
        <w:spacing w:after="80"/>
      </w:pPr>
      <w:r>
        <w:rPr>
          <w:sz w:val="22"/>
          <w:szCs w:val="22"/>
        </w:rPr>
        <w:t xml:space="preserve">Unwelcome romantic or sexual advances, whether in person, by message, email, or social media</w:t>
      </w:r>
    </w:p>
    <w:p>
      <w:pPr>
        <w:pStyle w:val="ListParagraph"/>
        <w:numPr>
          <w:ilvl w:val="0"/>
          <w:numId w:val="1"/>
        </w:numPr>
        <w:spacing w:after="80"/>
      </w:pPr>
      <w:r>
        <w:rPr>
          <w:sz w:val="22"/>
          <w:szCs w:val="22"/>
        </w:rPr>
        <w:t xml:space="preserve">Requests for sexual favors as a condition of employment or favorable treatment (quid pro quo)</w:t>
      </w:r>
    </w:p>
    <w:p>
      <w:pPr>
        <w:pStyle w:val="ListParagraph"/>
        <w:numPr>
          <w:ilvl w:val="0"/>
          <w:numId w:val="1"/>
        </w:numPr>
        <w:spacing w:after="80"/>
      </w:pPr>
      <w:r>
        <w:rPr>
          <w:sz w:val="22"/>
          <w:szCs w:val="22"/>
        </w:rPr>
        <w:t xml:space="preserve">Sharing sexually explicit content in any format in the workplace or on company systems</w:t>
      </w:r>
    </w:p>
    <w:p>
      <w:pPr>
        <w:pStyle w:val="ListParagraph"/>
        <w:numPr>
          <w:ilvl w:val="0"/>
          <w:numId w:val="1"/>
        </w:numPr>
        <w:spacing w:after="80"/>
      </w:pPr>
      <w:r>
        <w:rPr>
          <w:sz w:val="22"/>
          <w:szCs w:val="22"/>
        </w:rPr>
        <w:t xml:space="preserve">Comments about a person's physical appearance, sexual orientation, or gender identity that are unwelcome</w:t>
      </w:r>
    </w:p>
    <w:p>
      <w:pPr>
        <w:pStyle w:val="ListParagraph"/>
        <w:numPr>
          <w:ilvl w:val="0"/>
          <w:numId w:val="1"/>
        </w:numPr>
        <w:spacing w:after="80"/>
      </w:pPr>
      <w:r>
        <w:rPr>
          <w:sz w:val="22"/>
          <w:szCs w:val="22"/>
        </w:rPr>
        <w:t xml:space="preserve">Inappropriate touching, invasion of personal space, or unwanted physical contact</w:t>
      </w:r>
    </w:p>
    <w:p>
      <w:pPr>
        <w:pStyle w:val="Heading3"/>
        <w:spacing w:after="100" w:before="200"/>
      </w:pPr>
      <w:r>
        <w:t xml:space="preserve">5.2.2 Other Forms of Harassment</w:t>
      </w:r>
    </w:p>
    <w:p>
      <w:pPr>
        <w:spacing w:after="120" w:line="276"/>
      </w:pPr>
      <w:r>
        <w:rPr>
          <w:sz w:val="22"/>
          <w:szCs w:val="22"/>
        </w:rPr>
        <w:t xml:space="preserve">The following are also prohibited forms of harassment:</w:t>
      </w:r>
    </w:p>
    <w:p>
      <w:pPr>
        <w:pStyle w:val="ListParagraph"/>
        <w:numPr>
          <w:ilvl w:val="0"/>
          <w:numId w:val="1"/>
        </w:numPr>
        <w:spacing w:after="80"/>
      </w:pPr>
      <w:r>
        <w:rPr>
          <w:sz w:val="22"/>
          <w:szCs w:val="22"/>
        </w:rPr>
        <w:t xml:space="preserve">Racial, ethnic, or religious slurs, jokes, or stereotyping</w:t>
      </w:r>
    </w:p>
    <w:p>
      <w:pPr>
        <w:pStyle w:val="ListParagraph"/>
        <w:numPr>
          <w:ilvl w:val="0"/>
          <w:numId w:val="1"/>
        </w:numPr>
        <w:spacing w:after="80"/>
      </w:pPr>
      <w:r>
        <w:rPr>
          <w:sz w:val="22"/>
          <w:szCs w:val="22"/>
        </w:rPr>
        <w:t xml:space="preserve">Bullying, intimidation, or repeated demeaning behavior regardless of motivation</w:t>
      </w:r>
    </w:p>
    <w:p>
      <w:pPr>
        <w:pStyle w:val="ListParagraph"/>
        <w:numPr>
          <w:ilvl w:val="0"/>
          <w:numId w:val="1"/>
        </w:numPr>
        <w:spacing w:after="80"/>
      </w:pPr>
      <w:r>
        <w:rPr>
          <w:sz w:val="22"/>
          <w:szCs w:val="22"/>
        </w:rPr>
        <w:t xml:space="preserve">Deliberate exclusion from meetings, communications, or team activities based on a protected characteristic</w:t>
      </w:r>
    </w:p>
    <w:p>
      <w:pPr>
        <w:pStyle w:val="ListParagraph"/>
        <w:numPr>
          <w:ilvl w:val="0"/>
          <w:numId w:val="1"/>
        </w:numPr>
        <w:spacing w:after="80"/>
      </w:pPr>
      <w:r>
        <w:rPr>
          <w:sz w:val="22"/>
          <w:szCs w:val="22"/>
        </w:rPr>
        <w:t xml:space="preserve">Creating or sharing content that denigrates any group or individual based on a protected characteristic</w:t>
      </w:r>
    </w:p>
    <w:p>
      <w:pPr>
        <w:pStyle w:val="Heading2"/>
        <w:spacing w:after="150" w:before="300"/>
      </w:pPr>
      <w:r>
        <w:t xml:space="preserve">5.3 Bystander Responsibility</w:t>
      </w:r>
    </w:p>
    <w:p>
      <w:pPr>
        <w:spacing w:after="120" w:line="276"/>
      </w:pPr>
      <w:r>
        <w:rPr>
          <w:sz w:val="22"/>
          <w:szCs w:val="22"/>
        </w:rPr>
        <w:t xml:space="preserve">All employees are expected to intervene when they witness harassment, either directly or by reporting to HR or a manager. The company recognizes that direct intervention is not always safe or appropriate. Options for bystanders include:</w:t>
      </w:r>
    </w:p>
    <w:p>
      <w:pPr>
        <w:pStyle w:val="ListParagraph"/>
        <w:numPr>
          <w:ilvl w:val="0"/>
          <w:numId w:val="1"/>
        </w:numPr>
        <w:spacing w:after="80"/>
      </w:pPr>
      <w:r>
        <w:rPr>
          <w:sz w:val="22"/>
          <w:szCs w:val="22"/>
        </w:rPr>
        <w:t xml:space="preserve">Direct intervention: If safe to do so, interrupt the interaction or speak up in the moment</w:t>
      </w:r>
    </w:p>
    <w:p>
      <w:pPr>
        <w:pStyle w:val="ListParagraph"/>
        <w:numPr>
          <w:ilvl w:val="0"/>
          <w:numId w:val="1"/>
        </w:numPr>
        <w:spacing w:after="80"/>
      </w:pPr>
      <w:r>
        <w:rPr>
          <w:sz w:val="22"/>
          <w:szCs w:val="22"/>
        </w:rPr>
        <w:t xml:space="preserve">Delayed support: Check in with the person who experienced the behavior after the incident</w:t>
      </w:r>
    </w:p>
    <w:p>
      <w:pPr>
        <w:pStyle w:val="ListParagraph"/>
        <w:numPr>
          <w:ilvl w:val="0"/>
          <w:numId w:val="1"/>
        </w:numPr>
        <w:spacing w:after="80"/>
      </w:pPr>
      <w:r>
        <w:rPr>
          <w:sz w:val="22"/>
          <w:szCs w:val="22"/>
        </w:rPr>
        <w:t xml:space="preserve">Reporting: Report what you witnessed to HR or a manager, even without the victim's knowledge or consent</w:t>
      </w:r>
    </w:p>
    <w:p>
      <w:pPr>
        <w:pStyle w:val="Heading2"/>
        <w:spacing w:after="150" w:before="300"/>
      </w:pPr>
      <w:r>
        <w:t xml:space="preserve">5.4 Investigation &amp; Resolution</w:t>
      </w:r>
    </w:p>
    <w:p>
      <w:pPr>
        <w:spacing w:after="120" w:line="276"/>
      </w:pPr>
      <w:r>
        <w:rPr>
          <w:sz w:val="22"/>
          <w:szCs w:val="22"/>
        </w:rPr>
        <w:t xml:space="preserve">All harassment complaints are taken seriously and investigated promptly. The investigation process includes:</w:t>
      </w:r>
    </w:p>
    <w:p>
      <w:pPr>
        <w:pStyle w:val="ListParagraph"/>
        <w:numPr>
          <w:ilvl w:val="0"/>
          <w:numId w:val="1"/>
        </w:numPr>
        <w:spacing w:after="80"/>
      </w:pPr>
      <w:r>
        <w:rPr>
          <w:sz w:val="22"/>
          <w:szCs w:val="22"/>
        </w:rPr>
        <w:t xml:space="preserve">Acknowledgment of complaint within 24 hours</w:t>
      </w:r>
    </w:p>
    <w:p>
      <w:pPr>
        <w:pStyle w:val="ListParagraph"/>
        <w:numPr>
          <w:ilvl w:val="0"/>
          <w:numId w:val="1"/>
        </w:numPr>
        <w:spacing w:after="80"/>
      </w:pPr>
      <w:r>
        <w:rPr>
          <w:sz w:val="22"/>
          <w:szCs w:val="22"/>
        </w:rPr>
        <w:t xml:space="preserve">Appointment of an investigator (HR or external, depending on seniority and complexity)</w:t>
      </w:r>
    </w:p>
    <w:p>
      <w:pPr>
        <w:pStyle w:val="ListParagraph"/>
        <w:numPr>
          <w:ilvl w:val="0"/>
          <w:numId w:val="1"/>
        </w:numPr>
        <w:spacing w:after="80"/>
      </w:pPr>
      <w:r>
        <w:rPr>
          <w:sz w:val="22"/>
          <w:szCs w:val="22"/>
        </w:rPr>
        <w:t xml:space="preserve">Interviews conducted with the complainant, respondent, and witnesses</w:t>
      </w:r>
    </w:p>
    <w:p>
      <w:pPr>
        <w:pStyle w:val="ListParagraph"/>
        <w:numPr>
          <w:ilvl w:val="0"/>
          <w:numId w:val="1"/>
        </w:numPr>
        <w:spacing w:after="80"/>
      </w:pPr>
      <w:r>
        <w:rPr>
          <w:sz w:val="22"/>
          <w:szCs w:val="22"/>
        </w:rPr>
        <w:t xml:space="preserve">Investigation completed within 30 business days where possible</w:t>
      </w:r>
    </w:p>
    <w:p>
      <w:pPr>
        <w:pStyle w:val="ListParagraph"/>
        <w:numPr>
          <w:ilvl w:val="0"/>
          <w:numId w:val="1"/>
        </w:numPr>
        <w:spacing w:after="80"/>
      </w:pPr>
      <w:r>
        <w:rPr>
          <w:sz w:val="22"/>
          <w:szCs w:val="22"/>
        </w:rPr>
        <w:t xml:space="preserve">Outcome communicated to both parties</w:t>
      </w:r>
    </w:p>
    <w:p>
      <w:pPr>
        <w:pStyle w:val="ListParagraph"/>
        <w:numPr>
          <w:ilvl w:val="0"/>
          <w:numId w:val="1"/>
        </w:numPr>
        <w:spacing w:after="80"/>
      </w:pPr>
      <w:r>
        <w:rPr>
          <w:sz w:val="22"/>
          <w:szCs w:val="22"/>
        </w:rPr>
        <w:t xml:space="preserve">Disciplinary action taken proportional to the finding (up to and including termination)</w:t>
      </w:r>
    </w:p>
    <w:p>
      <w:pPr>
        <w:spacing w:after="120" w:line="276"/>
      </w:pPr>
      <w:r>
        <w:rPr>
          <w:sz w:val="22"/>
          <w:szCs w:val="22"/>
        </w:rPr>
        <w:t xml:space="preserve">Employees in India should note that OptiAgent India Pvt. Ltd. maintains an Internal Complaints Committee (ICC) under the Prevention of Sexual Harassment at Workplace Act, 2013 (POSH Act). All sexual harassment complaints in India will be handled by the ICC. The ICC composition is published on the India HR Portal.</w:t>
      </w:r>
    </w:p>
    <w:p>
      <w:r>
        <w:br w:type="page"/>
      </w:r>
    </w:p>
    <w:p>
      <w:pPr>
        <w:pStyle w:val="Heading1"/>
        <w:spacing w:after="200" w:before="400"/>
      </w:pPr>
      <w:r>
        <w:t xml:space="preserve">Chapter 6: Attendance &amp; Working Hours</w:t>
      </w:r>
    </w:p>
    <w:p>
      <w:pPr>
        <w:pStyle w:val="Heading2"/>
        <w:spacing w:after="150" w:before="300"/>
      </w:pPr>
      <w:r>
        <w:t xml:space="preserve">6.1 Standard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color="1F4E79" w:val="clear"/>
          </w:tcPr>
          <w:p>
            <w:pPr>
              <w:spacing w:after="60"/>
            </w:pPr>
            <w:r>
              <w:rPr>
                <w:b/>
                <w:bCs/>
                <w:sz w:val="20"/>
                <w:szCs w:val="20"/>
              </w:rPr>
              <w:t xml:space="preserve">Country</w:t>
            </w:r>
          </w:p>
        </w:tc>
        <w:tc>
          <w:tcPr>
            <w:tcW w:type="dxa" w:w="1872"/>
            <w:shd w:fill="1F4E79" w:color="1F4E79" w:val="clear"/>
          </w:tcPr>
          <w:p>
            <w:pPr>
              <w:spacing w:after="60"/>
            </w:pPr>
            <w:r>
              <w:rPr>
                <w:b/>
                <w:bCs/>
                <w:sz w:val="20"/>
                <w:szCs w:val="20"/>
              </w:rPr>
              <w:t xml:space="preserve">Standard Hours/Week</w:t>
            </w:r>
          </w:p>
        </w:tc>
        <w:tc>
          <w:tcPr>
            <w:tcW w:type="dxa" w:w="1872"/>
            <w:shd w:fill="1F4E79" w:color="1F4E79" w:val="clear"/>
          </w:tcPr>
          <w:p>
            <w:pPr>
              <w:spacing w:after="60"/>
            </w:pPr>
            <w:r>
              <w:rPr>
                <w:b/>
                <w:bCs/>
                <w:sz w:val="20"/>
                <w:szCs w:val="20"/>
              </w:rPr>
              <w:t xml:space="preserve">Core Hours</w:t>
            </w:r>
          </w:p>
        </w:tc>
        <w:tc>
          <w:tcPr>
            <w:tcW w:type="dxa" w:w="1872"/>
            <w:shd w:fill="1F4E79" w:color="1F4E79" w:val="clear"/>
          </w:tcPr>
          <w:p>
            <w:pPr>
              <w:spacing w:after="60"/>
            </w:pPr>
            <w:r>
              <w:rPr>
                <w:b/>
                <w:bCs/>
                <w:sz w:val="20"/>
                <w:szCs w:val="20"/>
              </w:rPr>
              <w:t xml:space="preserve">Flexible Start</w:t>
            </w:r>
          </w:p>
        </w:tc>
        <w:tc>
          <w:tcPr>
            <w:tcW w:type="dxa" w:w="1872"/>
            <w:shd w:fill="1F4E79" w:color="1F4E79" w:val="clear"/>
          </w:tcPr>
          <w:p>
            <w:pPr>
              <w:spacing w:after="60"/>
            </w:pPr>
            <w:r>
              <w:rPr>
                <w:b/>
                <w:bCs/>
                <w:sz w:val="20"/>
                <w:szCs w:val="20"/>
              </w:rPr>
              <w:t xml:space="preserve">Flexible End</w:t>
            </w:r>
          </w:p>
        </w:tc>
      </w:tr>
      <w:tr>
        <w:tc>
          <w:tcPr>
            <w:tcW w:type="dxa" w:w="1872"/>
          </w:tcPr>
          <w:p>
            <w:pPr>
              <w:spacing w:after="60"/>
            </w:pPr>
            <w:r>
              <w:rPr>
                <w:b w:val="false"/>
                <w:bCs w:val="false"/>
                <w:sz w:val="20"/>
                <w:szCs w:val="20"/>
              </w:rPr>
              <w:t xml:space="preserve">United States</w:t>
            </w:r>
          </w:p>
        </w:tc>
        <w:tc>
          <w:tcPr>
            <w:tcW w:type="dxa" w:w="1872"/>
          </w:tcPr>
          <w:p>
            <w:pPr>
              <w:spacing w:after="60"/>
            </w:pPr>
            <w:r>
              <w:rPr>
                <w:b w:val="false"/>
                <w:bCs w:val="false"/>
                <w:sz w:val="20"/>
                <w:szCs w:val="20"/>
              </w:rPr>
              <w:t xml:space="preserve">40 hours</w:t>
            </w:r>
          </w:p>
        </w:tc>
        <w:tc>
          <w:tcPr>
            <w:tcW w:type="dxa" w:w="1872"/>
          </w:tcPr>
          <w:p>
            <w:pPr>
              <w:spacing w:after="60"/>
            </w:pPr>
            <w:r>
              <w:rPr>
                <w:b w:val="false"/>
                <w:bCs w:val="false"/>
                <w:sz w:val="20"/>
                <w:szCs w:val="20"/>
              </w:rPr>
              <w:t xml:space="preserve">10:00 AM – 3:00 PM local</w:t>
            </w:r>
          </w:p>
        </w:tc>
        <w:tc>
          <w:tcPr>
            <w:tcW w:type="dxa" w:w="1872"/>
          </w:tcPr>
          <w:p>
            <w:pPr>
              <w:spacing w:after="60"/>
            </w:pPr>
            <w:r>
              <w:rPr>
                <w:b w:val="false"/>
                <w:bCs w:val="false"/>
                <w:sz w:val="20"/>
                <w:szCs w:val="20"/>
              </w:rPr>
              <w:t xml:space="preserve">7:00 AM</w:t>
            </w:r>
          </w:p>
        </w:tc>
        <w:tc>
          <w:tcPr>
            <w:tcW w:type="dxa" w:w="1872"/>
          </w:tcPr>
          <w:p>
            <w:pPr>
              <w:spacing w:after="60"/>
            </w:pPr>
            <w:r>
              <w:rPr>
                <w:b w:val="false"/>
                <w:bCs w:val="false"/>
                <w:sz w:val="20"/>
                <w:szCs w:val="20"/>
              </w:rPr>
              <w:t xml:space="preserve">7:00 PM</w:t>
            </w:r>
          </w:p>
        </w:tc>
      </w:tr>
      <w:tr>
        <w:tc>
          <w:tcPr>
            <w:tcW w:type="dxa" w:w="1872"/>
          </w:tcPr>
          <w:p>
            <w:pPr>
              <w:spacing w:after="60"/>
            </w:pPr>
            <w:r>
              <w:rPr>
                <w:b w:val="false"/>
                <w:bCs w:val="false"/>
                <w:sz w:val="20"/>
                <w:szCs w:val="20"/>
              </w:rPr>
              <w:t xml:space="preserve">United Kingdom</w:t>
            </w:r>
          </w:p>
        </w:tc>
        <w:tc>
          <w:tcPr>
            <w:tcW w:type="dxa" w:w="1872"/>
          </w:tcPr>
          <w:p>
            <w:pPr>
              <w:spacing w:after="60"/>
            </w:pPr>
            <w:r>
              <w:rPr>
                <w:b w:val="false"/>
                <w:bCs w:val="false"/>
                <w:sz w:val="20"/>
                <w:szCs w:val="20"/>
              </w:rPr>
              <w:t xml:space="preserve">37.5 hours</w:t>
            </w:r>
          </w:p>
        </w:tc>
        <w:tc>
          <w:tcPr>
            <w:tcW w:type="dxa" w:w="1872"/>
          </w:tcPr>
          <w:p>
            <w:pPr>
              <w:spacing w:after="60"/>
            </w:pPr>
            <w:r>
              <w:rPr>
                <w:b w:val="false"/>
                <w:bCs w:val="false"/>
                <w:sz w:val="20"/>
                <w:szCs w:val="20"/>
              </w:rPr>
              <w:t xml:space="preserve">10:00 AM – 3:00 PM GMT/BST</w:t>
            </w:r>
          </w:p>
        </w:tc>
        <w:tc>
          <w:tcPr>
            <w:tcW w:type="dxa" w:w="1872"/>
          </w:tcPr>
          <w:p>
            <w:pPr>
              <w:spacing w:after="60"/>
            </w:pPr>
            <w:r>
              <w:rPr>
                <w:b w:val="false"/>
                <w:bCs w:val="false"/>
                <w:sz w:val="20"/>
                <w:szCs w:val="20"/>
              </w:rPr>
              <w:t xml:space="preserve">8:00 AM</w:t>
            </w:r>
          </w:p>
        </w:tc>
        <w:tc>
          <w:tcPr>
            <w:tcW w:type="dxa" w:w="1872"/>
          </w:tcPr>
          <w:p>
            <w:pPr>
              <w:spacing w:after="60"/>
            </w:pPr>
            <w:r>
              <w:rPr>
                <w:b w:val="false"/>
                <w:bCs w:val="false"/>
                <w:sz w:val="20"/>
                <w:szCs w:val="20"/>
              </w:rPr>
              <w:t xml:space="preserve">6:30 PM</w:t>
            </w:r>
          </w:p>
        </w:tc>
      </w:tr>
      <w:tr>
        <w:tc>
          <w:tcPr>
            <w:tcW w:type="dxa" w:w="1872"/>
          </w:tcPr>
          <w:p>
            <w:pPr>
              <w:spacing w:after="60"/>
            </w:pPr>
            <w:r>
              <w:rPr>
                <w:b w:val="false"/>
                <w:bCs w:val="false"/>
                <w:sz w:val="20"/>
                <w:szCs w:val="20"/>
              </w:rPr>
              <w:t xml:space="preserve">India</w:t>
            </w:r>
          </w:p>
        </w:tc>
        <w:tc>
          <w:tcPr>
            <w:tcW w:type="dxa" w:w="1872"/>
          </w:tcPr>
          <w:p>
            <w:pPr>
              <w:spacing w:after="60"/>
            </w:pPr>
            <w:r>
              <w:rPr>
                <w:b w:val="false"/>
                <w:bCs w:val="false"/>
                <w:sz w:val="20"/>
                <w:szCs w:val="20"/>
              </w:rPr>
              <w:t xml:space="preserve">45 hours (per Shops Act)</w:t>
            </w:r>
          </w:p>
        </w:tc>
        <w:tc>
          <w:tcPr>
            <w:tcW w:type="dxa" w:w="1872"/>
          </w:tcPr>
          <w:p>
            <w:pPr>
              <w:spacing w:after="60"/>
            </w:pPr>
            <w:r>
              <w:rPr>
                <w:b w:val="false"/>
                <w:bCs w:val="false"/>
                <w:sz w:val="20"/>
                <w:szCs w:val="20"/>
              </w:rPr>
              <w:t xml:space="preserve">11:00 AM – 5:00 PM IST</w:t>
            </w:r>
          </w:p>
        </w:tc>
        <w:tc>
          <w:tcPr>
            <w:tcW w:type="dxa" w:w="1872"/>
          </w:tcPr>
          <w:p>
            <w:pPr>
              <w:spacing w:after="60"/>
            </w:pPr>
            <w:r>
              <w:rPr>
                <w:b w:val="false"/>
                <w:bCs w:val="false"/>
                <w:sz w:val="20"/>
                <w:szCs w:val="20"/>
              </w:rPr>
              <w:t xml:space="preserve">8:30 AM</w:t>
            </w:r>
          </w:p>
        </w:tc>
        <w:tc>
          <w:tcPr>
            <w:tcW w:type="dxa" w:w="1872"/>
          </w:tcPr>
          <w:p>
            <w:pPr>
              <w:spacing w:after="60"/>
            </w:pPr>
            <w:r>
              <w:rPr>
                <w:b w:val="false"/>
                <w:bCs w:val="false"/>
                <w:sz w:val="20"/>
                <w:szCs w:val="20"/>
              </w:rPr>
              <w:t xml:space="preserve">7:00 PM</w:t>
            </w:r>
          </w:p>
        </w:tc>
      </w:tr>
      <w:tr>
        <w:tc>
          <w:tcPr>
            <w:tcW w:type="dxa" w:w="1872"/>
          </w:tcPr>
          <w:p>
            <w:pPr>
              <w:spacing w:after="60"/>
            </w:pPr>
            <w:r>
              <w:rPr>
                <w:b w:val="false"/>
                <w:bCs w:val="false"/>
                <w:sz w:val="20"/>
                <w:szCs w:val="20"/>
              </w:rPr>
              <w:t xml:space="preserve">Germany</w:t>
            </w:r>
          </w:p>
        </w:tc>
        <w:tc>
          <w:tcPr>
            <w:tcW w:type="dxa" w:w="1872"/>
          </w:tcPr>
          <w:p>
            <w:pPr>
              <w:spacing w:after="60"/>
            </w:pPr>
            <w:r>
              <w:rPr>
                <w:b w:val="false"/>
                <w:bCs w:val="false"/>
                <w:sz w:val="20"/>
                <w:szCs w:val="20"/>
              </w:rPr>
              <w:t xml:space="preserve">38.5 hours</w:t>
            </w:r>
          </w:p>
        </w:tc>
        <w:tc>
          <w:tcPr>
            <w:tcW w:type="dxa" w:w="1872"/>
          </w:tcPr>
          <w:p>
            <w:pPr>
              <w:spacing w:after="60"/>
            </w:pPr>
            <w:r>
              <w:rPr>
                <w:b w:val="false"/>
                <w:bCs w:val="false"/>
                <w:sz w:val="20"/>
                <w:szCs w:val="20"/>
              </w:rPr>
              <w:t xml:space="preserve">9:00 AM – 4:00 PM CET/CEST</w:t>
            </w:r>
          </w:p>
        </w:tc>
        <w:tc>
          <w:tcPr>
            <w:tcW w:type="dxa" w:w="1872"/>
          </w:tcPr>
          <w:p>
            <w:pPr>
              <w:spacing w:after="60"/>
            </w:pPr>
            <w:r>
              <w:rPr>
                <w:b w:val="false"/>
                <w:bCs w:val="false"/>
                <w:sz w:val="20"/>
                <w:szCs w:val="20"/>
              </w:rPr>
              <w:t xml:space="preserve">7:30 AM</w:t>
            </w:r>
          </w:p>
        </w:tc>
        <w:tc>
          <w:tcPr>
            <w:tcW w:type="dxa" w:w="1872"/>
          </w:tcPr>
          <w:p>
            <w:pPr>
              <w:spacing w:after="60"/>
            </w:pPr>
            <w:r>
              <w:rPr>
                <w:b w:val="false"/>
                <w:bCs w:val="false"/>
                <w:sz w:val="20"/>
                <w:szCs w:val="20"/>
              </w:rPr>
              <w:t xml:space="preserve">6:30 PM</w:t>
            </w:r>
          </w:p>
        </w:tc>
      </w:tr>
      <w:tr>
        <w:tc>
          <w:tcPr>
            <w:tcW w:type="dxa" w:w="1872"/>
          </w:tcPr>
          <w:p>
            <w:pPr>
              <w:spacing w:after="60"/>
            </w:pPr>
            <w:r>
              <w:rPr>
                <w:b w:val="false"/>
                <w:bCs w:val="false"/>
                <w:sz w:val="20"/>
                <w:szCs w:val="20"/>
              </w:rPr>
              <w:t xml:space="preserve">Singapore</w:t>
            </w:r>
          </w:p>
        </w:tc>
        <w:tc>
          <w:tcPr>
            <w:tcW w:type="dxa" w:w="1872"/>
          </w:tcPr>
          <w:p>
            <w:pPr>
              <w:spacing w:after="60"/>
            </w:pPr>
            <w:r>
              <w:rPr>
                <w:b w:val="false"/>
                <w:bCs w:val="false"/>
                <w:sz w:val="20"/>
                <w:szCs w:val="20"/>
              </w:rPr>
              <w:t xml:space="preserve">44 hours</w:t>
            </w:r>
          </w:p>
        </w:tc>
        <w:tc>
          <w:tcPr>
            <w:tcW w:type="dxa" w:w="1872"/>
          </w:tcPr>
          <w:p>
            <w:pPr>
              <w:spacing w:after="60"/>
            </w:pPr>
            <w:r>
              <w:rPr>
                <w:b w:val="false"/>
                <w:bCs w:val="false"/>
                <w:sz w:val="20"/>
                <w:szCs w:val="20"/>
              </w:rPr>
              <w:t xml:space="preserve">10:00 AM – 4:00 PM SGT</w:t>
            </w:r>
          </w:p>
        </w:tc>
        <w:tc>
          <w:tcPr>
            <w:tcW w:type="dxa" w:w="1872"/>
          </w:tcPr>
          <w:p>
            <w:pPr>
              <w:spacing w:after="60"/>
            </w:pPr>
            <w:r>
              <w:rPr>
                <w:b w:val="false"/>
                <w:bCs w:val="false"/>
                <w:sz w:val="20"/>
                <w:szCs w:val="20"/>
              </w:rPr>
              <w:t xml:space="preserve">8:00 AM</w:t>
            </w:r>
          </w:p>
        </w:tc>
        <w:tc>
          <w:tcPr>
            <w:tcW w:type="dxa" w:w="1872"/>
          </w:tcPr>
          <w:p>
            <w:pPr>
              <w:spacing w:after="60"/>
            </w:pPr>
            <w:r>
              <w:rPr>
                <w:b w:val="false"/>
                <w:bCs w:val="false"/>
                <w:sz w:val="20"/>
                <w:szCs w:val="20"/>
              </w:rPr>
              <w:t xml:space="preserve">7:00 PM</w:t>
            </w:r>
          </w:p>
        </w:tc>
      </w:tr>
    </w:tbl>
    <w:p>
      <w:pPr>
        <w:spacing w:after="100"/>
      </w:pPr>
      <w:r>
        <w:t xml:space="preserve"/>
      </w:r>
    </w:p>
    <w:p>
      <w:pPr>
        <w:spacing w:after="120" w:line="276"/>
      </w:pPr>
      <w:r>
        <w:rPr>
          <w:sz w:val="22"/>
          <w:szCs w:val="22"/>
        </w:rPr>
        <w:t xml:space="preserve">Core hours are defined as the period during which all employees are expected to be available for meetings and collaboration, regardless of their chosen start and end times. Non-core hours are flexible, subject to manager approval and business needs.</w:t>
      </w:r>
    </w:p>
    <w:p>
      <w:pPr>
        <w:pStyle w:val="Heading2"/>
        <w:spacing w:after="150" w:before="300"/>
      </w:pPr>
      <w:r>
        <w:t xml:space="preserve">6.2 Overtime</w:t>
      </w:r>
    </w:p>
    <w:p>
      <w:pPr>
        <w:spacing w:after="120" w:line="276"/>
      </w:pPr>
      <w:r>
        <w:rPr>
          <w:sz w:val="22"/>
          <w:szCs w:val="22"/>
        </w:rPr>
        <w:t xml:space="preserve">Non-exempt (hourly) employees who work more than the legally required threshold in their jurisdiction will be compensated for overtime at the applicable legal rate. The thresholds are:</w:t>
      </w:r>
    </w:p>
    <w:p>
      <w:pPr>
        <w:pStyle w:val="ListParagraph"/>
        <w:numPr>
          <w:ilvl w:val="0"/>
          <w:numId w:val="1"/>
        </w:numPr>
        <w:spacing w:after="80"/>
      </w:pPr>
      <w:r>
        <w:rPr>
          <w:sz w:val="22"/>
          <w:szCs w:val="22"/>
        </w:rPr>
        <w:t xml:space="preserve">United States: Overtime applies for hours worked beyond 40 per week. Daily overtime (beyond 8 hours) applies in California</w:t>
      </w:r>
    </w:p>
    <w:p>
      <w:pPr>
        <w:pStyle w:val="ListParagraph"/>
        <w:numPr>
          <w:ilvl w:val="0"/>
          <w:numId w:val="1"/>
        </w:numPr>
        <w:spacing w:after="80"/>
      </w:pPr>
      <w:r>
        <w:rPr>
          <w:sz w:val="22"/>
          <w:szCs w:val="22"/>
        </w:rPr>
        <w:t xml:space="preserve">United Kingdom: Working Time Regulations limit average weekly hours to 48 (with opt-out available)</w:t>
      </w:r>
    </w:p>
    <w:p>
      <w:pPr>
        <w:pStyle w:val="ListParagraph"/>
        <w:numPr>
          <w:ilvl w:val="0"/>
          <w:numId w:val="1"/>
        </w:numPr>
        <w:spacing w:after="80"/>
      </w:pPr>
      <w:r>
        <w:rPr>
          <w:sz w:val="22"/>
          <w:szCs w:val="22"/>
        </w:rPr>
        <w:t xml:space="preserve">India: Factories Act limits overtime to 12 hours/day and requires double pay beyond standard hours</w:t>
      </w:r>
    </w:p>
    <w:p>
      <w:pPr>
        <w:pStyle w:val="ListParagraph"/>
        <w:numPr>
          <w:ilvl w:val="0"/>
          <w:numId w:val="1"/>
        </w:numPr>
        <w:spacing w:after="80"/>
      </w:pPr>
      <w:r>
        <w:rPr>
          <w:sz w:val="22"/>
          <w:szCs w:val="22"/>
        </w:rPr>
        <w:t xml:space="preserve">Germany: Working Time Act limits daily hours to 10, with compensatory rest mandated</w:t>
      </w:r>
    </w:p>
    <w:p>
      <w:pPr>
        <w:pStyle w:val="ListParagraph"/>
        <w:numPr>
          <w:ilvl w:val="0"/>
          <w:numId w:val="1"/>
        </w:numPr>
        <w:spacing w:after="80"/>
      </w:pPr>
      <w:r>
        <w:rPr>
          <w:sz w:val="22"/>
          <w:szCs w:val="22"/>
        </w:rPr>
        <w:t xml:space="preserve">Singapore: Employment Act limits overtime to 72 hours/month; overtime rate is 1.5x base</w:t>
      </w:r>
    </w:p>
    <w:p>
      <w:pPr>
        <w:spacing w:after="120" w:line="276"/>
      </w:pPr>
      <w:r>
        <w:rPr>
          <w:sz w:val="22"/>
          <w:szCs w:val="22"/>
        </w:rPr>
        <w:t xml:space="preserve">Salaried exempt employees are not entitled to overtime pay but are expected to manage their time to avoid unsustainable working hours. Managers who consistently require exempt employees to work in excess of 50 hours per week may be flagged during performance reviews for poor workload management.</w:t>
      </w:r>
    </w:p>
    <w:p>
      <w:pPr>
        <w:pStyle w:val="Heading2"/>
        <w:spacing w:after="150" w:before="300"/>
      </w:pPr>
      <w:r>
        <w:t xml:space="preserve">6.3 Attendance Tracking</w:t>
      </w:r>
    </w:p>
    <w:p>
      <w:pPr>
        <w:spacing w:after="120" w:line="276"/>
      </w:pPr>
      <w:r>
        <w:rPr>
          <w:sz w:val="22"/>
          <w:szCs w:val="22"/>
        </w:rPr>
        <w:t xml:space="preserve">All employees are required to accurately record their working hours using the company's time-tracking system (Workday HCM). This applies to all employees including remote, hybrid, and field-based staff. The purpose of time tracking is to:</w:t>
      </w:r>
    </w:p>
    <w:p>
      <w:pPr>
        <w:pStyle w:val="ListParagraph"/>
        <w:numPr>
          <w:ilvl w:val="0"/>
          <w:numId w:val="1"/>
        </w:numPr>
        <w:spacing w:after="80"/>
      </w:pPr>
      <w:r>
        <w:rPr>
          <w:sz w:val="22"/>
          <w:szCs w:val="22"/>
        </w:rPr>
        <w:t xml:space="preserve">Ensure compliance with local labor laws and overtime regulations</w:t>
      </w:r>
    </w:p>
    <w:p>
      <w:pPr>
        <w:pStyle w:val="ListParagraph"/>
        <w:numPr>
          <w:ilvl w:val="0"/>
          <w:numId w:val="1"/>
        </w:numPr>
        <w:spacing w:after="80"/>
      </w:pPr>
      <w:r>
        <w:rPr>
          <w:sz w:val="22"/>
          <w:szCs w:val="22"/>
        </w:rPr>
        <w:t xml:space="preserve">Support project cost allocation and client billing accuracy</w:t>
      </w:r>
    </w:p>
    <w:p>
      <w:pPr>
        <w:pStyle w:val="ListParagraph"/>
        <w:numPr>
          <w:ilvl w:val="0"/>
          <w:numId w:val="1"/>
        </w:numPr>
        <w:spacing w:after="80"/>
      </w:pPr>
      <w:r>
        <w:rPr>
          <w:sz w:val="22"/>
          <w:szCs w:val="22"/>
        </w:rPr>
        <w:t xml:space="preserve">Enable payroll processing for hourly employees</w:t>
      </w:r>
    </w:p>
    <w:p>
      <w:pPr>
        <w:pStyle w:val="ListParagraph"/>
        <w:numPr>
          <w:ilvl w:val="0"/>
          <w:numId w:val="1"/>
        </w:numPr>
        <w:spacing w:after="80"/>
      </w:pPr>
      <w:r>
        <w:rPr>
          <w:sz w:val="22"/>
          <w:szCs w:val="22"/>
        </w:rPr>
        <w:t xml:space="preserve">Identify patterns of absence that may indicate wellness issues requiring support</w:t>
      </w:r>
    </w:p>
    <w:p>
      <w:pPr>
        <w:pStyle w:val="Heading2"/>
        <w:spacing w:after="150" w:before="300"/>
      </w:pPr>
      <w:r>
        <w:t xml:space="preserve">6.4 Unauthorized Absence</w:t>
      </w:r>
    </w:p>
    <w:p>
      <w:pPr>
        <w:spacing w:after="120" w:line="276"/>
      </w:pPr>
      <w:r>
        <w:rPr>
          <w:sz w:val="22"/>
          <w:szCs w:val="22"/>
        </w:rPr>
        <w:t xml:space="preserve">Absence from work without prior notification to your manager and HR constitutes unauthorized absence. The following thresholds trigger escalating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sz w:val="20"/>
                <w:szCs w:val="20"/>
              </w:rPr>
              <w:t xml:space="preserve">Duration of Unauthorized Absence</w:t>
            </w:r>
          </w:p>
        </w:tc>
        <w:tc>
          <w:tcPr>
            <w:tcW w:type="dxa" w:w="4680"/>
            <w:shd w:fill="1F4E79" w:color="1F4E79" w:val="clear"/>
          </w:tcPr>
          <w:p>
            <w:pPr>
              <w:spacing w:after="60"/>
            </w:pPr>
            <w:r>
              <w:rPr>
                <w:b/>
                <w:bCs/>
                <w:sz w:val="20"/>
                <w:szCs w:val="20"/>
              </w:rPr>
              <w:t xml:space="preserve">Action</w:t>
            </w:r>
          </w:p>
        </w:tc>
      </w:tr>
      <w:tr>
        <w:tc>
          <w:tcPr>
            <w:tcW w:type="dxa" w:w="4680"/>
          </w:tcPr>
          <w:p>
            <w:pPr>
              <w:spacing w:after="60"/>
            </w:pPr>
            <w:r>
              <w:rPr>
                <w:b w:val="false"/>
                <w:bCs w:val="false"/>
                <w:sz w:val="20"/>
                <w:szCs w:val="20"/>
              </w:rPr>
              <w:t xml:space="preserve">1 day</w:t>
            </w:r>
          </w:p>
        </w:tc>
        <w:tc>
          <w:tcPr>
            <w:tcW w:type="dxa" w:w="4680"/>
          </w:tcPr>
          <w:p>
            <w:pPr>
              <w:spacing w:after="60"/>
            </w:pPr>
            <w:r>
              <w:rPr>
                <w:b w:val="false"/>
                <w:bCs w:val="false"/>
                <w:sz w:val="20"/>
                <w:szCs w:val="20"/>
              </w:rPr>
              <w:t xml:space="preserve">Manager verbal counseling; HR notified</w:t>
            </w:r>
          </w:p>
        </w:tc>
      </w:tr>
      <w:tr>
        <w:tc>
          <w:tcPr>
            <w:tcW w:type="dxa" w:w="4680"/>
          </w:tcPr>
          <w:p>
            <w:pPr>
              <w:spacing w:after="60"/>
            </w:pPr>
            <w:r>
              <w:rPr>
                <w:b w:val="false"/>
                <w:bCs w:val="false"/>
                <w:sz w:val="20"/>
                <w:szCs w:val="20"/>
              </w:rPr>
              <w:t xml:space="preserve">2 consecutive days</w:t>
            </w:r>
          </w:p>
        </w:tc>
        <w:tc>
          <w:tcPr>
            <w:tcW w:type="dxa" w:w="4680"/>
          </w:tcPr>
          <w:p>
            <w:pPr>
              <w:spacing w:after="60"/>
            </w:pPr>
            <w:r>
              <w:rPr>
                <w:b w:val="false"/>
                <w:bCs w:val="false"/>
                <w:sz w:val="20"/>
                <w:szCs w:val="20"/>
              </w:rPr>
              <w:t xml:space="preserve">Formal written warning; payroll deduction may apply</w:t>
            </w:r>
          </w:p>
        </w:tc>
      </w:tr>
      <w:tr>
        <w:tc>
          <w:tcPr>
            <w:tcW w:type="dxa" w:w="4680"/>
          </w:tcPr>
          <w:p>
            <w:pPr>
              <w:spacing w:after="60"/>
            </w:pPr>
            <w:r>
              <w:rPr>
                <w:b w:val="false"/>
                <w:bCs w:val="false"/>
                <w:sz w:val="20"/>
                <w:szCs w:val="20"/>
              </w:rPr>
              <w:t xml:space="preserve">3 consecutive days</w:t>
            </w:r>
          </w:p>
        </w:tc>
        <w:tc>
          <w:tcPr>
            <w:tcW w:type="dxa" w:w="4680"/>
          </w:tcPr>
          <w:p>
            <w:pPr>
              <w:spacing w:after="60"/>
            </w:pPr>
            <w:r>
              <w:rPr>
                <w:b w:val="false"/>
                <w:bCs w:val="false"/>
                <w:sz w:val="20"/>
                <w:szCs w:val="20"/>
              </w:rPr>
              <w:t xml:space="preserve">HR investigation; employee may be placed on leave without pay</w:t>
            </w:r>
          </w:p>
        </w:tc>
      </w:tr>
      <w:tr>
        <w:tc>
          <w:tcPr>
            <w:tcW w:type="dxa" w:w="4680"/>
          </w:tcPr>
          <w:p>
            <w:pPr>
              <w:spacing w:after="60"/>
            </w:pPr>
            <w:r>
              <w:rPr>
                <w:b w:val="false"/>
                <w:bCs w:val="false"/>
                <w:sz w:val="20"/>
                <w:szCs w:val="20"/>
              </w:rPr>
              <w:t xml:space="preserve">5+ consecutive days</w:t>
            </w:r>
          </w:p>
        </w:tc>
        <w:tc>
          <w:tcPr>
            <w:tcW w:type="dxa" w:w="4680"/>
          </w:tcPr>
          <w:p>
            <w:pPr>
              <w:spacing w:after="60"/>
            </w:pPr>
            <w:r>
              <w:rPr>
                <w:b w:val="false"/>
                <w:bCs w:val="false"/>
                <w:sz w:val="20"/>
                <w:szCs w:val="20"/>
              </w:rPr>
              <w:t xml:space="preserve">Treated as voluntary resignation; termination process initiated</w:t>
            </w:r>
          </w:p>
        </w:tc>
      </w:tr>
    </w:tbl>
    <w:p>
      <w:pPr>
        <w:spacing w:after="100"/>
      </w:pPr>
      <w:r>
        <w:t xml:space="preserve"/>
      </w:r>
    </w:p>
    <w:p>
      <w:pPr>
        <w:spacing w:after="120" w:line="276"/>
      </w:pPr>
      <w:r>
        <w:rPr>
          <w:sz w:val="22"/>
          <w:szCs w:val="22"/>
        </w:rPr>
        <w:t xml:space="preserve">Please refer to the Leave Policy (Document ID: HR-LP-001) for the approved procedures for requesting leave and notifying your manager of planned and unplanned absences. The Holiday Calendar (Document ID: HR-HC-001) lists all public and company holidays observed by country.</w:t>
      </w:r>
    </w:p>
    <w:p>
      <w:r>
        <w:br w:type="page"/>
      </w:r>
    </w:p>
    <w:p>
      <w:pPr>
        <w:pStyle w:val="Heading1"/>
        <w:spacing w:after="200" w:before="400"/>
      </w:pPr>
      <w:r>
        <w:t xml:space="preserve">Chapter 7: Dress Code &amp; Personal Presentation</w:t>
      </w:r>
    </w:p>
    <w:p>
      <w:pPr>
        <w:pStyle w:val="Heading2"/>
        <w:spacing w:after="150" w:before="300"/>
      </w:pPr>
      <w:r>
        <w:t xml:space="preserve">7.1 General Standard</w:t>
      </w:r>
    </w:p>
    <w:p>
      <w:pPr>
        <w:spacing w:after="120" w:line="276"/>
      </w:pPr>
      <w:r>
        <w:rPr>
          <w:sz w:val="22"/>
          <w:szCs w:val="22"/>
        </w:rPr>
        <w:t xml:space="preserve">OptiAgent Technologies maintains a business casual dress code across all office locations. The company believes that employees perform best when they feel comfortable and authentic. At the same time, professional presentation is important when interacting with clients, investors, and the public.</w:t>
      </w:r>
    </w:p>
    <w:p>
      <w:pPr>
        <w:pStyle w:val="Heading2"/>
        <w:spacing w:after="150" w:before="300"/>
      </w:pPr>
      <w:r>
        <w:t xml:space="preserve">7.2 Business Casual Definition</w:t>
      </w:r>
    </w:p>
    <w:p>
      <w:pPr>
        <w:pStyle w:val="ListParagraph"/>
        <w:numPr>
          <w:ilvl w:val="0"/>
          <w:numId w:val="1"/>
        </w:numPr>
        <w:spacing w:after="80"/>
      </w:pPr>
      <w:r>
        <w:rPr>
          <w:sz w:val="22"/>
          <w:szCs w:val="22"/>
        </w:rPr>
        <w:t xml:space="preserve">Acceptable: Neat trousers, chinos, skirts, blouses, collared shirts, knit tops, blazers, clean jeans (dark wash), loafers, flats, and similar professional footwear</w:t>
      </w:r>
    </w:p>
    <w:p>
      <w:pPr>
        <w:pStyle w:val="ListParagraph"/>
        <w:numPr>
          <w:ilvl w:val="0"/>
          <w:numId w:val="1"/>
        </w:numPr>
        <w:spacing w:after="80"/>
      </w:pPr>
      <w:r>
        <w:rPr>
          <w:sz w:val="22"/>
          <w:szCs w:val="22"/>
        </w:rPr>
        <w:t xml:space="preserve">Not Acceptable in Office: Torn or heavily distressed clothing, athletic wear (gym shorts, leggings as outerwear), flip-flops, visible undergarments, clothing with offensive graphics or language</w:t>
      </w:r>
    </w:p>
    <w:p>
      <w:pPr>
        <w:pStyle w:val="ListParagraph"/>
        <w:numPr>
          <w:ilvl w:val="0"/>
          <w:numId w:val="1"/>
        </w:numPr>
        <w:spacing w:after="80"/>
      </w:pPr>
      <w:r>
        <w:rPr>
          <w:sz w:val="22"/>
          <w:szCs w:val="22"/>
        </w:rPr>
        <w:t xml:space="preserve">Client Meetings / Investor Events: Business formal attire is expected. Guidance will be provided by your manager or the event organizer in advance</w:t>
      </w:r>
    </w:p>
    <w:p>
      <w:pPr>
        <w:pStyle w:val="Heading2"/>
        <w:spacing w:after="150" w:before="300"/>
      </w:pPr>
      <w:r>
        <w:t xml:space="preserve">7.3 Cultural &amp; Religious Dress</w:t>
      </w:r>
    </w:p>
    <w:p>
      <w:pPr>
        <w:spacing w:after="120" w:line="276"/>
      </w:pPr>
      <w:r>
        <w:rPr>
          <w:sz w:val="22"/>
          <w:szCs w:val="22"/>
        </w:rPr>
        <w:t xml:space="preserve">Employees are welcome to wear attire consistent with their cultural background or religious practice. This includes turbans, hijabs, yarmulkes, bindis, religious jewelry, and other such items. The company's dress code is adapted to be inclusive and should never be interpreted in a way that conflicts with an employee's religious practice. If you have questions, contact hr.global@optiagent.com.</w:t>
      </w:r>
    </w:p>
    <w:p>
      <w:pPr>
        <w:pStyle w:val="Heading2"/>
        <w:spacing w:after="150" w:before="300"/>
      </w:pPr>
      <w:r>
        <w:t xml:space="preserve">7.4 Remote Work Presentation</w:t>
      </w:r>
    </w:p>
    <w:p>
      <w:pPr>
        <w:spacing w:after="120" w:line="276"/>
      </w:pPr>
      <w:r>
        <w:rPr>
          <w:sz w:val="22"/>
          <w:szCs w:val="22"/>
        </w:rPr>
        <w:t xml:space="preserve">Employees working from home are expected to maintain professional presentation during video calls with customers, partners, or senior leadership. A clean, uncluttered background (physical or virtual) is expected during external calls. Internal team calls allow more flexibility.</w:t>
      </w:r>
    </w:p>
    <w:p>
      <w:r>
        <w:br w:type="page"/>
      </w:r>
    </w:p>
    <w:p>
      <w:pPr>
        <w:pStyle w:val="Heading1"/>
        <w:spacing w:after="200" w:before="400"/>
      </w:pPr>
      <w:r>
        <w:t xml:space="preserve">Chapter 8: Remote Work &amp; Hybrid Work Policy</w:t>
      </w:r>
    </w:p>
    <w:p>
      <w:pPr>
        <w:pStyle w:val="Heading2"/>
        <w:spacing w:after="150" w:before="300"/>
      </w:pPr>
      <w:r>
        <w:t xml:space="preserve">8.1 Work Arrangement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Arrangement Type</w:t>
            </w:r>
          </w:p>
        </w:tc>
        <w:tc>
          <w:tcPr>
            <w:tcW w:type="dxa" w:w="2340"/>
            <w:shd w:fill="1F4E79" w:color="1F4E79" w:val="clear"/>
          </w:tcPr>
          <w:p>
            <w:pPr>
              <w:spacing w:after="60"/>
            </w:pPr>
            <w:r>
              <w:rPr>
                <w:b/>
                <w:bCs/>
                <w:sz w:val="20"/>
                <w:szCs w:val="20"/>
              </w:rPr>
              <w:t xml:space="preserve">Definition</w:t>
            </w:r>
          </w:p>
        </w:tc>
        <w:tc>
          <w:tcPr>
            <w:tcW w:type="dxa" w:w="2340"/>
            <w:shd w:fill="1F4E79" w:color="1F4E79" w:val="clear"/>
          </w:tcPr>
          <w:p>
            <w:pPr>
              <w:spacing w:after="60"/>
            </w:pPr>
            <w:r>
              <w:rPr>
                <w:b/>
                <w:bCs/>
                <w:sz w:val="20"/>
                <w:szCs w:val="20"/>
              </w:rPr>
              <w:t xml:space="preserve">Office Days Required</w:t>
            </w:r>
          </w:p>
        </w:tc>
        <w:tc>
          <w:tcPr>
            <w:tcW w:type="dxa" w:w="2340"/>
            <w:shd w:fill="1F4E79" w:color="1F4E79" w:val="clear"/>
          </w:tcPr>
          <w:p>
            <w:pPr>
              <w:spacing w:after="60"/>
            </w:pPr>
            <w:r>
              <w:rPr>
                <w:b/>
                <w:bCs/>
                <w:sz w:val="20"/>
                <w:szCs w:val="20"/>
              </w:rPr>
              <w:t xml:space="preserve">Eligible Roles</w:t>
            </w:r>
          </w:p>
        </w:tc>
      </w:tr>
      <w:tr>
        <w:tc>
          <w:tcPr>
            <w:tcW w:type="dxa" w:w="2340"/>
          </w:tcPr>
          <w:p>
            <w:pPr>
              <w:spacing w:after="60"/>
            </w:pPr>
            <w:r>
              <w:rPr>
                <w:b w:val="false"/>
                <w:bCs w:val="false"/>
                <w:sz w:val="20"/>
                <w:szCs w:val="20"/>
              </w:rPr>
              <w:t xml:space="preserve">On-Site</w:t>
            </w:r>
          </w:p>
        </w:tc>
        <w:tc>
          <w:tcPr>
            <w:tcW w:type="dxa" w:w="2340"/>
          </w:tcPr>
          <w:p>
            <w:pPr>
              <w:spacing w:after="60"/>
            </w:pPr>
            <w:r>
              <w:rPr>
                <w:b w:val="false"/>
                <w:bCs w:val="false"/>
                <w:sz w:val="20"/>
                <w:szCs w:val="20"/>
              </w:rPr>
              <w:t xml:space="preserve">Full-time office presence</w:t>
            </w:r>
          </w:p>
        </w:tc>
        <w:tc>
          <w:tcPr>
            <w:tcW w:type="dxa" w:w="2340"/>
          </w:tcPr>
          <w:p>
            <w:pPr>
              <w:spacing w:after="60"/>
            </w:pPr>
            <w:r>
              <w:rPr>
                <w:b w:val="false"/>
                <w:bCs w:val="false"/>
                <w:sz w:val="20"/>
                <w:szCs w:val="20"/>
              </w:rPr>
              <w:t xml:space="preserve">5 days/week</w:t>
            </w:r>
          </w:p>
        </w:tc>
        <w:tc>
          <w:tcPr>
            <w:tcW w:type="dxa" w:w="2340"/>
          </w:tcPr>
          <w:p>
            <w:pPr>
              <w:spacing w:after="60"/>
            </w:pPr>
            <w:r>
              <w:rPr>
                <w:b w:val="false"/>
                <w:bCs w:val="false"/>
                <w:sz w:val="20"/>
                <w:szCs w:val="20"/>
              </w:rPr>
              <w:t xml:space="preserve">Lab, Data Center, Reception, Facilities</w:t>
            </w:r>
          </w:p>
        </w:tc>
      </w:tr>
      <w:tr>
        <w:tc>
          <w:tcPr>
            <w:tcW w:type="dxa" w:w="2340"/>
          </w:tcPr>
          <w:p>
            <w:pPr>
              <w:spacing w:after="60"/>
            </w:pPr>
            <w:r>
              <w:rPr>
                <w:b w:val="false"/>
                <w:bCs w:val="false"/>
                <w:sz w:val="20"/>
                <w:szCs w:val="20"/>
              </w:rPr>
              <w:t xml:space="preserve">Hybrid – Standard</w:t>
            </w:r>
          </w:p>
        </w:tc>
        <w:tc>
          <w:tcPr>
            <w:tcW w:type="dxa" w:w="2340"/>
          </w:tcPr>
          <w:p>
            <w:pPr>
              <w:spacing w:after="60"/>
            </w:pPr>
            <w:r>
              <w:rPr>
                <w:b w:val="false"/>
                <w:bCs w:val="false"/>
                <w:sz w:val="20"/>
                <w:szCs w:val="20"/>
              </w:rPr>
              <w:t xml:space="preserve">Blend of office and remote</w:t>
            </w:r>
          </w:p>
        </w:tc>
        <w:tc>
          <w:tcPr>
            <w:tcW w:type="dxa" w:w="2340"/>
          </w:tcPr>
          <w:p>
            <w:pPr>
              <w:spacing w:after="60"/>
            </w:pPr>
            <w:r>
              <w:rPr>
                <w:b w:val="false"/>
                <w:bCs w:val="false"/>
                <w:sz w:val="20"/>
                <w:szCs w:val="20"/>
              </w:rPr>
              <w:t xml:space="preserve">2–3 days/week</w:t>
            </w:r>
          </w:p>
        </w:tc>
        <w:tc>
          <w:tcPr>
            <w:tcW w:type="dxa" w:w="2340"/>
          </w:tcPr>
          <w:p>
            <w:pPr>
              <w:spacing w:after="60"/>
            </w:pPr>
            <w:r>
              <w:rPr>
                <w:b w:val="false"/>
                <w:bCs w:val="false"/>
                <w:sz w:val="20"/>
                <w:szCs w:val="20"/>
              </w:rPr>
              <w:t xml:space="preserve">Most Engineering, Product, Sales roles</w:t>
            </w:r>
          </w:p>
        </w:tc>
      </w:tr>
      <w:tr>
        <w:tc>
          <w:tcPr>
            <w:tcW w:type="dxa" w:w="2340"/>
          </w:tcPr>
          <w:p>
            <w:pPr>
              <w:spacing w:after="60"/>
            </w:pPr>
            <w:r>
              <w:rPr>
                <w:b w:val="false"/>
                <w:bCs w:val="false"/>
                <w:sz w:val="20"/>
                <w:szCs w:val="20"/>
              </w:rPr>
              <w:t xml:space="preserve">Hybrid – Flexible</w:t>
            </w:r>
          </w:p>
        </w:tc>
        <w:tc>
          <w:tcPr>
            <w:tcW w:type="dxa" w:w="2340"/>
          </w:tcPr>
          <w:p>
            <w:pPr>
              <w:spacing w:after="60"/>
            </w:pPr>
            <w:r>
              <w:rPr>
                <w:b w:val="false"/>
                <w:bCs w:val="false"/>
                <w:sz w:val="20"/>
                <w:szCs w:val="20"/>
              </w:rPr>
              <w:t xml:space="preserve">Primarily remote, periodic office</w:t>
            </w:r>
          </w:p>
        </w:tc>
        <w:tc>
          <w:tcPr>
            <w:tcW w:type="dxa" w:w="2340"/>
          </w:tcPr>
          <w:p>
            <w:pPr>
              <w:spacing w:after="60"/>
            </w:pPr>
            <w:r>
              <w:rPr>
                <w:b w:val="false"/>
                <w:bCs w:val="false"/>
                <w:sz w:val="20"/>
                <w:szCs w:val="20"/>
              </w:rPr>
              <w:t xml:space="preserve">1 day/week or as needed</w:t>
            </w:r>
          </w:p>
        </w:tc>
        <w:tc>
          <w:tcPr>
            <w:tcW w:type="dxa" w:w="2340"/>
          </w:tcPr>
          <w:p>
            <w:pPr>
              <w:spacing w:after="60"/>
            </w:pPr>
            <w:r>
              <w:rPr>
                <w:b w:val="false"/>
                <w:bCs w:val="false"/>
                <w:sz w:val="20"/>
                <w:szCs w:val="20"/>
              </w:rPr>
              <w:t xml:space="preserve">Senior ICs, Principal Engineers, Directors+</w:t>
            </w:r>
          </w:p>
        </w:tc>
      </w:tr>
      <w:tr>
        <w:tc>
          <w:tcPr>
            <w:tcW w:type="dxa" w:w="2340"/>
          </w:tcPr>
          <w:p>
            <w:pPr>
              <w:spacing w:after="60"/>
            </w:pPr>
            <w:r>
              <w:rPr>
                <w:b w:val="false"/>
                <w:bCs w:val="false"/>
                <w:sz w:val="20"/>
                <w:szCs w:val="20"/>
              </w:rPr>
              <w:t xml:space="preserve">Fully Remote</w:t>
            </w:r>
          </w:p>
        </w:tc>
        <w:tc>
          <w:tcPr>
            <w:tcW w:type="dxa" w:w="2340"/>
          </w:tcPr>
          <w:p>
            <w:pPr>
              <w:spacing w:after="60"/>
            </w:pPr>
            <w:r>
              <w:rPr>
                <w:b w:val="false"/>
                <w:bCs w:val="false"/>
                <w:sz w:val="20"/>
                <w:szCs w:val="20"/>
              </w:rPr>
              <w:t xml:space="preserve">No fixed office requirement</w:t>
            </w:r>
          </w:p>
        </w:tc>
        <w:tc>
          <w:tcPr>
            <w:tcW w:type="dxa" w:w="2340"/>
          </w:tcPr>
          <w:p>
            <w:pPr>
              <w:spacing w:after="60"/>
            </w:pPr>
            <w:r>
              <w:rPr>
                <w:b w:val="false"/>
                <w:bCs w:val="false"/>
                <w:sz w:val="20"/>
                <w:szCs w:val="20"/>
              </w:rPr>
              <w:t xml:space="preserve">0 days/week (ad hoc)</w:t>
            </w:r>
          </w:p>
        </w:tc>
        <w:tc>
          <w:tcPr>
            <w:tcW w:type="dxa" w:w="2340"/>
          </w:tcPr>
          <w:p>
            <w:pPr>
              <w:spacing w:after="60"/>
            </w:pPr>
            <w:r>
              <w:rPr>
                <w:b w:val="false"/>
                <w:bCs w:val="false"/>
                <w:sz w:val="20"/>
                <w:szCs w:val="20"/>
              </w:rPr>
              <w:t xml:space="preserve">Approved on case-by-case basis</w:t>
            </w:r>
          </w:p>
        </w:tc>
      </w:tr>
      <w:tr>
        <w:tc>
          <w:tcPr>
            <w:tcW w:type="dxa" w:w="2340"/>
          </w:tcPr>
          <w:p>
            <w:pPr>
              <w:spacing w:after="60"/>
            </w:pPr>
            <w:r>
              <w:rPr>
                <w:b w:val="false"/>
                <w:bCs w:val="false"/>
                <w:sz w:val="20"/>
                <w:szCs w:val="20"/>
              </w:rPr>
              <w:t xml:space="preserve">Work-from-Abroad</w:t>
            </w:r>
          </w:p>
        </w:tc>
        <w:tc>
          <w:tcPr>
            <w:tcW w:type="dxa" w:w="2340"/>
          </w:tcPr>
          <w:p>
            <w:pPr>
              <w:spacing w:after="60"/>
            </w:pPr>
            <w:r>
              <w:rPr>
                <w:b w:val="false"/>
                <w:bCs w:val="false"/>
                <w:sz w:val="20"/>
                <w:szCs w:val="20"/>
              </w:rPr>
              <w:t xml:space="preserve">Temporary remote from another country</w:t>
            </w:r>
          </w:p>
        </w:tc>
        <w:tc>
          <w:tcPr>
            <w:tcW w:type="dxa" w:w="2340"/>
          </w:tcPr>
          <w:p>
            <w:pPr>
              <w:spacing w:after="60"/>
            </w:pPr>
            <w:r>
              <w:rPr>
                <w:b w:val="false"/>
                <w:bCs w:val="false"/>
                <w:sz w:val="20"/>
                <w:szCs w:val="20"/>
              </w:rPr>
              <w:t xml:space="preserve">Per approval</w:t>
            </w:r>
          </w:p>
        </w:tc>
        <w:tc>
          <w:tcPr>
            <w:tcW w:type="dxa" w:w="2340"/>
          </w:tcPr>
          <w:p>
            <w:pPr>
              <w:spacing w:after="60"/>
            </w:pPr>
            <w:r>
              <w:rPr>
                <w:b w:val="false"/>
                <w:bCs w:val="false"/>
                <w:sz w:val="20"/>
                <w:szCs w:val="20"/>
              </w:rPr>
              <w:t xml:space="preserve">Limited; see Section 8.5</w:t>
            </w:r>
          </w:p>
        </w:tc>
      </w:tr>
    </w:tbl>
    <w:p>
      <w:pPr>
        <w:spacing w:after="100"/>
      </w:pPr>
      <w:r>
        <w:t xml:space="preserve"/>
      </w:r>
    </w:p>
    <w:p>
      <w:pPr>
        <w:pStyle w:val="Heading2"/>
        <w:spacing w:after="150" w:before="300"/>
      </w:pPr>
      <w:r>
        <w:t xml:space="preserve">8.2 Hybrid Anchor Days</w:t>
      </w:r>
    </w:p>
    <w:p>
      <w:pPr>
        <w:spacing w:after="120" w:line="276"/>
      </w:pPr>
      <w:r>
        <w:rPr>
          <w:sz w:val="22"/>
          <w:szCs w:val="22"/>
        </w:rPr>
        <w:t xml:space="preserve">To ensure that hybrid employees have meaningful in-person collaboration, each department has designated anchor days — specific days of the week when all team members are expected to be in the office. Anchor days are set by the department head in consultation with HR People Operations and must be communicated to all team members at least 4 weeks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sz w:val="20"/>
                <w:szCs w:val="20"/>
              </w:rPr>
              <w:t xml:space="preserve">Department</w:t>
            </w:r>
          </w:p>
        </w:tc>
        <w:tc>
          <w:tcPr>
            <w:tcW w:type="dxa" w:w="3120"/>
            <w:shd w:fill="1F4E79" w:color="1F4E79" w:val="clear"/>
          </w:tcPr>
          <w:p>
            <w:pPr>
              <w:spacing w:after="60"/>
            </w:pPr>
            <w:r>
              <w:rPr>
                <w:b/>
                <w:bCs/>
                <w:sz w:val="20"/>
                <w:szCs w:val="20"/>
              </w:rPr>
              <w:t xml:space="preserve">Anchor Days (Standard)</w:t>
            </w:r>
          </w:p>
        </w:tc>
        <w:tc>
          <w:tcPr>
            <w:tcW w:type="dxa" w:w="3120"/>
            <w:shd w:fill="1F4E79" w:color="1F4E79" w:val="clear"/>
          </w:tcPr>
          <w:p>
            <w:pPr>
              <w:spacing w:after="60"/>
            </w:pPr>
            <w:r>
              <w:rPr>
                <w:b/>
                <w:bCs/>
                <w:sz w:val="20"/>
                <w:szCs w:val="20"/>
              </w:rPr>
              <w:t xml:space="preserve">Office Location</w:t>
            </w:r>
          </w:p>
        </w:tc>
      </w:tr>
      <w:tr>
        <w:tc>
          <w:tcPr>
            <w:tcW w:type="dxa" w:w="3120"/>
          </w:tcPr>
          <w:p>
            <w:pPr>
              <w:spacing w:after="60"/>
            </w:pPr>
            <w:r>
              <w:rPr>
                <w:b w:val="false"/>
                <w:bCs w:val="false"/>
                <w:sz w:val="20"/>
                <w:szCs w:val="20"/>
              </w:rPr>
              <w:t xml:space="preserve">Engineering</w:t>
            </w:r>
          </w:p>
        </w:tc>
        <w:tc>
          <w:tcPr>
            <w:tcW w:type="dxa" w:w="3120"/>
          </w:tcPr>
          <w:p>
            <w:pPr>
              <w:spacing w:after="60"/>
            </w:pPr>
            <w:r>
              <w:rPr>
                <w:b w:val="false"/>
                <w:bCs w:val="false"/>
                <w:sz w:val="20"/>
                <w:szCs w:val="20"/>
              </w:rPr>
              <w:t xml:space="preserve">Tuesday, Thursday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Product Management</w:t>
            </w:r>
          </w:p>
        </w:tc>
        <w:tc>
          <w:tcPr>
            <w:tcW w:type="dxa" w:w="3120"/>
          </w:tcPr>
          <w:p>
            <w:pPr>
              <w:spacing w:after="60"/>
            </w:pPr>
            <w:r>
              <w:rPr>
                <w:b w:val="false"/>
                <w:bCs w:val="false"/>
                <w:sz w:val="20"/>
                <w:szCs w:val="20"/>
              </w:rPr>
              <w:t xml:space="preserve">Tuesday, Wednesday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Sales</w:t>
            </w:r>
          </w:p>
        </w:tc>
        <w:tc>
          <w:tcPr>
            <w:tcW w:type="dxa" w:w="3120"/>
          </w:tcPr>
          <w:p>
            <w:pPr>
              <w:spacing w:after="60"/>
            </w:pPr>
            <w:r>
              <w:rPr>
                <w:b w:val="false"/>
                <w:bCs w:val="false"/>
                <w:sz w:val="20"/>
                <w:szCs w:val="20"/>
              </w:rPr>
              <w:t xml:space="preserve">Monday, Tuesday</w:t>
            </w:r>
          </w:p>
        </w:tc>
        <w:tc>
          <w:tcPr>
            <w:tcW w:type="dxa" w:w="3120"/>
          </w:tcPr>
          <w:p>
            <w:pPr>
              <w:spacing w:after="60"/>
            </w:pPr>
            <w:r>
              <w:rPr>
                <w:b w:val="false"/>
                <w:bCs w:val="false"/>
                <w:sz w:val="20"/>
                <w:szCs w:val="20"/>
              </w:rPr>
              <w:t xml:space="preserve">Regional offices</w:t>
            </w:r>
          </w:p>
        </w:tc>
      </w:tr>
      <w:tr>
        <w:tc>
          <w:tcPr>
            <w:tcW w:type="dxa" w:w="3120"/>
          </w:tcPr>
          <w:p>
            <w:pPr>
              <w:spacing w:after="60"/>
            </w:pPr>
            <w:r>
              <w:rPr>
                <w:b w:val="false"/>
                <w:bCs w:val="false"/>
                <w:sz w:val="20"/>
                <w:szCs w:val="20"/>
              </w:rPr>
              <w:t xml:space="preserve">Human Resources</w:t>
            </w:r>
          </w:p>
        </w:tc>
        <w:tc>
          <w:tcPr>
            <w:tcW w:type="dxa" w:w="3120"/>
          </w:tcPr>
          <w:p>
            <w:pPr>
              <w:spacing w:after="60"/>
            </w:pPr>
            <w:r>
              <w:rPr>
                <w:b w:val="false"/>
                <w:bCs w:val="false"/>
                <w:sz w:val="20"/>
                <w:szCs w:val="20"/>
              </w:rPr>
              <w:t xml:space="preserve">Tuesday, Thursday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Finance</w:t>
            </w:r>
          </w:p>
        </w:tc>
        <w:tc>
          <w:tcPr>
            <w:tcW w:type="dxa" w:w="3120"/>
          </w:tcPr>
          <w:p>
            <w:pPr>
              <w:spacing w:after="60"/>
            </w:pPr>
            <w:r>
              <w:rPr>
                <w:b w:val="false"/>
                <w:bCs w:val="false"/>
                <w:sz w:val="20"/>
                <w:szCs w:val="20"/>
              </w:rPr>
              <w:t xml:space="preserve">Wednesday, Thursday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Marketing</w:t>
            </w:r>
          </w:p>
        </w:tc>
        <w:tc>
          <w:tcPr>
            <w:tcW w:type="dxa" w:w="3120"/>
          </w:tcPr>
          <w:p>
            <w:pPr>
              <w:spacing w:after="60"/>
            </w:pPr>
            <w:r>
              <w:rPr>
                <w:b w:val="false"/>
                <w:bCs w:val="false"/>
                <w:sz w:val="20"/>
                <w:szCs w:val="20"/>
              </w:rPr>
              <w:t xml:space="preserve">Tuesday, Wednesday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Customer Success</w:t>
            </w:r>
          </w:p>
        </w:tc>
        <w:tc>
          <w:tcPr>
            <w:tcW w:type="dxa" w:w="3120"/>
          </w:tcPr>
          <w:p>
            <w:pPr>
              <w:spacing w:after="60"/>
            </w:pPr>
            <w:r>
              <w:rPr>
                <w:b w:val="false"/>
                <w:bCs w:val="false"/>
                <w:sz w:val="20"/>
                <w:szCs w:val="20"/>
              </w:rPr>
              <w:t xml:space="preserve">Monday, Wednesday</w:t>
            </w:r>
          </w:p>
        </w:tc>
        <w:tc>
          <w:tcPr>
            <w:tcW w:type="dxa" w:w="3120"/>
          </w:tcPr>
          <w:p>
            <w:pPr>
              <w:spacing w:after="60"/>
            </w:pPr>
            <w:r>
              <w:rPr>
                <w:b w:val="false"/>
                <w:bCs w:val="false"/>
                <w:sz w:val="20"/>
                <w:szCs w:val="20"/>
              </w:rPr>
              <w:t xml:space="preserve">All offices</w:t>
            </w:r>
          </w:p>
        </w:tc>
      </w:tr>
      <w:tr>
        <w:tc>
          <w:tcPr>
            <w:tcW w:type="dxa" w:w="3120"/>
          </w:tcPr>
          <w:p>
            <w:pPr>
              <w:spacing w:after="60"/>
            </w:pPr>
            <w:r>
              <w:rPr>
                <w:b w:val="false"/>
                <w:bCs w:val="false"/>
                <w:sz w:val="20"/>
                <w:szCs w:val="20"/>
              </w:rPr>
              <w:t xml:space="preserve">Legal</w:t>
            </w:r>
          </w:p>
        </w:tc>
        <w:tc>
          <w:tcPr>
            <w:tcW w:type="dxa" w:w="3120"/>
          </w:tcPr>
          <w:p>
            <w:pPr>
              <w:spacing w:after="60"/>
            </w:pPr>
            <w:r>
              <w:rPr>
                <w:b w:val="false"/>
                <w:bCs w:val="false"/>
                <w:sz w:val="20"/>
                <w:szCs w:val="20"/>
              </w:rPr>
              <w:t xml:space="preserve">Tuesday, Thursday</w:t>
            </w:r>
          </w:p>
        </w:tc>
        <w:tc>
          <w:tcPr>
            <w:tcW w:type="dxa" w:w="3120"/>
          </w:tcPr>
          <w:p>
            <w:pPr>
              <w:spacing w:after="60"/>
            </w:pPr>
            <w:r>
              <w:rPr>
                <w:b w:val="false"/>
                <w:bCs w:val="false"/>
                <w:sz w:val="20"/>
                <w:szCs w:val="20"/>
              </w:rPr>
              <w:t xml:space="preserve">All offices</w:t>
            </w:r>
          </w:p>
        </w:tc>
      </w:tr>
    </w:tbl>
    <w:p>
      <w:pPr>
        <w:spacing w:after="100"/>
      </w:pPr>
      <w:r>
        <w:t xml:space="preserve"/>
      </w:r>
    </w:p>
    <w:p>
      <w:pPr>
        <w:pStyle w:val="Heading2"/>
        <w:spacing w:after="150" w:before="300"/>
      </w:pPr>
      <w:r>
        <w:t xml:space="preserve">8.3 Home Office Setup Standards</w:t>
      </w:r>
    </w:p>
    <w:p>
      <w:pPr>
        <w:spacing w:after="120" w:line="276"/>
      </w:pPr>
      <w:r>
        <w:rPr>
          <w:sz w:val="22"/>
          <w:szCs w:val="22"/>
        </w:rPr>
        <w:t xml:space="preserve">Employees on hybrid or remote arrangements are responsible for maintaining a safe, productive home working environment. OptiAgent provides the following support:</w:t>
      </w:r>
    </w:p>
    <w:p>
      <w:pPr>
        <w:pStyle w:val="ListParagraph"/>
        <w:numPr>
          <w:ilvl w:val="0"/>
          <w:numId w:val="1"/>
        </w:numPr>
        <w:spacing w:after="80"/>
      </w:pPr>
      <w:r>
        <w:rPr>
          <w:sz w:val="22"/>
          <w:szCs w:val="22"/>
        </w:rPr>
        <w:t xml:space="preserve">Home Office Allowance: $500 USD one-time (or local equivalent) for new hires transitioning to hybrid/remote arrangements. Submit via Workday &gt; Expenses &gt; Home Office Setup</w:t>
      </w:r>
    </w:p>
    <w:p>
      <w:pPr>
        <w:pStyle w:val="ListParagraph"/>
        <w:numPr>
          <w:ilvl w:val="0"/>
          <w:numId w:val="1"/>
        </w:numPr>
        <w:spacing w:after="80"/>
      </w:pPr>
      <w:r>
        <w:rPr>
          <w:sz w:val="22"/>
          <w:szCs w:val="22"/>
        </w:rPr>
        <w:t xml:space="preserve">Annual Refresh: $150 USD per year for consumables (keyboard, mouse, headset replacements)</w:t>
      </w:r>
    </w:p>
    <w:p>
      <w:pPr>
        <w:pStyle w:val="ListParagraph"/>
        <w:numPr>
          <w:ilvl w:val="0"/>
          <w:numId w:val="1"/>
        </w:numPr>
        <w:spacing w:after="80"/>
      </w:pPr>
      <w:r>
        <w:rPr>
          <w:sz w:val="22"/>
          <w:szCs w:val="22"/>
        </w:rPr>
        <w:t xml:space="preserve">Ergonomic Assessment: Employees may request a virtual ergonomic assessment through Occupational Health via hr.global@optiagent.com</w:t>
      </w:r>
    </w:p>
    <w:p>
      <w:pPr>
        <w:pStyle w:val="ListParagraph"/>
        <w:numPr>
          <w:ilvl w:val="0"/>
          <w:numId w:val="1"/>
        </w:numPr>
        <w:spacing w:after="80"/>
      </w:pPr>
      <w:r>
        <w:rPr>
          <w:sz w:val="22"/>
          <w:szCs w:val="22"/>
        </w:rPr>
        <w:t xml:space="preserve">Internet Subsidy: $50 USD/month (reimbursed via expense report) toward business-grade internet</w:t>
      </w:r>
    </w:p>
    <w:p>
      <w:pPr>
        <w:spacing w:after="120" w:line="276"/>
      </w:pPr>
      <w:r>
        <w:rPr>
          <w:sz w:val="22"/>
          <w:szCs w:val="22"/>
        </w:rPr>
        <w:t xml:space="preserve">Employees are responsible for ensuring their home network meets OptiAgent's security standards. A VPN connection is required for all access to company systems from outside a company office. See the Company Policy (Document ID: OAT-CP-001), Section 4 — Remote Access &amp; VPN Policy, for detailed requirements.</w:t>
      </w:r>
    </w:p>
    <w:p>
      <w:pPr>
        <w:pStyle w:val="Heading2"/>
        <w:spacing w:after="150" w:before="300"/>
      </w:pPr>
      <w:r>
        <w:t xml:space="preserve">8.4 Remote Work Expectations</w:t>
      </w:r>
    </w:p>
    <w:p>
      <w:pPr>
        <w:spacing w:after="120" w:line="276"/>
      </w:pPr>
      <w:r>
        <w:rPr>
          <w:sz w:val="22"/>
          <w:szCs w:val="22"/>
        </w:rPr>
        <w:t xml:space="preserve">Employees working remotely are held to the same performance standards, working hours (within the core hours framework in Section 6.1), and availability expectations as in-office employees. Specific expectations include:</w:t>
      </w:r>
    </w:p>
    <w:p>
      <w:pPr>
        <w:pStyle w:val="ListParagraph"/>
        <w:numPr>
          <w:ilvl w:val="0"/>
          <w:numId w:val="1"/>
        </w:numPr>
        <w:spacing w:after="80"/>
      </w:pPr>
      <w:r>
        <w:rPr>
          <w:sz w:val="22"/>
          <w:szCs w:val="22"/>
        </w:rPr>
        <w:t xml:space="preserve">Be reachable on Slack during core hours with status set appropriately</w:t>
      </w:r>
    </w:p>
    <w:p>
      <w:pPr>
        <w:pStyle w:val="ListParagraph"/>
        <w:numPr>
          <w:ilvl w:val="0"/>
          <w:numId w:val="1"/>
        </w:numPr>
        <w:spacing w:after="80"/>
      </w:pPr>
      <w:r>
        <w:rPr>
          <w:sz w:val="22"/>
          <w:szCs w:val="22"/>
        </w:rPr>
        <w:t xml:space="preserve">Attend all scheduled team meetings via video (camera on for meetings with external stakeholders)</w:t>
      </w:r>
    </w:p>
    <w:p>
      <w:pPr>
        <w:pStyle w:val="ListParagraph"/>
        <w:numPr>
          <w:ilvl w:val="0"/>
          <w:numId w:val="1"/>
        </w:numPr>
        <w:spacing w:after="80"/>
      </w:pPr>
      <w:r>
        <w:rPr>
          <w:sz w:val="22"/>
          <w:szCs w:val="22"/>
        </w:rPr>
        <w:t xml:space="preserve">Respond to messages from managers and teammates within 2 hours during core hours</w:t>
      </w:r>
    </w:p>
    <w:p>
      <w:pPr>
        <w:pStyle w:val="ListParagraph"/>
        <w:numPr>
          <w:ilvl w:val="0"/>
          <w:numId w:val="1"/>
        </w:numPr>
        <w:spacing w:after="80"/>
      </w:pPr>
      <w:r>
        <w:rPr>
          <w:sz w:val="22"/>
          <w:szCs w:val="22"/>
        </w:rPr>
        <w:t xml:space="preserve">Notify your manager promptly if your home office environment becomes unsafe or unsuitable for work</w:t>
      </w:r>
    </w:p>
    <w:p>
      <w:pPr>
        <w:pStyle w:val="ListParagraph"/>
        <w:numPr>
          <w:ilvl w:val="0"/>
          <w:numId w:val="1"/>
        </w:numPr>
        <w:spacing w:after="80"/>
      </w:pPr>
      <w:r>
        <w:rPr>
          <w:sz w:val="22"/>
          <w:szCs w:val="22"/>
        </w:rPr>
        <w:t xml:space="preserve">Complete all mandatory security training and keep devices updated as required by IT</w:t>
      </w:r>
    </w:p>
    <w:p>
      <w:pPr>
        <w:pStyle w:val="Heading2"/>
        <w:spacing w:after="150" w:before="300"/>
      </w:pPr>
      <w:r>
        <w:t xml:space="preserve">8.5 Working from Another Country (Work-from-Abroad)</w:t>
      </w:r>
    </w:p>
    <w:p>
      <w:pPr>
        <w:spacing w:after="120" w:line="276"/>
      </w:pPr>
      <w:r>
        <w:rPr>
          <w:sz w:val="22"/>
          <w:szCs w:val="22"/>
        </w:rPr>
        <w:t xml:space="preserve">Working remotely from a country other than your country of employment creates complex tax, immigration, and employment law obligations for both the employee and the company. As a result, work-from-abroad arrangements require prior written approval.</w:t>
      </w:r>
    </w:p>
    <w:p>
      <w:pPr>
        <w:pStyle w:val="Heading3"/>
        <w:spacing w:after="100" w:before="200"/>
      </w:pPr>
      <w:r>
        <w:t xml:space="preserve">8.5.1 Approval Requirements</w:t>
      </w:r>
    </w:p>
    <w:p>
      <w:pPr>
        <w:pStyle w:val="ListParagraph"/>
        <w:numPr>
          <w:ilvl w:val="0"/>
          <w:numId w:val="1"/>
        </w:numPr>
        <w:spacing w:after="80"/>
      </w:pPr>
      <w:r>
        <w:rPr>
          <w:sz w:val="22"/>
          <w:szCs w:val="22"/>
        </w:rPr>
        <w:t xml:space="preserve">Duration up to 14 days: Approval from direct manager + HR Business Partner</w:t>
      </w:r>
    </w:p>
    <w:p>
      <w:pPr>
        <w:pStyle w:val="ListParagraph"/>
        <w:numPr>
          <w:ilvl w:val="0"/>
          <w:numId w:val="1"/>
        </w:numPr>
        <w:spacing w:after="80"/>
      </w:pPr>
      <w:r>
        <w:rPr>
          <w:sz w:val="22"/>
          <w:szCs w:val="22"/>
        </w:rPr>
        <w:t xml:space="preserve">Duration 15–30 days: Above plus Country HR Lead and Finance (tax impact assessment required)</w:t>
      </w:r>
    </w:p>
    <w:p>
      <w:pPr>
        <w:pStyle w:val="ListParagraph"/>
        <w:numPr>
          <w:ilvl w:val="0"/>
          <w:numId w:val="1"/>
        </w:numPr>
        <w:spacing w:after="80"/>
      </w:pPr>
      <w:r>
        <w:rPr>
          <w:sz w:val="22"/>
          <w:szCs w:val="22"/>
        </w:rPr>
        <w:t xml:space="preserve">Duration over 30 days: Above plus Chief People Officer and Legal (may require establishment of employment in the host country)</w:t>
      </w:r>
    </w:p>
    <w:p>
      <w:pPr>
        <w:pStyle w:val="Heading3"/>
        <w:spacing w:after="100" w:before="200"/>
      </w:pPr>
      <w:r>
        <w:t xml:space="preserve">8.5.2 Countries with Known Restrictions</w:t>
      </w:r>
    </w:p>
    <w:p>
      <w:pPr>
        <w:spacing w:after="120" w:line="276"/>
      </w:pPr>
      <w:r>
        <w:rPr>
          <w:sz w:val="22"/>
          <w:szCs w:val="22"/>
        </w:rPr>
        <w:t xml:space="preserve">The following countries currently have restrictions that make work-from-abroad particularly complex. Employees should not attempt to work from these locations without Legal clearance regardless of duration:</w:t>
      </w:r>
    </w:p>
    <w:p>
      <w:pPr>
        <w:pStyle w:val="ListParagraph"/>
        <w:numPr>
          <w:ilvl w:val="0"/>
          <w:numId w:val="1"/>
        </w:numPr>
        <w:spacing w:after="80"/>
      </w:pPr>
      <w:r>
        <w:rPr>
          <w:sz w:val="22"/>
          <w:szCs w:val="22"/>
        </w:rPr>
        <w:t xml:space="preserve">People's Republic of China</w:t>
      </w:r>
    </w:p>
    <w:p>
      <w:pPr>
        <w:pStyle w:val="ListParagraph"/>
        <w:numPr>
          <w:ilvl w:val="0"/>
          <w:numId w:val="1"/>
        </w:numPr>
        <w:spacing w:after="80"/>
      </w:pPr>
      <w:r>
        <w:rPr>
          <w:sz w:val="22"/>
          <w:szCs w:val="22"/>
        </w:rPr>
        <w:t xml:space="preserve">Russian Federation</w:t>
      </w:r>
    </w:p>
    <w:p>
      <w:pPr>
        <w:pStyle w:val="ListParagraph"/>
        <w:numPr>
          <w:ilvl w:val="0"/>
          <w:numId w:val="1"/>
        </w:numPr>
        <w:spacing w:after="80"/>
      </w:pPr>
      <w:r>
        <w:rPr>
          <w:sz w:val="22"/>
          <w:szCs w:val="22"/>
        </w:rPr>
        <w:t xml:space="preserve">Any country under active UN/US/EU/UK sanctions</w:t>
      </w:r>
    </w:p>
    <w:p>
      <w:pPr>
        <w:pStyle w:val="ListParagraph"/>
        <w:numPr>
          <w:ilvl w:val="0"/>
          <w:numId w:val="1"/>
        </w:numPr>
        <w:spacing w:after="80"/>
      </w:pPr>
      <w:r>
        <w:rPr>
          <w:sz w:val="22"/>
          <w:szCs w:val="22"/>
        </w:rPr>
        <w:t xml:space="preserve">Countries where OptiAgent has no legal entity or registered agent</w:t>
      </w:r>
    </w:p>
    <w:p>
      <w:r>
        <w:br w:type="page"/>
      </w:r>
    </w:p>
    <w:p>
      <w:pPr>
        <w:pStyle w:val="Heading1"/>
        <w:spacing w:after="200" w:before="400"/>
      </w:pPr>
      <w:r>
        <w:t xml:space="preserve">Chapter 9: Employee Benefits Overview</w:t>
      </w:r>
    </w:p>
    <w:p>
      <w:pPr>
        <w:pStyle w:val="Heading2"/>
        <w:spacing w:after="150" w:before="300"/>
      </w:pPr>
      <w:r>
        <w:t xml:space="preserve">9.1 Philosophy</w:t>
      </w:r>
    </w:p>
    <w:p>
      <w:pPr>
        <w:spacing w:after="120" w:line="276"/>
      </w:pPr>
      <w:r>
        <w:rPr>
          <w:sz w:val="22"/>
          <w:szCs w:val="22"/>
        </w:rPr>
        <w:t xml:space="preserve">OptiAgent Technologies offers a comprehensive benefits package designed to support the health, financial security, and professional growth of every employee. Benefits vary by country in order to comply with local law and meet or exceed local market standards. The principles guiding our benefits design are:</w:t>
      </w:r>
    </w:p>
    <w:p>
      <w:pPr>
        <w:pStyle w:val="ListParagraph"/>
        <w:numPr>
          <w:ilvl w:val="0"/>
          <w:numId w:val="1"/>
        </w:numPr>
        <w:spacing w:after="80"/>
      </w:pPr>
      <w:r>
        <w:rPr>
          <w:sz w:val="22"/>
          <w:szCs w:val="22"/>
        </w:rPr>
        <w:t xml:space="preserve">Competitiveness: We target the 75th percentile of total compensation (base + benefits + equity) in each market</w:t>
      </w:r>
    </w:p>
    <w:p>
      <w:pPr>
        <w:pStyle w:val="ListParagraph"/>
        <w:numPr>
          <w:ilvl w:val="0"/>
          <w:numId w:val="1"/>
        </w:numPr>
        <w:spacing w:after="80"/>
      </w:pPr>
      <w:r>
        <w:rPr>
          <w:sz w:val="22"/>
          <w:szCs w:val="22"/>
        </w:rPr>
        <w:t xml:space="preserve">Flexibility: Where possible, we offer choice so employees can customize benefits to their life stage and needs</w:t>
      </w:r>
    </w:p>
    <w:p>
      <w:pPr>
        <w:pStyle w:val="ListParagraph"/>
        <w:numPr>
          <w:ilvl w:val="0"/>
          <w:numId w:val="1"/>
        </w:numPr>
        <w:spacing w:after="80"/>
      </w:pPr>
      <w:r>
        <w:rPr>
          <w:sz w:val="22"/>
          <w:szCs w:val="22"/>
        </w:rPr>
        <w:t xml:space="preserve">Equity: Benefits should be inclusive and accessible to employees at all salary levels</w:t>
      </w:r>
    </w:p>
    <w:p>
      <w:pPr>
        <w:pStyle w:val="Heading2"/>
        <w:spacing w:after="150" w:before="300"/>
      </w:pPr>
      <w:r>
        <w:t xml:space="preserve">9.2 Health &amp; Wellbeing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color="1F4E79" w:val="clear"/>
          </w:tcPr>
          <w:p>
            <w:pPr>
              <w:spacing w:after="60"/>
            </w:pPr>
            <w:r>
              <w:rPr>
                <w:b/>
                <w:bCs/>
                <w:sz w:val="20"/>
                <w:szCs w:val="20"/>
              </w:rPr>
              <w:t xml:space="preserve">Benefit</w:t>
            </w:r>
          </w:p>
        </w:tc>
        <w:tc>
          <w:tcPr>
            <w:tcW w:type="dxa" w:w="1560"/>
            <w:shd w:fill="1F4E79" w:color="1F4E79" w:val="clear"/>
          </w:tcPr>
          <w:p>
            <w:pPr>
              <w:spacing w:after="60"/>
            </w:pPr>
            <w:r>
              <w:rPr>
                <w:b/>
                <w:bCs/>
                <w:sz w:val="20"/>
                <w:szCs w:val="20"/>
              </w:rPr>
              <w:t xml:space="preserve">United States</w:t>
            </w:r>
          </w:p>
        </w:tc>
        <w:tc>
          <w:tcPr>
            <w:tcW w:type="dxa" w:w="1560"/>
            <w:shd w:fill="1F4E79" w:color="1F4E79" w:val="clear"/>
          </w:tcPr>
          <w:p>
            <w:pPr>
              <w:spacing w:after="60"/>
            </w:pPr>
            <w:r>
              <w:rPr>
                <w:b/>
                <w:bCs/>
                <w:sz w:val="20"/>
                <w:szCs w:val="20"/>
              </w:rPr>
              <w:t xml:space="preserve">United Kingdom</w:t>
            </w:r>
          </w:p>
        </w:tc>
        <w:tc>
          <w:tcPr>
            <w:tcW w:type="dxa" w:w="1560"/>
            <w:shd w:fill="1F4E79" w:color="1F4E79" w:val="clear"/>
          </w:tcPr>
          <w:p>
            <w:pPr>
              <w:spacing w:after="60"/>
            </w:pPr>
            <w:r>
              <w:rPr>
                <w:b/>
                <w:bCs/>
                <w:sz w:val="20"/>
                <w:szCs w:val="20"/>
              </w:rPr>
              <w:t xml:space="preserve">India</w:t>
            </w:r>
          </w:p>
        </w:tc>
        <w:tc>
          <w:tcPr>
            <w:tcW w:type="dxa" w:w="1560"/>
            <w:shd w:fill="1F4E79" w:color="1F4E79" w:val="clear"/>
          </w:tcPr>
          <w:p>
            <w:pPr>
              <w:spacing w:after="60"/>
            </w:pPr>
            <w:r>
              <w:rPr>
                <w:b/>
                <w:bCs/>
                <w:sz w:val="20"/>
                <w:szCs w:val="20"/>
              </w:rPr>
              <w:t xml:space="preserve">Germany</w:t>
            </w:r>
          </w:p>
        </w:tc>
        <w:tc>
          <w:tcPr>
            <w:tcW w:type="dxa" w:w="1560"/>
            <w:shd w:fill="1F4E79" w:color="1F4E79" w:val="clear"/>
          </w:tcPr>
          <w:p>
            <w:pPr>
              <w:spacing w:after="60"/>
            </w:pPr>
            <w:r>
              <w:rPr>
                <w:b/>
                <w:bCs/>
                <w:sz w:val="20"/>
                <w:szCs w:val="20"/>
              </w:rPr>
              <w:t xml:space="preserve">Singapore</w:t>
            </w:r>
          </w:p>
        </w:tc>
      </w:tr>
      <w:tr>
        <w:tc>
          <w:tcPr>
            <w:tcW w:type="dxa" w:w="1560"/>
          </w:tcPr>
          <w:p>
            <w:pPr>
              <w:spacing w:after="60"/>
            </w:pPr>
            <w:r>
              <w:rPr>
                <w:b w:val="false"/>
                <w:bCs w:val="false"/>
                <w:sz w:val="20"/>
                <w:szCs w:val="20"/>
              </w:rPr>
              <w:t xml:space="preserve">Medical Insurance</w:t>
            </w:r>
          </w:p>
        </w:tc>
        <w:tc>
          <w:tcPr>
            <w:tcW w:type="dxa" w:w="1560"/>
          </w:tcPr>
          <w:p>
            <w:pPr>
              <w:spacing w:after="60"/>
            </w:pPr>
            <w:r>
              <w:rPr>
                <w:b w:val="false"/>
                <w:bCs w:val="false"/>
                <w:sz w:val="20"/>
                <w:szCs w:val="20"/>
              </w:rPr>
              <w:t xml:space="preserve">Company pays 90% premium</w:t>
            </w:r>
          </w:p>
        </w:tc>
        <w:tc>
          <w:tcPr>
            <w:tcW w:type="dxa" w:w="1560"/>
          </w:tcPr>
          <w:p>
            <w:pPr>
              <w:spacing w:after="60"/>
            </w:pPr>
            <w:r>
              <w:rPr>
                <w:b w:val="false"/>
                <w:bCs w:val="false"/>
                <w:sz w:val="20"/>
                <w:szCs w:val="20"/>
              </w:rPr>
              <w:t xml:space="preserve">BUPA Private Health</w:t>
            </w:r>
          </w:p>
        </w:tc>
        <w:tc>
          <w:tcPr>
            <w:tcW w:type="dxa" w:w="1560"/>
          </w:tcPr>
          <w:p>
            <w:pPr>
              <w:spacing w:after="60"/>
            </w:pPr>
            <w:r>
              <w:rPr>
                <w:b w:val="false"/>
                <w:bCs w:val="false"/>
                <w:sz w:val="20"/>
                <w:szCs w:val="20"/>
              </w:rPr>
              <w:t xml:space="preserve">Group Mediclaim (₹5L/year)</w:t>
            </w:r>
          </w:p>
        </w:tc>
        <w:tc>
          <w:tcPr>
            <w:tcW w:type="dxa" w:w="1560"/>
          </w:tcPr>
          <w:p>
            <w:pPr>
              <w:spacing w:after="60"/>
            </w:pPr>
            <w:r>
              <w:rPr>
                <w:b w:val="false"/>
                <w:bCs w:val="false"/>
                <w:sz w:val="20"/>
                <w:szCs w:val="20"/>
              </w:rPr>
              <w:t xml:space="preserve">Supplemental to GKV</w:t>
            </w:r>
          </w:p>
        </w:tc>
        <w:tc>
          <w:tcPr>
            <w:tcW w:type="dxa" w:w="1560"/>
          </w:tcPr>
          <w:p>
            <w:pPr>
              <w:spacing w:after="60"/>
            </w:pPr>
            <w:r>
              <w:rPr>
                <w:b w:val="false"/>
                <w:bCs w:val="false"/>
                <w:sz w:val="20"/>
                <w:szCs w:val="20"/>
              </w:rPr>
              <w:t xml:space="preserve">HSBC Comprehensive</w:t>
            </w:r>
          </w:p>
        </w:tc>
      </w:tr>
      <w:tr>
        <w:tc>
          <w:tcPr>
            <w:tcW w:type="dxa" w:w="1560"/>
          </w:tcPr>
          <w:p>
            <w:pPr>
              <w:spacing w:after="60"/>
            </w:pPr>
            <w:r>
              <w:rPr>
                <w:b w:val="false"/>
                <w:bCs w:val="false"/>
                <w:sz w:val="20"/>
                <w:szCs w:val="20"/>
              </w:rPr>
              <w:t xml:space="preserve">Dental</w:t>
            </w:r>
          </w:p>
        </w:tc>
        <w:tc>
          <w:tcPr>
            <w:tcW w:type="dxa" w:w="1560"/>
          </w:tcPr>
          <w:p>
            <w:pPr>
              <w:spacing w:after="60"/>
            </w:pPr>
            <w:r>
              <w:rPr>
                <w:b w:val="false"/>
                <w:bCs w:val="false"/>
                <w:sz w:val="20"/>
                <w:szCs w:val="20"/>
              </w:rPr>
              <w:t xml:space="preserve">Included in medical plan</w:t>
            </w:r>
          </w:p>
        </w:tc>
        <w:tc>
          <w:tcPr>
            <w:tcW w:type="dxa" w:w="1560"/>
          </w:tcPr>
          <w:p>
            <w:pPr>
              <w:spacing w:after="60"/>
            </w:pPr>
            <w:r>
              <w:rPr>
                <w:b w:val="false"/>
                <w:bCs w:val="false"/>
                <w:sz w:val="20"/>
                <w:szCs w:val="20"/>
              </w:rPr>
              <w:t xml:space="preserve">BUPA Dental add-on</w:t>
            </w:r>
          </w:p>
        </w:tc>
        <w:tc>
          <w:tcPr>
            <w:tcW w:type="dxa" w:w="1560"/>
          </w:tcPr>
          <w:p>
            <w:pPr>
              <w:spacing w:after="60"/>
            </w:pPr>
            <w:r>
              <w:rPr>
                <w:b w:val="false"/>
                <w:bCs w:val="false"/>
                <w:sz w:val="20"/>
                <w:szCs w:val="20"/>
              </w:rPr>
              <w:t xml:space="preserve">₹25,000/year</w:t>
            </w:r>
          </w:p>
        </w:tc>
        <w:tc>
          <w:tcPr>
            <w:tcW w:type="dxa" w:w="1560"/>
          </w:tcPr>
          <w:p>
            <w:pPr>
              <w:spacing w:after="60"/>
            </w:pPr>
            <w:r>
              <w:rPr>
                <w:b w:val="false"/>
                <w:bCs w:val="false"/>
                <w:sz w:val="20"/>
                <w:szCs w:val="20"/>
              </w:rPr>
              <w:t xml:space="preserve">Supplemental</w:t>
            </w:r>
          </w:p>
        </w:tc>
        <w:tc>
          <w:tcPr>
            <w:tcW w:type="dxa" w:w="1560"/>
          </w:tcPr>
          <w:p>
            <w:pPr>
              <w:spacing w:after="60"/>
            </w:pPr>
            <w:r>
              <w:rPr>
                <w:b w:val="false"/>
                <w:bCs w:val="false"/>
                <w:sz w:val="20"/>
                <w:szCs w:val="20"/>
              </w:rPr>
              <w:t xml:space="preserve">Basic included</w:t>
            </w:r>
          </w:p>
        </w:tc>
      </w:tr>
      <w:tr>
        <w:tc>
          <w:tcPr>
            <w:tcW w:type="dxa" w:w="1560"/>
          </w:tcPr>
          <w:p>
            <w:pPr>
              <w:spacing w:after="60"/>
            </w:pPr>
            <w:r>
              <w:rPr>
                <w:b w:val="false"/>
                <w:bCs w:val="false"/>
                <w:sz w:val="20"/>
                <w:szCs w:val="20"/>
              </w:rPr>
              <w:t xml:space="preserve">Vision</w:t>
            </w:r>
          </w:p>
        </w:tc>
        <w:tc>
          <w:tcPr>
            <w:tcW w:type="dxa" w:w="1560"/>
          </w:tcPr>
          <w:p>
            <w:pPr>
              <w:spacing w:after="60"/>
            </w:pPr>
            <w:r>
              <w:rPr>
                <w:b w:val="false"/>
                <w:bCs w:val="false"/>
                <w:sz w:val="20"/>
                <w:szCs w:val="20"/>
              </w:rPr>
              <w:t xml:space="preserve">VSP Vision Plan</w:t>
            </w:r>
          </w:p>
        </w:tc>
        <w:tc>
          <w:tcPr>
            <w:tcW w:type="dxa" w:w="1560"/>
          </w:tcPr>
          <w:p>
            <w:pPr>
              <w:spacing w:after="60"/>
            </w:pPr>
            <w:r>
              <w:rPr>
                <w:b w:val="false"/>
                <w:bCs w:val="false"/>
                <w:sz w:val="20"/>
                <w:szCs w:val="20"/>
              </w:rPr>
              <w:t xml:space="preserve">Specsavers voucher</w:t>
            </w:r>
          </w:p>
        </w:tc>
        <w:tc>
          <w:tcPr>
            <w:tcW w:type="dxa" w:w="1560"/>
          </w:tcPr>
          <w:p>
            <w:pPr>
              <w:spacing w:after="60"/>
            </w:pPr>
            <w:r>
              <w:rPr>
                <w:b w:val="false"/>
                <w:bCs w:val="false"/>
                <w:sz w:val="20"/>
                <w:szCs w:val="20"/>
              </w:rPr>
              <w:t xml:space="preserve">₹5,000/year</w:t>
            </w:r>
          </w:p>
        </w:tc>
        <w:tc>
          <w:tcPr>
            <w:tcW w:type="dxa" w:w="1560"/>
          </w:tcPr>
          <w:p>
            <w:pPr>
              <w:spacing w:after="60"/>
            </w:pPr>
            <w:r>
              <w:rPr>
                <w:b w:val="false"/>
                <w:bCs w:val="false"/>
                <w:sz w:val="20"/>
                <w:szCs w:val="20"/>
              </w:rPr>
              <w:t xml:space="preserve">Supplemental</w:t>
            </w:r>
          </w:p>
        </w:tc>
        <w:tc>
          <w:tcPr>
            <w:tcW w:type="dxa" w:w="1560"/>
          </w:tcPr>
          <w:p>
            <w:pPr>
              <w:spacing w:after="60"/>
            </w:pPr>
            <w:r>
              <w:rPr>
                <w:b w:val="false"/>
                <w:bCs w:val="false"/>
                <w:sz w:val="20"/>
                <w:szCs w:val="20"/>
              </w:rPr>
              <w:t xml:space="preserve">Annual allowance SGD 200</w:t>
            </w:r>
          </w:p>
        </w:tc>
      </w:tr>
      <w:tr>
        <w:tc>
          <w:tcPr>
            <w:tcW w:type="dxa" w:w="1560"/>
          </w:tcPr>
          <w:p>
            <w:pPr>
              <w:spacing w:after="60"/>
            </w:pPr>
            <w:r>
              <w:rPr>
                <w:b w:val="false"/>
                <w:bCs w:val="false"/>
                <w:sz w:val="20"/>
                <w:szCs w:val="20"/>
              </w:rPr>
              <w:t xml:space="preserve">Mental Health</w:t>
            </w:r>
          </w:p>
        </w:tc>
        <w:tc>
          <w:tcPr>
            <w:tcW w:type="dxa" w:w="1560"/>
          </w:tcPr>
          <w:p>
            <w:pPr>
              <w:spacing w:after="60"/>
            </w:pPr>
            <w:r>
              <w:rPr>
                <w:b w:val="false"/>
                <w:bCs w:val="false"/>
                <w:sz w:val="20"/>
                <w:szCs w:val="20"/>
              </w:rPr>
              <w:t xml:space="preserve">EAP + 8 therapy sessions/year</w:t>
            </w:r>
          </w:p>
        </w:tc>
        <w:tc>
          <w:tcPr>
            <w:tcW w:type="dxa" w:w="1560"/>
          </w:tcPr>
          <w:p>
            <w:pPr>
              <w:spacing w:after="60"/>
            </w:pPr>
            <w:r>
              <w:rPr>
                <w:b w:val="false"/>
                <w:bCs w:val="false"/>
                <w:sz w:val="20"/>
                <w:szCs w:val="20"/>
              </w:rPr>
              <w:t xml:space="preserve">EAP + 6 sessions</w:t>
            </w:r>
          </w:p>
        </w:tc>
        <w:tc>
          <w:tcPr>
            <w:tcW w:type="dxa" w:w="1560"/>
          </w:tcPr>
          <w:p>
            <w:pPr>
              <w:spacing w:after="60"/>
            </w:pPr>
            <w:r>
              <w:rPr>
                <w:b w:val="false"/>
                <w:bCs w:val="false"/>
                <w:sz w:val="20"/>
                <w:szCs w:val="20"/>
              </w:rPr>
              <w:t xml:space="preserve">EAP + iCall access</w:t>
            </w:r>
          </w:p>
        </w:tc>
        <w:tc>
          <w:tcPr>
            <w:tcW w:type="dxa" w:w="1560"/>
          </w:tcPr>
          <w:p>
            <w:pPr>
              <w:spacing w:after="60"/>
            </w:pPr>
            <w:r>
              <w:rPr>
                <w:b w:val="false"/>
                <w:bCs w:val="false"/>
                <w:sz w:val="20"/>
                <w:szCs w:val="20"/>
              </w:rPr>
              <w:t xml:space="preserve">EAP + Gesundheitskonto</w:t>
            </w:r>
          </w:p>
        </w:tc>
        <w:tc>
          <w:tcPr>
            <w:tcW w:type="dxa" w:w="1560"/>
          </w:tcPr>
          <w:p>
            <w:pPr>
              <w:spacing w:after="60"/>
            </w:pPr>
            <w:r>
              <w:rPr>
                <w:b w:val="false"/>
                <w:bCs w:val="false"/>
                <w:sz w:val="20"/>
                <w:szCs w:val="20"/>
              </w:rPr>
              <w:t xml:space="preserve">EAP + InTouch Health</w:t>
            </w:r>
          </w:p>
        </w:tc>
      </w:tr>
      <w:tr>
        <w:tc>
          <w:tcPr>
            <w:tcW w:type="dxa" w:w="1560"/>
          </w:tcPr>
          <w:p>
            <w:pPr>
              <w:spacing w:after="60"/>
            </w:pPr>
            <w:r>
              <w:rPr>
                <w:b w:val="false"/>
                <w:bCs w:val="false"/>
                <w:sz w:val="20"/>
                <w:szCs w:val="20"/>
              </w:rPr>
              <w:t xml:space="preserve">Life Insurance</w:t>
            </w:r>
          </w:p>
        </w:tc>
        <w:tc>
          <w:tcPr>
            <w:tcW w:type="dxa" w:w="1560"/>
          </w:tcPr>
          <w:p>
            <w:pPr>
              <w:spacing w:after="60"/>
            </w:pPr>
            <w:r>
              <w:rPr>
                <w:b w:val="false"/>
                <w:bCs w:val="false"/>
                <w:sz w:val="20"/>
                <w:szCs w:val="20"/>
              </w:rPr>
              <w:t xml:space="preserve">4x annual salary</w:t>
            </w:r>
          </w:p>
        </w:tc>
        <w:tc>
          <w:tcPr>
            <w:tcW w:type="dxa" w:w="1560"/>
          </w:tcPr>
          <w:p>
            <w:pPr>
              <w:spacing w:after="60"/>
            </w:pPr>
            <w:r>
              <w:rPr>
                <w:b w:val="false"/>
                <w:bCs w:val="false"/>
                <w:sz w:val="20"/>
                <w:szCs w:val="20"/>
              </w:rPr>
              <w:t xml:space="preserve">4x annual salary</w:t>
            </w:r>
          </w:p>
        </w:tc>
        <w:tc>
          <w:tcPr>
            <w:tcW w:type="dxa" w:w="1560"/>
          </w:tcPr>
          <w:p>
            <w:pPr>
              <w:spacing w:after="60"/>
            </w:pPr>
            <w:r>
              <w:rPr>
                <w:b w:val="false"/>
                <w:bCs w:val="false"/>
                <w:sz w:val="20"/>
                <w:szCs w:val="20"/>
              </w:rPr>
              <w:t xml:space="preserve">3x annual CTC</w:t>
            </w:r>
          </w:p>
        </w:tc>
        <w:tc>
          <w:tcPr>
            <w:tcW w:type="dxa" w:w="1560"/>
          </w:tcPr>
          <w:p>
            <w:pPr>
              <w:spacing w:after="60"/>
            </w:pPr>
            <w:r>
              <w:rPr>
                <w:b w:val="false"/>
                <w:bCs w:val="false"/>
                <w:sz w:val="20"/>
                <w:szCs w:val="20"/>
              </w:rPr>
              <w:t xml:space="preserve">3x annual salary</w:t>
            </w:r>
          </w:p>
        </w:tc>
        <w:tc>
          <w:tcPr>
            <w:tcW w:type="dxa" w:w="1560"/>
          </w:tcPr>
          <w:p>
            <w:pPr>
              <w:spacing w:after="60"/>
            </w:pPr>
            <w:r>
              <w:rPr>
                <w:b w:val="false"/>
                <w:bCs w:val="false"/>
                <w:sz w:val="20"/>
                <w:szCs w:val="20"/>
              </w:rPr>
              <w:t xml:space="preserve">3x annual salary</w:t>
            </w:r>
          </w:p>
        </w:tc>
      </w:tr>
      <w:tr>
        <w:tc>
          <w:tcPr>
            <w:tcW w:type="dxa" w:w="1560"/>
          </w:tcPr>
          <w:p>
            <w:pPr>
              <w:spacing w:after="60"/>
            </w:pPr>
            <w:r>
              <w:rPr>
                <w:b w:val="false"/>
                <w:bCs w:val="false"/>
                <w:sz w:val="20"/>
                <w:szCs w:val="20"/>
              </w:rPr>
              <w:t xml:space="preserve">Disability</w:t>
            </w:r>
          </w:p>
        </w:tc>
        <w:tc>
          <w:tcPr>
            <w:tcW w:type="dxa" w:w="1560"/>
          </w:tcPr>
          <w:p>
            <w:pPr>
              <w:spacing w:after="60"/>
            </w:pPr>
            <w:r>
              <w:rPr>
                <w:b w:val="false"/>
                <w:bCs w:val="false"/>
                <w:sz w:val="20"/>
                <w:szCs w:val="20"/>
              </w:rPr>
              <w:t xml:space="preserve">Short + Long Term</w:t>
            </w:r>
          </w:p>
        </w:tc>
        <w:tc>
          <w:tcPr>
            <w:tcW w:type="dxa" w:w="1560"/>
          </w:tcPr>
          <w:p>
            <w:pPr>
              <w:spacing w:after="60"/>
            </w:pPr>
            <w:r>
              <w:rPr>
                <w:b w:val="false"/>
                <w:bCs w:val="false"/>
                <w:sz w:val="20"/>
                <w:szCs w:val="20"/>
              </w:rPr>
              <w:t xml:space="preserve">Income Protection 75%</w:t>
            </w:r>
          </w:p>
        </w:tc>
        <w:tc>
          <w:tcPr>
            <w:tcW w:type="dxa" w:w="1560"/>
          </w:tcPr>
          <w:p>
            <w:pPr>
              <w:spacing w:after="60"/>
            </w:pPr>
            <w:r>
              <w:rPr>
                <w:b w:val="false"/>
                <w:bCs w:val="false"/>
                <w:sz w:val="20"/>
                <w:szCs w:val="20"/>
              </w:rPr>
              <w:t xml:space="preserve">Group Personal Accident</w:t>
            </w:r>
          </w:p>
        </w:tc>
        <w:tc>
          <w:tcPr>
            <w:tcW w:type="dxa" w:w="1560"/>
          </w:tcPr>
          <w:p>
            <w:pPr>
              <w:spacing w:after="60"/>
            </w:pPr>
            <w:r>
              <w:rPr>
                <w:b w:val="false"/>
                <w:bCs w:val="false"/>
                <w:sz w:val="20"/>
                <w:szCs w:val="20"/>
              </w:rPr>
              <w:t xml:space="preserve">Berufsunfähigkeit support</w:t>
            </w:r>
          </w:p>
        </w:tc>
        <w:tc>
          <w:tcPr>
            <w:tcW w:type="dxa" w:w="1560"/>
          </w:tcPr>
          <w:p>
            <w:pPr>
              <w:spacing w:after="60"/>
            </w:pPr>
            <w:r>
              <w:rPr>
                <w:b w:val="false"/>
                <w:bCs w:val="false"/>
                <w:sz w:val="20"/>
                <w:szCs w:val="20"/>
              </w:rPr>
              <w:t xml:space="preserve">CI + TPD riders</w:t>
            </w:r>
          </w:p>
        </w:tc>
      </w:tr>
    </w:tbl>
    <w:p>
      <w:pPr>
        <w:spacing w:after="100"/>
      </w:pPr>
      <w:r>
        <w:t xml:space="preserve"/>
      </w:r>
    </w:p>
    <w:p>
      <w:pPr>
        <w:pStyle w:val="Heading2"/>
        <w:spacing w:after="150" w:before="300"/>
      </w:pPr>
      <w:r>
        <w:t xml:space="preserve">9.3 Financial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color="1F4E79" w:val="clear"/>
          </w:tcPr>
          <w:p>
            <w:pPr>
              <w:spacing w:after="60"/>
            </w:pPr>
            <w:r>
              <w:rPr>
                <w:b/>
                <w:bCs/>
                <w:sz w:val="20"/>
                <w:szCs w:val="20"/>
              </w:rPr>
              <w:t xml:space="preserve">Benefit</w:t>
            </w:r>
          </w:p>
        </w:tc>
        <w:tc>
          <w:tcPr>
            <w:tcW w:type="dxa" w:w="1560"/>
            <w:shd w:fill="1F4E79" w:color="1F4E79" w:val="clear"/>
          </w:tcPr>
          <w:p>
            <w:pPr>
              <w:spacing w:after="60"/>
            </w:pPr>
            <w:r>
              <w:rPr>
                <w:b/>
                <w:bCs/>
                <w:sz w:val="20"/>
                <w:szCs w:val="20"/>
              </w:rPr>
              <w:t xml:space="preserve">United States</w:t>
            </w:r>
          </w:p>
        </w:tc>
        <w:tc>
          <w:tcPr>
            <w:tcW w:type="dxa" w:w="1560"/>
            <w:shd w:fill="1F4E79" w:color="1F4E79" w:val="clear"/>
          </w:tcPr>
          <w:p>
            <w:pPr>
              <w:spacing w:after="60"/>
            </w:pPr>
            <w:r>
              <w:rPr>
                <w:b/>
                <w:bCs/>
                <w:sz w:val="20"/>
                <w:szCs w:val="20"/>
              </w:rPr>
              <w:t xml:space="preserve">United Kingdom</w:t>
            </w:r>
          </w:p>
        </w:tc>
        <w:tc>
          <w:tcPr>
            <w:tcW w:type="dxa" w:w="1560"/>
            <w:shd w:fill="1F4E79" w:color="1F4E79" w:val="clear"/>
          </w:tcPr>
          <w:p>
            <w:pPr>
              <w:spacing w:after="60"/>
            </w:pPr>
            <w:r>
              <w:rPr>
                <w:b/>
                <w:bCs/>
                <w:sz w:val="20"/>
                <w:szCs w:val="20"/>
              </w:rPr>
              <w:t xml:space="preserve">India</w:t>
            </w:r>
          </w:p>
        </w:tc>
        <w:tc>
          <w:tcPr>
            <w:tcW w:type="dxa" w:w="1560"/>
            <w:shd w:fill="1F4E79" w:color="1F4E79" w:val="clear"/>
          </w:tcPr>
          <w:p>
            <w:pPr>
              <w:spacing w:after="60"/>
            </w:pPr>
            <w:r>
              <w:rPr>
                <w:b/>
                <w:bCs/>
                <w:sz w:val="20"/>
                <w:szCs w:val="20"/>
              </w:rPr>
              <w:t xml:space="preserve">Germany</w:t>
            </w:r>
          </w:p>
        </w:tc>
        <w:tc>
          <w:tcPr>
            <w:tcW w:type="dxa" w:w="1560"/>
            <w:shd w:fill="1F4E79" w:color="1F4E79" w:val="clear"/>
          </w:tcPr>
          <w:p>
            <w:pPr>
              <w:spacing w:after="60"/>
            </w:pPr>
            <w:r>
              <w:rPr>
                <w:b/>
                <w:bCs/>
                <w:sz w:val="20"/>
                <w:szCs w:val="20"/>
              </w:rPr>
              <w:t xml:space="preserve">Singapore</w:t>
            </w:r>
          </w:p>
        </w:tc>
      </w:tr>
      <w:tr>
        <w:tc>
          <w:tcPr>
            <w:tcW w:type="dxa" w:w="1560"/>
          </w:tcPr>
          <w:p>
            <w:pPr>
              <w:spacing w:after="60"/>
            </w:pPr>
            <w:r>
              <w:rPr>
                <w:b w:val="false"/>
                <w:bCs w:val="false"/>
                <w:sz w:val="20"/>
                <w:szCs w:val="20"/>
              </w:rPr>
              <w:t xml:space="preserve">Retirement</w:t>
            </w:r>
          </w:p>
        </w:tc>
        <w:tc>
          <w:tcPr>
            <w:tcW w:type="dxa" w:w="1560"/>
          </w:tcPr>
          <w:p>
            <w:pPr>
              <w:spacing w:after="60"/>
            </w:pPr>
            <w:r>
              <w:rPr>
                <w:b w:val="false"/>
                <w:bCs w:val="false"/>
                <w:sz w:val="20"/>
                <w:szCs w:val="20"/>
              </w:rPr>
              <w:t xml:space="preserve">401(k) + 4% match</w:t>
            </w:r>
          </w:p>
        </w:tc>
        <w:tc>
          <w:tcPr>
            <w:tcW w:type="dxa" w:w="1560"/>
          </w:tcPr>
          <w:p>
            <w:pPr>
              <w:spacing w:after="60"/>
            </w:pPr>
            <w:r>
              <w:rPr>
                <w:b w:val="false"/>
                <w:bCs w:val="false"/>
                <w:sz w:val="20"/>
                <w:szCs w:val="20"/>
              </w:rPr>
              <w:t xml:space="preserve">Pension 5% employer</w:t>
            </w:r>
          </w:p>
        </w:tc>
        <w:tc>
          <w:tcPr>
            <w:tcW w:type="dxa" w:w="1560"/>
          </w:tcPr>
          <w:p>
            <w:pPr>
              <w:spacing w:after="60"/>
            </w:pPr>
            <w:r>
              <w:rPr>
                <w:b w:val="false"/>
                <w:bCs w:val="false"/>
                <w:sz w:val="20"/>
                <w:szCs w:val="20"/>
              </w:rPr>
              <w:t xml:space="preserve">EPF + NPS optional</w:t>
            </w:r>
          </w:p>
        </w:tc>
        <w:tc>
          <w:tcPr>
            <w:tcW w:type="dxa" w:w="1560"/>
          </w:tcPr>
          <w:p>
            <w:pPr>
              <w:spacing w:after="60"/>
            </w:pPr>
            <w:r>
              <w:rPr>
                <w:b w:val="false"/>
                <w:bCs w:val="false"/>
                <w:sz w:val="20"/>
                <w:szCs w:val="20"/>
              </w:rPr>
              <w:t xml:space="preserve">bAV contribution</w:t>
            </w:r>
          </w:p>
        </w:tc>
        <w:tc>
          <w:tcPr>
            <w:tcW w:type="dxa" w:w="1560"/>
          </w:tcPr>
          <w:p>
            <w:pPr>
              <w:spacing w:after="60"/>
            </w:pPr>
            <w:r>
              <w:rPr>
                <w:b w:val="false"/>
                <w:bCs w:val="false"/>
                <w:sz w:val="20"/>
                <w:szCs w:val="20"/>
              </w:rPr>
              <w:t xml:space="preserve">CPF + voluntary supplement</w:t>
            </w:r>
          </w:p>
        </w:tc>
      </w:tr>
      <w:tr>
        <w:tc>
          <w:tcPr>
            <w:tcW w:type="dxa" w:w="1560"/>
          </w:tcPr>
          <w:p>
            <w:pPr>
              <w:spacing w:after="60"/>
            </w:pPr>
            <w:r>
              <w:rPr>
                <w:b w:val="false"/>
                <w:bCs w:val="false"/>
                <w:sz w:val="20"/>
                <w:szCs w:val="20"/>
              </w:rPr>
              <w:t xml:space="preserve">Stock Options</w:t>
            </w:r>
          </w:p>
        </w:tc>
        <w:tc>
          <w:tcPr>
            <w:tcW w:type="dxa" w:w="1560"/>
          </w:tcPr>
          <w:p>
            <w:pPr>
              <w:spacing w:after="60"/>
            </w:pPr>
            <w:r>
              <w:rPr>
                <w:b w:val="false"/>
                <w:bCs w:val="false"/>
                <w:sz w:val="20"/>
                <w:szCs w:val="20"/>
              </w:rPr>
              <w:t xml:space="preserve">RSUs per Salary Grade (see HR-SG-001)</w:t>
            </w:r>
          </w:p>
        </w:tc>
        <w:tc>
          <w:tcPr>
            <w:tcW w:type="dxa" w:w="1560"/>
          </w:tcPr>
          <w:p>
            <w:pPr>
              <w:spacing w:after="60"/>
            </w:pPr>
            <w:r>
              <w:rPr>
                <w:b w:val="false"/>
                <w:bCs w:val="false"/>
                <w:sz w:val="20"/>
                <w:szCs w:val="20"/>
              </w:rPr>
              <w:t xml:space="preserve">RSUs per Salary Grade</w:t>
            </w:r>
          </w:p>
        </w:tc>
        <w:tc>
          <w:tcPr>
            <w:tcW w:type="dxa" w:w="1560"/>
          </w:tcPr>
          <w:p>
            <w:pPr>
              <w:spacing w:after="60"/>
            </w:pPr>
            <w:r>
              <w:rPr>
                <w:b w:val="false"/>
                <w:bCs w:val="false"/>
                <w:sz w:val="20"/>
                <w:szCs w:val="20"/>
              </w:rPr>
              <w:t xml:space="preserve">RSUs per Salary Grade</w:t>
            </w:r>
          </w:p>
        </w:tc>
        <w:tc>
          <w:tcPr>
            <w:tcW w:type="dxa" w:w="1560"/>
          </w:tcPr>
          <w:p>
            <w:pPr>
              <w:spacing w:after="60"/>
            </w:pPr>
            <w:r>
              <w:rPr>
                <w:b w:val="false"/>
                <w:bCs w:val="false"/>
                <w:sz w:val="20"/>
                <w:szCs w:val="20"/>
              </w:rPr>
              <w:t xml:space="preserve">RSUs per Salary Grade</w:t>
            </w:r>
          </w:p>
        </w:tc>
        <w:tc>
          <w:tcPr>
            <w:tcW w:type="dxa" w:w="1560"/>
          </w:tcPr>
          <w:p>
            <w:pPr>
              <w:spacing w:after="60"/>
            </w:pPr>
            <w:r>
              <w:rPr>
                <w:b w:val="false"/>
                <w:bCs w:val="false"/>
                <w:sz w:val="20"/>
                <w:szCs w:val="20"/>
              </w:rPr>
              <w:t xml:space="preserve">RSUs per Salary Grade</w:t>
            </w:r>
          </w:p>
        </w:tc>
      </w:tr>
      <w:tr>
        <w:tc>
          <w:tcPr>
            <w:tcW w:type="dxa" w:w="1560"/>
          </w:tcPr>
          <w:p>
            <w:pPr>
              <w:spacing w:after="60"/>
            </w:pPr>
            <w:r>
              <w:rPr>
                <w:b w:val="false"/>
                <w:bCs w:val="false"/>
                <w:sz w:val="20"/>
                <w:szCs w:val="20"/>
              </w:rPr>
              <w:t xml:space="preserve">Employee Stock Purchase</w:t>
            </w:r>
          </w:p>
        </w:tc>
        <w:tc>
          <w:tcPr>
            <w:tcW w:type="dxa" w:w="1560"/>
          </w:tcPr>
          <w:p>
            <w:pPr>
              <w:spacing w:after="60"/>
            </w:pPr>
            <w:r>
              <w:rPr>
                <w:b w:val="false"/>
                <w:bCs w:val="false"/>
                <w:sz w:val="20"/>
                <w:szCs w:val="20"/>
              </w:rPr>
              <w:t xml:space="preserve">ESPP 15% discount</w:t>
            </w:r>
          </w:p>
        </w:tc>
        <w:tc>
          <w:tcPr>
            <w:tcW w:type="dxa" w:w="1560"/>
          </w:tcPr>
          <w:p>
            <w:pPr>
              <w:spacing w:after="60"/>
            </w:pPr>
            <w:r>
              <w:rPr>
                <w:b w:val="false"/>
                <w:bCs w:val="false"/>
                <w:sz w:val="20"/>
                <w:szCs w:val="20"/>
              </w:rPr>
              <w:t xml:space="preserve">N/A</w:t>
            </w:r>
          </w:p>
        </w:tc>
        <w:tc>
          <w:tcPr>
            <w:tcW w:type="dxa" w:w="1560"/>
          </w:tcPr>
          <w:p>
            <w:pPr>
              <w:spacing w:after="60"/>
            </w:pPr>
            <w:r>
              <w:rPr>
                <w:b w:val="false"/>
                <w:bCs w:val="false"/>
                <w:sz w:val="20"/>
                <w:szCs w:val="20"/>
              </w:rPr>
              <w:t xml:space="preserve">N/A</w:t>
            </w:r>
          </w:p>
        </w:tc>
        <w:tc>
          <w:tcPr>
            <w:tcW w:type="dxa" w:w="1560"/>
          </w:tcPr>
          <w:p>
            <w:pPr>
              <w:spacing w:after="60"/>
            </w:pPr>
            <w:r>
              <w:rPr>
                <w:b w:val="false"/>
                <w:bCs w:val="false"/>
                <w:sz w:val="20"/>
                <w:szCs w:val="20"/>
              </w:rPr>
              <w:t xml:space="preserve">N/A</w:t>
            </w:r>
          </w:p>
        </w:tc>
        <w:tc>
          <w:tcPr>
            <w:tcW w:type="dxa" w:w="1560"/>
          </w:tcPr>
          <w:p>
            <w:pPr>
              <w:spacing w:after="60"/>
            </w:pPr>
            <w:r>
              <w:rPr>
                <w:b w:val="false"/>
                <w:bCs w:val="false"/>
                <w:sz w:val="20"/>
                <w:szCs w:val="20"/>
              </w:rPr>
              <w:t xml:space="preserve">N/A</w:t>
            </w:r>
          </w:p>
        </w:tc>
      </w:tr>
      <w:tr>
        <w:tc>
          <w:tcPr>
            <w:tcW w:type="dxa" w:w="1560"/>
          </w:tcPr>
          <w:p>
            <w:pPr>
              <w:spacing w:after="60"/>
            </w:pPr>
            <w:r>
              <w:rPr>
                <w:b w:val="false"/>
                <w:bCs w:val="false"/>
                <w:sz w:val="20"/>
                <w:szCs w:val="20"/>
              </w:rPr>
              <w:t xml:space="preserve">Annual Bonus</w:t>
            </w:r>
          </w:p>
        </w:tc>
        <w:tc>
          <w:tcPr>
            <w:tcW w:type="dxa" w:w="1560"/>
          </w:tcPr>
          <w:p>
            <w:pPr>
              <w:spacing w:after="60"/>
            </w:pPr>
            <w:r>
              <w:rPr>
                <w:b w:val="false"/>
                <w:bCs w:val="false"/>
                <w:sz w:val="20"/>
                <w:szCs w:val="20"/>
              </w:rPr>
              <w:t xml:space="preserve">Per bonus structure in HR-SG-001</w:t>
            </w:r>
          </w:p>
        </w:tc>
        <w:tc>
          <w:tcPr>
            <w:tcW w:type="dxa" w:w="1560"/>
          </w:tcPr>
          <w:p>
            <w:pPr>
              <w:spacing w:after="60"/>
            </w:pPr>
            <w:r>
              <w:rPr>
                <w:b w:val="false"/>
                <w:bCs w:val="false"/>
                <w:sz w:val="20"/>
                <w:szCs w:val="20"/>
              </w:rPr>
              <w:t xml:space="preserve">Per bonus structure</w:t>
            </w:r>
          </w:p>
        </w:tc>
        <w:tc>
          <w:tcPr>
            <w:tcW w:type="dxa" w:w="1560"/>
          </w:tcPr>
          <w:p>
            <w:pPr>
              <w:spacing w:after="60"/>
            </w:pPr>
            <w:r>
              <w:rPr>
                <w:b w:val="false"/>
                <w:bCs w:val="false"/>
                <w:sz w:val="20"/>
                <w:szCs w:val="20"/>
              </w:rPr>
              <w:t xml:space="preserve">Per bonus structure</w:t>
            </w:r>
          </w:p>
        </w:tc>
        <w:tc>
          <w:tcPr>
            <w:tcW w:type="dxa" w:w="1560"/>
          </w:tcPr>
          <w:p>
            <w:pPr>
              <w:spacing w:after="60"/>
            </w:pPr>
            <w:r>
              <w:rPr>
                <w:b w:val="false"/>
                <w:bCs w:val="false"/>
                <w:sz w:val="20"/>
                <w:szCs w:val="20"/>
              </w:rPr>
              <w:t xml:space="preserve">Per bonus structure</w:t>
            </w:r>
          </w:p>
        </w:tc>
        <w:tc>
          <w:tcPr>
            <w:tcW w:type="dxa" w:w="1560"/>
          </w:tcPr>
          <w:p>
            <w:pPr>
              <w:spacing w:after="60"/>
            </w:pPr>
            <w:r>
              <w:rPr>
                <w:b w:val="false"/>
                <w:bCs w:val="false"/>
                <w:sz w:val="20"/>
                <w:szCs w:val="20"/>
              </w:rPr>
              <w:t xml:space="preserve">Per bonus structure</w:t>
            </w:r>
          </w:p>
        </w:tc>
      </w:tr>
    </w:tbl>
    <w:p>
      <w:pPr>
        <w:spacing w:after="100"/>
      </w:pPr>
      <w:r>
        <w:t xml:space="preserve"/>
      </w:r>
    </w:p>
    <w:p>
      <w:pPr>
        <w:spacing w:after="120" w:line="276"/>
      </w:pPr>
      <w:r>
        <w:rPr>
          <w:sz w:val="22"/>
          <w:szCs w:val="22"/>
        </w:rPr>
        <w:t xml:space="preserve">Equity compensation (RSUs and stock options) is awarded based on your job grade and role. For detailed information on equity eligibility by grade, refer to the Salary Grades document (Document ID: HR-SG-001), Sheet 4 — Bonus Structure and Sheet 5 — Allowance Policy.</w:t>
      </w:r>
    </w:p>
    <w:p>
      <w:pPr>
        <w:pStyle w:val="Heading2"/>
        <w:spacing w:after="150" w:before="300"/>
      </w:pPr>
      <w:r>
        <w:t xml:space="preserve">9.4 Leave &amp; Time Off</w:t>
      </w:r>
    </w:p>
    <w:p>
      <w:pPr>
        <w:spacing w:after="120" w:line="276"/>
      </w:pPr>
      <w:r>
        <w:rPr>
          <w:sz w:val="22"/>
          <w:szCs w:val="22"/>
        </w:rPr>
        <w:t xml:space="preserve">OptiAgent Technologies provides a generous leave entitlement as outlined in the Leave Policy (Document ID: HR-LP-001). The following is a high-level overview only — the Leave Policy is the authoritative source for all leave rules, approval processes, carry-forward rules, and country-specific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color="1F4E79" w:val="clear"/>
          </w:tcPr>
          <w:p>
            <w:pPr>
              <w:spacing w:after="60"/>
            </w:pPr>
            <w:r>
              <w:rPr>
                <w:b/>
                <w:bCs/>
                <w:sz w:val="20"/>
                <w:szCs w:val="20"/>
              </w:rPr>
              <w:t xml:space="preserve">Leave Type</w:t>
            </w:r>
          </w:p>
        </w:tc>
        <w:tc>
          <w:tcPr>
            <w:tcW w:type="dxa" w:w="1560"/>
            <w:shd w:fill="1F4E79" w:color="1F4E79" w:val="clear"/>
          </w:tcPr>
          <w:p>
            <w:pPr>
              <w:spacing w:after="60"/>
            </w:pPr>
            <w:r>
              <w:rPr>
                <w:b/>
                <w:bCs/>
                <w:sz w:val="20"/>
                <w:szCs w:val="20"/>
              </w:rPr>
              <w:t xml:space="preserve">US</w:t>
            </w:r>
          </w:p>
        </w:tc>
        <w:tc>
          <w:tcPr>
            <w:tcW w:type="dxa" w:w="1560"/>
            <w:shd w:fill="1F4E79" w:color="1F4E79" w:val="clear"/>
          </w:tcPr>
          <w:p>
            <w:pPr>
              <w:spacing w:after="60"/>
            </w:pPr>
            <w:r>
              <w:rPr>
                <w:b/>
                <w:bCs/>
                <w:sz w:val="20"/>
                <w:szCs w:val="20"/>
              </w:rPr>
              <w:t xml:space="preserve">UK</w:t>
            </w:r>
          </w:p>
        </w:tc>
        <w:tc>
          <w:tcPr>
            <w:tcW w:type="dxa" w:w="1560"/>
            <w:shd w:fill="1F4E79" w:color="1F4E79" w:val="clear"/>
          </w:tcPr>
          <w:p>
            <w:pPr>
              <w:spacing w:after="60"/>
            </w:pPr>
            <w:r>
              <w:rPr>
                <w:b/>
                <w:bCs/>
                <w:sz w:val="20"/>
                <w:szCs w:val="20"/>
              </w:rPr>
              <w:t xml:space="preserve">India</w:t>
            </w:r>
          </w:p>
        </w:tc>
        <w:tc>
          <w:tcPr>
            <w:tcW w:type="dxa" w:w="1560"/>
            <w:shd w:fill="1F4E79" w:color="1F4E79" w:val="clear"/>
          </w:tcPr>
          <w:p>
            <w:pPr>
              <w:spacing w:after="60"/>
            </w:pPr>
            <w:r>
              <w:rPr>
                <w:b/>
                <w:bCs/>
                <w:sz w:val="20"/>
                <w:szCs w:val="20"/>
              </w:rPr>
              <w:t xml:space="preserve">Germany</w:t>
            </w:r>
          </w:p>
        </w:tc>
        <w:tc>
          <w:tcPr>
            <w:tcW w:type="dxa" w:w="1560"/>
            <w:shd w:fill="1F4E79" w:color="1F4E79" w:val="clear"/>
          </w:tcPr>
          <w:p>
            <w:pPr>
              <w:spacing w:after="60"/>
            </w:pPr>
            <w:r>
              <w:rPr>
                <w:b/>
                <w:bCs/>
                <w:sz w:val="20"/>
                <w:szCs w:val="20"/>
              </w:rPr>
              <w:t xml:space="preserve">Singapore</w:t>
            </w:r>
          </w:p>
        </w:tc>
      </w:tr>
      <w:tr>
        <w:tc>
          <w:tcPr>
            <w:tcW w:type="dxa" w:w="1560"/>
          </w:tcPr>
          <w:p>
            <w:pPr>
              <w:spacing w:after="60"/>
            </w:pPr>
            <w:r>
              <w:rPr>
                <w:b w:val="false"/>
                <w:bCs w:val="false"/>
                <w:sz w:val="20"/>
                <w:szCs w:val="20"/>
              </w:rPr>
              <w:t xml:space="preserve">Annual Leave</w:t>
            </w:r>
          </w:p>
        </w:tc>
        <w:tc>
          <w:tcPr>
            <w:tcW w:type="dxa" w:w="1560"/>
          </w:tcPr>
          <w:p>
            <w:pPr>
              <w:spacing w:after="60"/>
            </w:pPr>
            <w:r>
              <w:rPr>
                <w:b w:val="false"/>
                <w:bCs w:val="false"/>
                <w:sz w:val="20"/>
                <w:szCs w:val="20"/>
              </w:rPr>
              <w:t xml:space="preserve">20 days</w:t>
            </w:r>
          </w:p>
        </w:tc>
        <w:tc>
          <w:tcPr>
            <w:tcW w:type="dxa" w:w="1560"/>
          </w:tcPr>
          <w:p>
            <w:pPr>
              <w:spacing w:after="60"/>
            </w:pPr>
            <w:r>
              <w:rPr>
                <w:b w:val="false"/>
                <w:bCs w:val="false"/>
                <w:sz w:val="20"/>
                <w:szCs w:val="20"/>
              </w:rPr>
              <w:t xml:space="preserve">25 days</w:t>
            </w:r>
          </w:p>
        </w:tc>
        <w:tc>
          <w:tcPr>
            <w:tcW w:type="dxa" w:w="1560"/>
          </w:tcPr>
          <w:p>
            <w:pPr>
              <w:spacing w:after="60"/>
            </w:pPr>
            <w:r>
              <w:rPr>
                <w:b w:val="false"/>
                <w:bCs w:val="false"/>
                <w:sz w:val="20"/>
                <w:szCs w:val="20"/>
              </w:rPr>
              <w:t xml:space="preserve">18 days</w:t>
            </w:r>
          </w:p>
        </w:tc>
        <w:tc>
          <w:tcPr>
            <w:tcW w:type="dxa" w:w="1560"/>
          </w:tcPr>
          <w:p>
            <w:pPr>
              <w:spacing w:after="60"/>
            </w:pPr>
            <w:r>
              <w:rPr>
                <w:b w:val="false"/>
                <w:bCs w:val="false"/>
                <w:sz w:val="20"/>
                <w:szCs w:val="20"/>
              </w:rPr>
              <w:t xml:space="preserve">24 days</w:t>
            </w:r>
          </w:p>
        </w:tc>
        <w:tc>
          <w:tcPr>
            <w:tcW w:type="dxa" w:w="1560"/>
          </w:tcPr>
          <w:p>
            <w:pPr>
              <w:spacing w:after="60"/>
            </w:pPr>
            <w:r>
              <w:rPr>
                <w:b w:val="false"/>
                <w:bCs w:val="false"/>
                <w:sz w:val="20"/>
                <w:szCs w:val="20"/>
              </w:rPr>
              <w:t xml:space="preserve">18 days</w:t>
            </w:r>
          </w:p>
        </w:tc>
      </w:tr>
      <w:tr>
        <w:tc>
          <w:tcPr>
            <w:tcW w:type="dxa" w:w="1560"/>
          </w:tcPr>
          <w:p>
            <w:pPr>
              <w:spacing w:after="60"/>
            </w:pPr>
            <w:r>
              <w:rPr>
                <w:b w:val="false"/>
                <w:bCs w:val="false"/>
                <w:sz w:val="20"/>
                <w:szCs w:val="20"/>
              </w:rPr>
              <w:t xml:space="preserve">Sick Leave</w:t>
            </w:r>
          </w:p>
        </w:tc>
        <w:tc>
          <w:tcPr>
            <w:tcW w:type="dxa" w:w="1560"/>
          </w:tcPr>
          <w:p>
            <w:pPr>
              <w:spacing w:after="60"/>
            </w:pPr>
            <w:r>
              <w:rPr>
                <w:b w:val="false"/>
                <w:bCs w:val="false"/>
                <w:sz w:val="20"/>
                <w:szCs w:val="20"/>
              </w:rPr>
              <w:t xml:space="preserve">Unlimited (policy)</w:t>
            </w:r>
          </w:p>
        </w:tc>
        <w:tc>
          <w:tcPr>
            <w:tcW w:type="dxa" w:w="1560"/>
          </w:tcPr>
          <w:p>
            <w:pPr>
              <w:spacing w:after="60"/>
            </w:pPr>
            <w:r>
              <w:rPr>
                <w:b w:val="false"/>
                <w:bCs w:val="false"/>
                <w:sz w:val="20"/>
                <w:szCs w:val="20"/>
              </w:rPr>
              <w:t xml:space="preserve">10 days paid</w:t>
            </w:r>
          </w:p>
        </w:tc>
        <w:tc>
          <w:tcPr>
            <w:tcW w:type="dxa" w:w="1560"/>
          </w:tcPr>
          <w:p>
            <w:pPr>
              <w:spacing w:after="60"/>
            </w:pPr>
            <w:r>
              <w:rPr>
                <w:b w:val="false"/>
                <w:bCs w:val="false"/>
                <w:sz w:val="20"/>
                <w:szCs w:val="20"/>
              </w:rPr>
              <w:t xml:space="preserve">12 days</w:t>
            </w:r>
          </w:p>
        </w:tc>
        <w:tc>
          <w:tcPr>
            <w:tcW w:type="dxa" w:w="1560"/>
          </w:tcPr>
          <w:p>
            <w:pPr>
              <w:spacing w:after="60"/>
            </w:pPr>
            <w:r>
              <w:rPr>
                <w:b w:val="false"/>
                <w:bCs w:val="false"/>
                <w:sz w:val="20"/>
                <w:szCs w:val="20"/>
              </w:rPr>
              <w:t xml:space="preserve">6 weeks full pay (KSchG)</w:t>
            </w:r>
          </w:p>
        </w:tc>
        <w:tc>
          <w:tcPr>
            <w:tcW w:type="dxa" w:w="1560"/>
          </w:tcPr>
          <w:p>
            <w:pPr>
              <w:spacing w:after="60"/>
            </w:pPr>
            <w:r>
              <w:rPr>
                <w:b w:val="false"/>
                <w:bCs w:val="false"/>
                <w:sz w:val="20"/>
                <w:szCs w:val="20"/>
              </w:rPr>
              <w:t xml:space="preserve">14 days (EA)</w:t>
            </w:r>
          </w:p>
        </w:tc>
      </w:tr>
      <w:tr>
        <w:tc>
          <w:tcPr>
            <w:tcW w:type="dxa" w:w="1560"/>
          </w:tcPr>
          <w:p>
            <w:pPr>
              <w:spacing w:after="60"/>
            </w:pPr>
            <w:r>
              <w:rPr>
                <w:b w:val="false"/>
                <w:bCs w:val="false"/>
                <w:sz w:val="20"/>
                <w:szCs w:val="20"/>
              </w:rPr>
              <w:t xml:space="preserve">Maternity Leave</w:t>
            </w:r>
          </w:p>
        </w:tc>
        <w:tc>
          <w:tcPr>
            <w:tcW w:type="dxa" w:w="1560"/>
          </w:tcPr>
          <w:p>
            <w:pPr>
              <w:spacing w:after="60"/>
            </w:pPr>
            <w:r>
              <w:rPr>
                <w:b w:val="false"/>
                <w:bCs w:val="false"/>
                <w:sz w:val="20"/>
                <w:szCs w:val="20"/>
              </w:rPr>
              <w:t xml:space="preserve">16 weeks paid</w:t>
            </w:r>
          </w:p>
        </w:tc>
        <w:tc>
          <w:tcPr>
            <w:tcW w:type="dxa" w:w="1560"/>
          </w:tcPr>
          <w:p>
            <w:pPr>
              <w:spacing w:after="60"/>
            </w:pPr>
            <w:r>
              <w:rPr>
                <w:b w:val="false"/>
                <w:bCs w:val="false"/>
                <w:sz w:val="20"/>
                <w:szCs w:val="20"/>
              </w:rPr>
              <w:t xml:space="preserve">39 weeks SMP+top-up</w:t>
            </w:r>
          </w:p>
        </w:tc>
        <w:tc>
          <w:tcPr>
            <w:tcW w:type="dxa" w:w="1560"/>
          </w:tcPr>
          <w:p>
            <w:pPr>
              <w:spacing w:after="60"/>
            </w:pPr>
            <w:r>
              <w:rPr>
                <w:b w:val="false"/>
                <w:bCs w:val="false"/>
                <w:sz w:val="20"/>
                <w:szCs w:val="20"/>
              </w:rPr>
              <w:t xml:space="preserve">26 weeks paid</w:t>
            </w:r>
          </w:p>
        </w:tc>
        <w:tc>
          <w:tcPr>
            <w:tcW w:type="dxa" w:w="1560"/>
          </w:tcPr>
          <w:p>
            <w:pPr>
              <w:spacing w:after="60"/>
            </w:pPr>
            <w:r>
              <w:rPr>
                <w:b w:val="false"/>
                <w:bCs w:val="false"/>
                <w:sz w:val="20"/>
                <w:szCs w:val="20"/>
              </w:rPr>
              <w:t xml:space="preserve">Mutterschutz + Elternzeit</w:t>
            </w:r>
          </w:p>
        </w:tc>
        <w:tc>
          <w:tcPr>
            <w:tcW w:type="dxa" w:w="1560"/>
          </w:tcPr>
          <w:p>
            <w:pPr>
              <w:spacing w:after="60"/>
            </w:pPr>
            <w:r>
              <w:rPr>
                <w:b w:val="false"/>
                <w:bCs w:val="false"/>
                <w:sz w:val="20"/>
                <w:szCs w:val="20"/>
              </w:rPr>
              <w:t xml:space="preserve">16 weeks (GA)</w:t>
            </w:r>
          </w:p>
        </w:tc>
      </w:tr>
      <w:tr>
        <w:tc>
          <w:tcPr>
            <w:tcW w:type="dxa" w:w="1560"/>
          </w:tcPr>
          <w:p>
            <w:pPr>
              <w:spacing w:after="60"/>
            </w:pPr>
            <w:r>
              <w:rPr>
                <w:b w:val="false"/>
                <w:bCs w:val="false"/>
                <w:sz w:val="20"/>
                <w:szCs w:val="20"/>
              </w:rPr>
              <w:t xml:space="preserve">Paternity Leave</w:t>
            </w:r>
          </w:p>
        </w:tc>
        <w:tc>
          <w:tcPr>
            <w:tcW w:type="dxa" w:w="1560"/>
          </w:tcPr>
          <w:p>
            <w:pPr>
              <w:spacing w:after="60"/>
            </w:pPr>
            <w:r>
              <w:rPr>
                <w:b w:val="false"/>
                <w:bCs w:val="false"/>
                <w:sz w:val="20"/>
                <w:szCs w:val="20"/>
              </w:rPr>
              <w:t xml:space="preserve">8 weeks paid</w:t>
            </w:r>
          </w:p>
        </w:tc>
        <w:tc>
          <w:tcPr>
            <w:tcW w:type="dxa" w:w="1560"/>
          </w:tcPr>
          <w:p>
            <w:pPr>
              <w:spacing w:after="60"/>
            </w:pPr>
            <w:r>
              <w:rPr>
                <w:b w:val="false"/>
                <w:bCs w:val="false"/>
                <w:sz w:val="20"/>
                <w:szCs w:val="20"/>
              </w:rPr>
              <w:t xml:space="preserve">4 weeks paid</w:t>
            </w:r>
          </w:p>
        </w:tc>
        <w:tc>
          <w:tcPr>
            <w:tcW w:type="dxa" w:w="1560"/>
          </w:tcPr>
          <w:p>
            <w:pPr>
              <w:spacing w:after="60"/>
            </w:pPr>
            <w:r>
              <w:rPr>
                <w:b w:val="false"/>
                <w:bCs w:val="false"/>
                <w:sz w:val="20"/>
                <w:szCs w:val="20"/>
              </w:rPr>
              <w:t xml:space="preserve">15 days paid</w:t>
            </w:r>
          </w:p>
        </w:tc>
        <w:tc>
          <w:tcPr>
            <w:tcW w:type="dxa" w:w="1560"/>
          </w:tcPr>
          <w:p>
            <w:pPr>
              <w:spacing w:after="60"/>
            </w:pPr>
            <w:r>
              <w:rPr>
                <w:b w:val="false"/>
                <w:bCs w:val="false"/>
                <w:sz w:val="20"/>
                <w:szCs w:val="20"/>
              </w:rPr>
              <w:t xml:space="preserve">2 weeks paid</w:t>
            </w:r>
          </w:p>
        </w:tc>
        <w:tc>
          <w:tcPr>
            <w:tcW w:type="dxa" w:w="1560"/>
          </w:tcPr>
          <w:p>
            <w:pPr>
              <w:spacing w:after="60"/>
            </w:pPr>
            <w:r>
              <w:rPr>
                <w:b w:val="false"/>
                <w:bCs w:val="false"/>
                <w:sz w:val="20"/>
                <w:szCs w:val="20"/>
              </w:rPr>
              <w:t xml:space="preserve">4 weeks paid (GA)</w:t>
            </w:r>
          </w:p>
        </w:tc>
      </w:tr>
    </w:tbl>
    <w:p>
      <w:pPr>
        <w:spacing w:after="100"/>
      </w:pPr>
      <w:r>
        <w:t xml:space="preserve"/>
      </w:r>
    </w:p>
    <w:p>
      <w:pPr>
        <w:spacing w:after="120" w:line="276"/>
      </w:pPr>
      <w:r>
        <w:rPr>
          <w:sz w:val="22"/>
          <w:szCs w:val="22"/>
        </w:rPr>
        <w:t xml:space="preserve">Public holidays observed by each office are listed in the Holiday Calendar (Document ID: HR-HC-001). Employees are entitled to observe the public holidays of their country of employment.</w:t>
      </w:r>
    </w:p>
    <w:p>
      <w:pPr>
        <w:pStyle w:val="Heading2"/>
        <w:spacing w:after="150" w:before="300"/>
      </w:pPr>
      <w:r>
        <w:t xml:space="preserve">9.5 Perks &amp; Supplemental Benefits</w:t>
      </w:r>
    </w:p>
    <w:p>
      <w:pPr>
        <w:pStyle w:val="ListParagraph"/>
        <w:numPr>
          <w:ilvl w:val="0"/>
          <w:numId w:val="1"/>
        </w:numPr>
        <w:spacing w:after="80"/>
      </w:pPr>
      <w:r>
        <w:rPr>
          <w:sz w:val="22"/>
          <w:szCs w:val="22"/>
        </w:rPr>
        <w:t xml:space="preserve">Learning Budget: $1,500 USD per year (or local equivalent) for courses, certifications, books, and conferences. See Section 11.</w:t>
      </w:r>
    </w:p>
    <w:p>
      <w:pPr>
        <w:pStyle w:val="ListParagraph"/>
        <w:numPr>
          <w:ilvl w:val="0"/>
          <w:numId w:val="1"/>
        </w:numPr>
        <w:spacing w:after="80"/>
      </w:pPr>
      <w:r>
        <w:rPr>
          <w:sz w:val="22"/>
          <w:szCs w:val="22"/>
        </w:rPr>
        <w:t xml:space="preserve">Wellness Stipend: $600 USD/year for gym membership, fitness apps, meditation apps, or sports equipment</w:t>
      </w:r>
    </w:p>
    <w:p>
      <w:pPr>
        <w:pStyle w:val="ListParagraph"/>
        <w:numPr>
          <w:ilvl w:val="0"/>
          <w:numId w:val="1"/>
        </w:numPr>
        <w:spacing w:after="80"/>
      </w:pPr>
      <w:r>
        <w:rPr>
          <w:sz w:val="22"/>
          <w:szCs w:val="22"/>
        </w:rPr>
        <w:t xml:space="preserve">Commuter Benefits: Up to $300/month tax-free transit/parking (US); £500/month cap (UK)</w:t>
      </w:r>
    </w:p>
    <w:p>
      <w:pPr>
        <w:pStyle w:val="ListParagraph"/>
        <w:numPr>
          <w:ilvl w:val="0"/>
          <w:numId w:val="1"/>
        </w:numPr>
        <w:spacing w:after="80"/>
      </w:pPr>
      <w:r>
        <w:rPr>
          <w:sz w:val="22"/>
          <w:szCs w:val="22"/>
        </w:rPr>
        <w:t xml:space="preserve">Meals: Subsidized cafeteria at HQ ($8 cap per meal); meal vouchers at India offices (₹100/meal)</w:t>
      </w:r>
    </w:p>
    <w:p>
      <w:pPr>
        <w:pStyle w:val="ListParagraph"/>
        <w:numPr>
          <w:ilvl w:val="0"/>
          <w:numId w:val="1"/>
        </w:numPr>
        <w:spacing w:after="80"/>
      </w:pPr>
      <w:r>
        <w:rPr>
          <w:sz w:val="22"/>
          <w:szCs w:val="22"/>
        </w:rPr>
        <w:t xml:space="preserve">Employee Assistance Program: Confidential counseling, financial advice, legal referrals — see hr.global@optiagent.com</w:t>
      </w:r>
    </w:p>
    <w:p>
      <w:pPr>
        <w:pStyle w:val="ListParagraph"/>
        <w:numPr>
          <w:ilvl w:val="0"/>
          <w:numId w:val="1"/>
        </w:numPr>
        <w:spacing w:after="80"/>
      </w:pPr>
      <w:r>
        <w:rPr>
          <w:sz w:val="22"/>
          <w:szCs w:val="22"/>
        </w:rPr>
        <w:t xml:space="preserve">Parental Support: $5,000 fertility assistance benefit; $5,000 adoption assistance; Dependent Care FSA (US)</w:t>
      </w:r>
    </w:p>
    <w:p>
      <w:r>
        <w:br w:type="page"/>
      </w:r>
    </w:p>
    <w:p>
      <w:pPr>
        <w:pStyle w:val="Heading1"/>
        <w:spacing w:after="200" w:before="400"/>
      </w:pPr>
      <w:r>
        <w:t xml:space="preserve">Chapter 10: Performance Management</w:t>
      </w:r>
    </w:p>
    <w:p>
      <w:pPr>
        <w:pStyle w:val="Heading2"/>
        <w:spacing w:after="150" w:before="300"/>
      </w:pPr>
      <w:r>
        <w:t xml:space="preserve">10.1 Philosophy</w:t>
      </w:r>
    </w:p>
    <w:p>
      <w:pPr>
        <w:spacing w:after="120" w:line="276"/>
      </w:pPr>
      <w:r>
        <w:rPr>
          <w:sz w:val="22"/>
          <w:szCs w:val="22"/>
        </w:rPr>
        <w:t xml:space="preserve">At OptiAgent Technologies, performance management is a continuous process, not an annual event. We believe in frequent, honest, forward-looking conversations between managers and their team members. The formal review process provides structure; the informal conversations provide impact.</w:t>
      </w:r>
    </w:p>
    <w:p>
      <w:pPr>
        <w:pStyle w:val="Heading2"/>
        <w:spacing w:after="150" w:before="300"/>
      </w:pPr>
      <w:r>
        <w:t xml:space="preserve">10.2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Review Type</w:t>
            </w:r>
          </w:p>
        </w:tc>
        <w:tc>
          <w:tcPr>
            <w:tcW w:type="dxa" w:w="2340"/>
            <w:shd w:fill="1F4E79" w:color="1F4E79" w:val="clear"/>
          </w:tcPr>
          <w:p>
            <w:pPr>
              <w:spacing w:after="60"/>
            </w:pPr>
            <w:r>
              <w:rPr>
                <w:b/>
                <w:bCs/>
                <w:sz w:val="20"/>
                <w:szCs w:val="20"/>
              </w:rPr>
              <w:t xml:space="preserve">Timing</w:t>
            </w:r>
          </w:p>
        </w:tc>
        <w:tc>
          <w:tcPr>
            <w:tcW w:type="dxa" w:w="2340"/>
            <w:shd w:fill="1F4E79" w:color="1F4E79" w:val="clear"/>
          </w:tcPr>
          <w:p>
            <w:pPr>
              <w:spacing w:after="60"/>
            </w:pPr>
            <w:r>
              <w:rPr>
                <w:b/>
                <w:bCs/>
                <w:sz w:val="20"/>
                <w:szCs w:val="20"/>
              </w:rPr>
              <w:t xml:space="preserve">Who Participates</w:t>
            </w:r>
          </w:p>
        </w:tc>
        <w:tc>
          <w:tcPr>
            <w:tcW w:type="dxa" w:w="2340"/>
            <w:shd w:fill="1F4E79" w:color="1F4E79" w:val="clear"/>
          </w:tcPr>
          <w:p>
            <w:pPr>
              <w:spacing w:after="60"/>
            </w:pPr>
            <w:r>
              <w:rPr>
                <w:b/>
                <w:bCs/>
                <w:sz w:val="20"/>
                <w:szCs w:val="20"/>
              </w:rPr>
              <w:t xml:space="preserve">Outcome</w:t>
            </w:r>
          </w:p>
        </w:tc>
      </w:tr>
      <w:tr>
        <w:tc>
          <w:tcPr>
            <w:tcW w:type="dxa" w:w="2340"/>
          </w:tcPr>
          <w:p>
            <w:pPr>
              <w:spacing w:after="60"/>
            </w:pPr>
            <w:r>
              <w:rPr>
                <w:b w:val="false"/>
                <w:bCs w:val="false"/>
                <w:sz w:val="20"/>
                <w:szCs w:val="20"/>
              </w:rPr>
              <w:t xml:space="preserve">30/60/90-Day Check-In</w:t>
            </w:r>
          </w:p>
        </w:tc>
        <w:tc>
          <w:tcPr>
            <w:tcW w:type="dxa" w:w="2340"/>
          </w:tcPr>
          <w:p>
            <w:pPr>
              <w:spacing w:after="60"/>
            </w:pPr>
            <w:r>
              <w:rPr>
                <w:b w:val="false"/>
                <w:bCs w:val="false"/>
                <w:sz w:val="20"/>
                <w:szCs w:val="20"/>
              </w:rPr>
              <w:t xml:space="preserve">First 3 months of joining</w:t>
            </w:r>
          </w:p>
        </w:tc>
        <w:tc>
          <w:tcPr>
            <w:tcW w:type="dxa" w:w="2340"/>
          </w:tcPr>
          <w:p>
            <w:pPr>
              <w:spacing w:after="60"/>
            </w:pPr>
            <w:r>
              <w:rPr>
                <w:b w:val="false"/>
                <w:bCs w:val="false"/>
                <w:sz w:val="20"/>
                <w:szCs w:val="20"/>
              </w:rPr>
              <w:t xml:space="preserve">Employee + Manager</w:t>
            </w:r>
          </w:p>
        </w:tc>
        <w:tc>
          <w:tcPr>
            <w:tcW w:type="dxa" w:w="2340"/>
          </w:tcPr>
          <w:p>
            <w:pPr>
              <w:spacing w:after="60"/>
            </w:pPr>
            <w:r>
              <w:rPr>
                <w:b w:val="false"/>
                <w:bCs w:val="false"/>
                <w:sz w:val="20"/>
                <w:szCs w:val="20"/>
              </w:rPr>
              <w:t xml:space="preserve">Probation assessment; see Onboarding Process (HR-OP-001)</w:t>
            </w:r>
          </w:p>
        </w:tc>
      </w:tr>
      <w:tr>
        <w:tc>
          <w:tcPr>
            <w:tcW w:type="dxa" w:w="2340"/>
          </w:tcPr>
          <w:p>
            <w:pPr>
              <w:spacing w:after="60"/>
            </w:pPr>
            <w:r>
              <w:rPr>
                <w:b w:val="false"/>
                <w:bCs w:val="false"/>
                <w:sz w:val="20"/>
                <w:szCs w:val="20"/>
              </w:rPr>
              <w:t xml:space="preserve">Mid-Year Review</w:t>
            </w:r>
          </w:p>
        </w:tc>
        <w:tc>
          <w:tcPr>
            <w:tcW w:type="dxa" w:w="2340"/>
          </w:tcPr>
          <w:p>
            <w:pPr>
              <w:spacing w:after="60"/>
            </w:pPr>
            <w:r>
              <w:rPr>
                <w:b w:val="false"/>
                <w:bCs w:val="false"/>
                <w:sz w:val="20"/>
                <w:szCs w:val="20"/>
              </w:rPr>
              <w:t xml:space="preserve">July each year</w:t>
            </w:r>
          </w:p>
        </w:tc>
        <w:tc>
          <w:tcPr>
            <w:tcW w:type="dxa" w:w="2340"/>
          </w:tcPr>
          <w:p>
            <w:pPr>
              <w:spacing w:after="60"/>
            </w:pPr>
            <w:r>
              <w:rPr>
                <w:b w:val="false"/>
                <w:bCs w:val="false"/>
                <w:sz w:val="20"/>
                <w:szCs w:val="20"/>
              </w:rPr>
              <w:t xml:space="preserve">Employee + Manager (peer input optional)</w:t>
            </w:r>
          </w:p>
        </w:tc>
        <w:tc>
          <w:tcPr>
            <w:tcW w:type="dxa" w:w="2340"/>
          </w:tcPr>
          <w:p>
            <w:pPr>
              <w:spacing w:after="60"/>
            </w:pPr>
            <w:r>
              <w:rPr>
                <w:b w:val="false"/>
                <w:bCs w:val="false"/>
                <w:sz w:val="20"/>
                <w:szCs w:val="20"/>
              </w:rPr>
              <w:t xml:space="preserve">Goal recalibration; development plan update</w:t>
            </w:r>
          </w:p>
        </w:tc>
      </w:tr>
      <w:tr>
        <w:tc>
          <w:tcPr>
            <w:tcW w:type="dxa" w:w="2340"/>
          </w:tcPr>
          <w:p>
            <w:pPr>
              <w:spacing w:after="60"/>
            </w:pPr>
            <w:r>
              <w:rPr>
                <w:b w:val="false"/>
                <w:bCs w:val="false"/>
                <w:sz w:val="20"/>
                <w:szCs w:val="20"/>
              </w:rPr>
              <w:t xml:space="preserve">Annual Review</w:t>
            </w:r>
          </w:p>
        </w:tc>
        <w:tc>
          <w:tcPr>
            <w:tcW w:type="dxa" w:w="2340"/>
          </w:tcPr>
          <w:p>
            <w:pPr>
              <w:spacing w:after="60"/>
            </w:pPr>
            <w:r>
              <w:rPr>
                <w:b w:val="false"/>
                <w:bCs w:val="false"/>
                <w:sz w:val="20"/>
                <w:szCs w:val="20"/>
              </w:rPr>
              <w:t xml:space="preserve">January (for prior year)</w:t>
            </w:r>
          </w:p>
        </w:tc>
        <w:tc>
          <w:tcPr>
            <w:tcW w:type="dxa" w:w="2340"/>
          </w:tcPr>
          <w:p>
            <w:pPr>
              <w:spacing w:after="60"/>
            </w:pPr>
            <w:r>
              <w:rPr>
                <w:b w:val="false"/>
                <w:bCs w:val="false"/>
                <w:sz w:val="20"/>
                <w:szCs w:val="20"/>
              </w:rPr>
              <w:t xml:space="preserve">Employee + Manager + HRBP</w:t>
            </w:r>
          </w:p>
        </w:tc>
        <w:tc>
          <w:tcPr>
            <w:tcW w:type="dxa" w:w="2340"/>
          </w:tcPr>
          <w:p>
            <w:pPr>
              <w:spacing w:after="60"/>
            </w:pPr>
            <w:r>
              <w:rPr>
                <w:b w:val="false"/>
                <w:bCs w:val="false"/>
                <w:sz w:val="20"/>
                <w:szCs w:val="20"/>
              </w:rPr>
              <w:t xml:space="preserve">Rating, compensation review, promotion discussion</w:t>
            </w:r>
          </w:p>
        </w:tc>
      </w:tr>
      <w:tr>
        <w:tc>
          <w:tcPr>
            <w:tcW w:type="dxa" w:w="2340"/>
          </w:tcPr>
          <w:p>
            <w:pPr>
              <w:spacing w:after="60"/>
            </w:pPr>
            <w:r>
              <w:rPr>
                <w:b w:val="false"/>
                <w:bCs w:val="false"/>
                <w:sz w:val="20"/>
                <w:szCs w:val="20"/>
              </w:rPr>
              <w:t xml:space="preserve">Promotion Review</w:t>
            </w:r>
          </w:p>
        </w:tc>
        <w:tc>
          <w:tcPr>
            <w:tcW w:type="dxa" w:w="2340"/>
          </w:tcPr>
          <w:p>
            <w:pPr>
              <w:spacing w:after="60"/>
            </w:pPr>
            <w:r>
              <w:rPr>
                <w:b w:val="false"/>
                <w:bCs w:val="false"/>
                <w:sz w:val="20"/>
                <w:szCs w:val="20"/>
              </w:rPr>
              <w:t xml:space="preserve">Ad hoc or Annual cycle</w:t>
            </w:r>
          </w:p>
        </w:tc>
        <w:tc>
          <w:tcPr>
            <w:tcW w:type="dxa" w:w="2340"/>
          </w:tcPr>
          <w:p>
            <w:pPr>
              <w:spacing w:after="60"/>
            </w:pPr>
            <w:r>
              <w:rPr>
                <w:b w:val="false"/>
                <w:bCs w:val="false"/>
                <w:sz w:val="20"/>
                <w:szCs w:val="20"/>
              </w:rPr>
              <w:t xml:space="preserve">Manager + Director + HRBP</w:t>
            </w:r>
          </w:p>
        </w:tc>
        <w:tc>
          <w:tcPr>
            <w:tcW w:type="dxa" w:w="2340"/>
          </w:tcPr>
          <w:p>
            <w:pPr>
              <w:spacing w:after="60"/>
            </w:pPr>
            <w:r>
              <w:rPr>
                <w:b w:val="false"/>
                <w:bCs w:val="false"/>
                <w:sz w:val="20"/>
                <w:szCs w:val="20"/>
              </w:rPr>
              <w:t xml:space="preserve">Promotion decision; new grade per HR-SG-001</w:t>
            </w:r>
          </w:p>
        </w:tc>
      </w:tr>
      <w:tr>
        <w:tc>
          <w:tcPr>
            <w:tcW w:type="dxa" w:w="2340"/>
          </w:tcPr>
          <w:p>
            <w:pPr>
              <w:spacing w:after="60"/>
            </w:pPr>
            <w:r>
              <w:rPr>
                <w:b w:val="false"/>
                <w:bCs w:val="false"/>
                <w:sz w:val="20"/>
                <w:szCs w:val="20"/>
              </w:rPr>
              <w:t xml:space="preserve">Performance Improvement Plan (PIP)</w:t>
            </w:r>
          </w:p>
        </w:tc>
        <w:tc>
          <w:tcPr>
            <w:tcW w:type="dxa" w:w="2340"/>
          </w:tcPr>
          <w:p>
            <w:pPr>
              <w:spacing w:after="60"/>
            </w:pPr>
            <w:r>
              <w:rPr>
                <w:b w:val="false"/>
                <w:bCs w:val="false"/>
                <w:sz w:val="20"/>
                <w:szCs w:val="20"/>
              </w:rPr>
              <w:t xml:space="preserve">When performance is Below Expectations</w:t>
            </w:r>
          </w:p>
        </w:tc>
        <w:tc>
          <w:tcPr>
            <w:tcW w:type="dxa" w:w="2340"/>
          </w:tcPr>
          <w:p>
            <w:pPr>
              <w:spacing w:after="60"/>
            </w:pPr>
            <w:r>
              <w:rPr>
                <w:b w:val="false"/>
                <w:bCs w:val="false"/>
                <w:sz w:val="20"/>
                <w:szCs w:val="20"/>
              </w:rPr>
              <w:t xml:space="preserve">Employee + Manager + HR</w:t>
            </w:r>
          </w:p>
        </w:tc>
        <w:tc>
          <w:tcPr>
            <w:tcW w:type="dxa" w:w="2340"/>
          </w:tcPr>
          <w:p>
            <w:pPr>
              <w:spacing w:after="60"/>
            </w:pPr>
            <w:r>
              <w:rPr>
                <w:b w:val="false"/>
                <w:bCs w:val="false"/>
                <w:sz w:val="20"/>
                <w:szCs w:val="20"/>
              </w:rPr>
              <w:t xml:space="preserve">Improvement goals with 60–90 day timeline</w:t>
            </w:r>
          </w:p>
        </w:tc>
      </w:tr>
    </w:tbl>
    <w:p>
      <w:pPr>
        <w:spacing w:after="100"/>
      </w:pPr>
      <w:r>
        <w:t xml:space="preserve"/>
      </w:r>
    </w:p>
    <w:p>
      <w:pPr>
        <w:pStyle w:val="Heading2"/>
        <w:spacing w:after="150" w:before="300"/>
      </w:pPr>
      <w:r>
        <w:t xml:space="preserve">10.3 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Rating</w:t>
            </w:r>
          </w:p>
        </w:tc>
        <w:tc>
          <w:tcPr>
            <w:tcW w:type="dxa" w:w="2340"/>
            <w:shd w:fill="1F4E79" w:color="1F4E79" w:val="clear"/>
          </w:tcPr>
          <w:p>
            <w:pPr>
              <w:spacing w:after="60"/>
            </w:pPr>
            <w:r>
              <w:rPr>
                <w:b/>
                <w:bCs/>
                <w:sz w:val="20"/>
                <w:szCs w:val="20"/>
              </w:rPr>
              <w:t xml:space="preserve">Label</w:t>
            </w:r>
          </w:p>
        </w:tc>
        <w:tc>
          <w:tcPr>
            <w:tcW w:type="dxa" w:w="2340"/>
            <w:shd w:fill="1F4E79" w:color="1F4E79" w:val="clear"/>
          </w:tcPr>
          <w:p>
            <w:pPr>
              <w:spacing w:after="60"/>
            </w:pPr>
            <w:r>
              <w:rPr>
                <w:b/>
                <w:bCs/>
                <w:sz w:val="20"/>
                <w:szCs w:val="20"/>
              </w:rPr>
              <w:t xml:space="preserve">Description</w:t>
            </w:r>
          </w:p>
        </w:tc>
        <w:tc>
          <w:tcPr>
            <w:tcW w:type="dxa" w:w="2340"/>
            <w:shd w:fill="1F4E79" w:color="1F4E79" w:val="clear"/>
          </w:tcPr>
          <w:p>
            <w:pPr>
              <w:spacing w:after="60"/>
            </w:pPr>
            <w:r>
              <w:rPr>
                <w:b/>
                <w:bCs/>
                <w:sz w:val="20"/>
                <w:szCs w:val="20"/>
              </w:rPr>
              <w:t xml:space="preserve">Approximate Distribution</w:t>
            </w:r>
          </w:p>
        </w:tc>
      </w:tr>
      <w:tr>
        <w:tc>
          <w:tcPr>
            <w:tcW w:type="dxa" w:w="2340"/>
          </w:tcPr>
          <w:p>
            <w:pPr>
              <w:spacing w:after="60"/>
            </w:pPr>
            <w:r>
              <w:rPr>
                <w:b w:val="false"/>
                <w:bCs w:val="false"/>
                <w:sz w:val="20"/>
                <w:szCs w:val="20"/>
              </w:rPr>
              <w:t xml:space="preserve">5</w:t>
            </w:r>
          </w:p>
        </w:tc>
        <w:tc>
          <w:tcPr>
            <w:tcW w:type="dxa" w:w="2340"/>
          </w:tcPr>
          <w:p>
            <w:pPr>
              <w:spacing w:after="60"/>
            </w:pPr>
            <w:r>
              <w:rPr>
                <w:b w:val="false"/>
                <w:bCs w:val="false"/>
                <w:sz w:val="20"/>
                <w:szCs w:val="20"/>
              </w:rPr>
              <w:t xml:space="preserve">Exceptional</w:t>
            </w:r>
          </w:p>
        </w:tc>
        <w:tc>
          <w:tcPr>
            <w:tcW w:type="dxa" w:w="2340"/>
          </w:tcPr>
          <w:p>
            <w:pPr>
              <w:spacing w:after="60"/>
            </w:pPr>
            <w:r>
              <w:rPr>
                <w:b w:val="false"/>
                <w:bCs w:val="false"/>
                <w:sz w:val="20"/>
                <w:szCs w:val="20"/>
              </w:rPr>
              <w:t xml:space="preserve">Far exceeds expectations; role model for the team; delivers outsized impact</w:t>
            </w:r>
          </w:p>
        </w:tc>
        <w:tc>
          <w:tcPr>
            <w:tcW w:type="dxa" w:w="2340"/>
          </w:tcPr>
          <w:p>
            <w:pPr>
              <w:spacing w:after="60"/>
            </w:pPr>
            <w:r>
              <w:rPr>
                <w:b w:val="false"/>
                <w:bCs w:val="false"/>
                <w:sz w:val="20"/>
                <w:szCs w:val="20"/>
              </w:rPr>
              <w:t xml:space="preserve">5–10%</w:t>
            </w:r>
          </w:p>
        </w:tc>
      </w:tr>
      <w:tr>
        <w:tc>
          <w:tcPr>
            <w:tcW w:type="dxa" w:w="2340"/>
          </w:tcPr>
          <w:p>
            <w:pPr>
              <w:spacing w:after="60"/>
            </w:pPr>
            <w:r>
              <w:rPr>
                <w:b w:val="false"/>
                <w:bCs w:val="false"/>
                <w:sz w:val="20"/>
                <w:szCs w:val="20"/>
              </w:rPr>
              <w:t xml:space="preserve">4</w:t>
            </w:r>
          </w:p>
        </w:tc>
        <w:tc>
          <w:tcPr>
            <w:tcW w:type="dxa" w:w="2340"/>
          </w:tcPr>
          <w:p>
            <w:pPr>
              <w:spacing w:after="60"/>
            </w:pPr>
            <w:r>
              <w:rPr>
                <w:b w:val="false"/>
                <w:bCs w:val="false"/>
                <w:sz w:val="20"/>
                <w:szCs w:val="20"/>
              </w:rPr>
              <w:t xml:space="preserve">Exceeds Expectations</w:t>
            </w:r>
          </w:p>
        </w:tc>
        <w:tc>
          <w:tcPr>
            <w:tcW w:type="dxa" w:w="2340"/>
          </w:tcPr>
          <w:p>
            <w:pPr>
              <w:spacing w:after="60"/>
            </w:pPr>
            <w:r>
              <w:rPr>
                <w:b w:val="false"/>
                <w:bCs w:val="false"/>
                <w:sz w:val="20"/>
                <w:szCs w:val="20"/>
              </w:rPr>
              <w:t xml:space="preserve">Consistently delivers above the role level; demonstrates leadership</w:t>
            </w:r>
          </w:p>
        </w:tc>
        <w:tc>
          <w:tcPr>
            <w:tcW w:type="dxa" w:w="2340"/>
          </w:tcPr>
          <w:p>
            <w:pPr>
              <w:spacing w:after="60"/>
            </w:pPr>
            <w:r>
              <w:rPr>
                <w:b w:val="false"/>
                <w:bCs w:val="false"/>
                <w:sz w:val="20"/>
                <w:szCs w:val="20"/>
              </w:rPr>
              <w:t xml:space="preserve">20–25%</w:t>
            </w:r>
          </w:p>
        </w:tc>
      </w:tr>
      <w:tr>
        <w:tc>
          <w:tcPr>
            <w:tcW w:type="dxa" w:w="2340"/>
          </w:tcPr>
          <w:p>
            <w:pPr>
              <w:spacing w:after="60"/>
            </w:pPr>
            <w:r>
              <w:rPr>
                <w:b w:val="false"/>
                <w:bCs w:val="false"/>
                <w:sz w:val="20"/>
                <w:szCs w:val="20"/>
              </w:rPr>
              <w:t xml:space="preserve">3</w:t>
            </w:r>
          </w:p>
        </w:tc>
        <w:tc>
          <w:tcPr>
            <w:tcW w:type="dxa" w:w="2340"/>
          </w:tcPr>
          <w:p>
            <w:pPr>
              <w:spacing w:after="60"/>
            </w:pPr>
            <w:r>
              <w:rPr>
                <w:b w:val="false"/>
                <w:bCs w:val="false"/>
                <w:sz w:val="20"/>
                <w:szCs w:val="20"/>
              </w:rPr>
              <w:t xml:space="preserve">Meets Expectations</w:t>
            </w:r>
          </w:p>
        </w:tc>
        <w:tc>
          <w:tcPr>
            <w:tcW w:type="dxa" w:w="2340"/>
          </w:tcPr>
          <w:p>
            <w:pPr>
              <w:spacing w:after="60"/>
            </w:pPr>
            <w:r>
              <w:rPr>
                <w:b w:val="false"/>
                <w:bCs w:val="false"/>
                <w:sz w:val="20"/>
                <w:szCs w:val="20"/>
              </w:rPr>
              <w:t xml:space="preserve">Fully delivers on role expectations; solid, reliable contributor</w:t>
            </w:r>
          </w:p>
        </w:tc>
        <w:tc>
          <w:tcPr>
            <w:tcW w:type="dxa" w:w="2340"/>
          </w:tcPr>
          <w:p>
            <w:pPr>
              <w:spacing w:after="60"/>
            </w:pPr>
            <w:r>
              <w:rPr>
                <w:b w:val="false"/>
                <w:bCs w:val="false"/>
                <w:sz w:val="20"/>
                <w:szCs w:val="20"/>
              </w:rPr>
              <w:t xml:space="preserve">50–55%</w:t>
            </w:r>
          </w:p>
        </w:tc>
      </w:tr>
      <w:tr>
        <w:tc>
          <w:tcPr>
            <w:tcW w:type="dxa" w:w="2340"/>
          </w:tcPr>
          <w:p>
            <w:pPr>
              <w:spacing w:after="60"/>
            </w:pPr>
            <w:r>
              <w:rPr>
                <w:b w:val="false"/>
                <w:bCs w:val="false"/>
                <w:sz w:val="20"/>
                <w:szCs w:val="20"/>
              </w:rPr>
              <w:t xml:space="preserve">2</w:t>
            </w:r>
          </w:p>
        </w:tc>
        <w:tc>
          <w:tcPr>
            <w:tcW w:type="dxa" w:w="2340"/>
          </w:tcPr>
          <w:p>
            <w:pPr>
              <w:spacing w:after="60"/>
            </w:pPr>
            <w:r>
              <w:rPr>
                <w:b w:val="false"/>
                <w:bCs w:val="false"/>
                <w:sz w:val="20"/>
                <w:szCs w:val="20"/>
              </w:rPr>
              <w:t xml:space="preserve">Below Expectations</w:t>
            </w:r>
          </w:p>
        </w:tc>
        <w:tc>
          <w:tcPr>
            <w:tcW w:type="dxa" w:w="2340"/>
          </w:tcPr>
          <w:p>
            <w:pPr>
              <w:spacing w:after="60"/>
            </w:pPr>
            <w:r>
              <w:rPr>
                <w:b w:val="false"/>
                <w:bCs w:val="false"/>
                <w:sz w:val="20"/>
                <w:szCs w:val="20"/>
              </w:rPr>
              <w:t xml:space="preserve">Falls short in some key areas; PIP may be initiated</w:t>
            </w:r>
          </w:p>
        </w:tc>
        <w:tc>
          <w:tcPr>
            <w:tcW w:type="dxa" w:w="2340"/>
          </w:tcPr>
          <w:p>
            <w:pPr>
              <w:spacing w:after="60"/>
            </w:pPr>
            <w:r>
              <w:rPr>
                <w:b w:val="false"/>
                <w:bCs w:val="false"/>
                <w:sz w:val="20"/>
                <w:szCs w:val="20"/>
              </w:rPr>
              <w:t xml:space="preserve">10–15%</w:t>
            </w:r>
          </w:p>
        </w:tc>
      </w:tr>
      <w:tr>
        <w:tc>
          <w:tcPr>
            <w:tcW w:type="dxa" w:w="2340"/>
          </w:tcPr>
          <w:p>
            <w:pPr>
              <w:spacing w:after="60"/>
            </w:pPr>
            <w:r>
              <w:rPr>
                <w:b w:val="false"/>
                <w:bCs w:val="false"/>
                <w:sz w:val="20"/>
                <w:szCs w:val="20"/>
              </w:rPr>
              <w:t xml:space="preserve">1</w:t>
            </w:r>
          </w:p>
        </w:tc>
        <w:tc>
          <w:tcPr>
            <w:tcW w:type="dxa" w:w="2340"/>
          </w:tcPr>
          <w:p>
            <w:pPr>
              <w:spacing w:after="60"/>
            </w:pPr>
            <w:r>
              <w:rPr>
                <w:b w:val="false"/>
                <w:bCs w:val="false"/>
                <w:sz w:val="20"/>
                <w:szCs w:val="20"/>
              </w:rPr>
              <w:t xml:space="preserve">Unsatisfactory</w:t>
            </w:r>
          </w:p>
        </w:tc>
        <w:tc>
          <w:tcPr>
            <w:tcW w:type="dxa" w:w="2340"/>
          </w:tcPr>
          <w:p>
            <w:pPr>
              <w:spacing w:after="60"/>
            </w:pPr>
            <w:r>
              <w:rPr>
                <w:b w:val="false"/>
                <w:bCs w:val="false"/>
                <w:sz w:val="20"/>
                <w:szCs w:val="20"/>
              </w:rPr>
              <w:t xml:space="preserve">Significant performance gaps; risk to team and business outcomes</w:t>
            </w:r>
          </w:p>
        </w:tc>
        <w:tc>
          <w:tcPr>
            <w:tcW w:type="dxa" w:w="2340"/>
          </w:tcPr>
          <w:p>
            <w:pPr>
              <w:spacing w:after="60"/>
            </w:pPr>
            <w:r>
              <w:rPr>
                <w:b w:val="false"/>
                <w:bCs w:val="false"/>
                <w:sz w:val="20"/>
                <w:szCs w:val="20"/>
              </w:rPr>
              <w:t xml:space="preserve">&lt;5%</w:t>
            </w:r>
          </w:p>
        </w:tc>
      </w:tr>
    </w:tbl>
    <w:p>
      <w:pPr>
        <w:spacing w:after="100"/>
      </w:pPr>
      <w:r>
        <w:t xml:space="preserve"/>
      </w:r>
    </w:p>
    <w:p>
      <w:pPr>
        <w:pStyle w:val="Heading2"/>
        <w:spacing w:after="150" w:before="300"/>
      </w:pPr>
      <w:r>
        <w:t xml:space="preserve">10.4 Goal Setting (OKR Framework)</w:t>
      </w:r>
    </w:p>
    <w:p>
      <w:pPr>
        <w:spacing w:after="120" w:line="276"/>
      </w:pPr>
      <w:r>
        <w:rPr>
          <w:sz w:val="22"/>
          <w:szCs w:val="22"/>
        </w:rPr>
        <w:t xml:space="preserve">OptiAgent uses the Objectives and Key Results (OKR) framework for goal setting. OKRs are set at the company level by the Executive Leadership Team and cascade to department, team, and individual levels. Individual OKRs are:</w:t>
      </w:r>
    </w:p>
    <w:p>
      <w:pPr>
        <w:pStyle w:val="ListParagraph"/>
        <w:numPr>
          <w:ilvl w:val="0"/>
          <w:numId w:val="1"/>
        </w:numPr>
        <w:spacing w:after="80"/>
      </w:pPr>
      <w:r>
        <w:rPr>
          <w:sz w:val="22"/>
          <w:szCs w:val="22"/>
        </w:rPr>
        <w:t xml:space="preserve">Set at the beginning of each quarter in collaboration with the employee's manager</w:t>
      </w:r>
    </w:p>
    <w:p>
      <w:pPr>
        <w:pStyle w:val="ListParagraph"/>
        <w:numPr>
          <w:ilvl w:val="0"/>
          <w:numId w:val="1"/>
        </w:numPr>
        <w:spacing w:after="80"/>
      </w:pPr>
      <w:r>
        <w:rPr>
          <w:sz w:val="22"/>
          <w:szCs w:val="22"/>
        </w:rPr>
        <w:t xml:space="preserve">Reviewed at mid-quarter for progress tracking</w:t>
      </w:r>
    </w:p>
    <w:p>
      <w:pPr>
        <w:pStyle w:val="ListParagraph"/>
        <w:numPr>
          <w:ilvl w:val="0"/>
          <w:numId w:val="1"/>
        </w:numPr>
        <w:spacing w:after="80"/>
      </w:pPr>
      <w:r>
        <w:rPr>
          <w:sz w:val="22"/>
          <w:szCs w:val="22"/>
        </w:rPr>
        <w:t xml:space="preserve">Scored at quarter-end on a 0.0–1.0 scale (0.7 is considered a strong result)</w:t>
      </w:r>
    </w:p>
    <w:p>
      <w:pPr>
        <w:pStyle w:val="ListParagraph"/>
        <w:numPr>
          <w:ilvl w:val="0"/>
          <w:numId w:val="1"/>
        </w:numPr>
        <w:spacing w:after="80"/>
      </w:pPr>
      <w:r>
        <w:rPr>
          <w:sz w:val="22"/>
          <w:szCs w:val="22"/>
        </w:rPr>
        <w:t xml:space="preserve">Linked to the annual performance review rating but not mechanically tied to it</w:t>
      </w:r>
    </w:p>
    <w:p>
      <w:pPr>
        <w:spacing w:after="120" w:line="276"/>
      </w:pPr>
      <w:r>
        <w:rPr>
          <w:sz w:val="22"/>
          <w:szCs w:val="22"/>
        </w:rPr>
        <w:t xml:space="preserve">Employees are expected to set 3–5 objectives per quarter, each with 2–4 measurable key results. OKRs are stored in Lattice (the company's performance management tool) and are visible to the employee, their manager, and HR.</w:t>
      </w:r>
    </w:p>
    <w:p>
      <w:pPr>
        <w:pStyle w:val="Heading2"/>
        <w:spacing w:after="150" w:before="300"/>
      </w:pPr>
      <w:r>
        <w:t xml:space="preserve">10.5 Calibration</w:t>
      </w:r>
    </w:p>
    <w:p>
      <w:pPr>
        <w:spacing w:after="120" w:line="276"/>
      </w:pPr>
      <w:r>
        <w:rPr>
          <w:sz w:val="22"/>
          <w:szCs w:val="22"/>
        </w:rPr>
        <w:t xml:space="preserve">To ensure fairness and consistency across teams, all annual performance ratings are subject to a calibration process. Calibration sessions are held at the department level, facilitated by the HR Business Partner, and attended by all people managers. The goals of calibration are:</w:t>
      </w:r>
    </w:p>
    <w:p>
      <w:pPr>
        <w:pStyle w:val="ListParagraph"/>
        <w:numPr>
          <w:ilvl w:val="0"/>
          <w:numId w:val="1"/>
        </w:numPr>
        <w:spacing w:after="80"/>
      </w:pPr>
      <w:r>
        <w:rPr>
          <w:sz w:val="22"/>
          <w:szCs w:val="22"/>
        </w:rPr>
        <w:t xml:space="preserve">Ensure ratings are applied consistently across teams with similar performance bar</w:t>
      </w:r>
    </w:p>
    <w:p>
      <w:pPr>
        <w:pStyle w:val="ListParagraph"/>
        <w:numPr>
          <w:ilvl w:val="0"/>
          <w:numId w:val="1"/>
        </w:numPr>
        <w:spacing w:after="80"/>
      </w:pPr>
      <w:r>
        <w:rPr>
          <w:sz w:val="22"/>
          <w:szCs w:val="22"/>
        </w:rPr>
        <w:t xml:space="preserve">Identify high-potential employees for accelerated development or promotion</w:t>
      </w:r>
    </w:p>
    <w:p>
      <w:pPr>
        <w:pStyle w:val="ListParagraph"/>
        <w:numPr>
          <w:ilvl w:val="0"/>
          <w:numId w:val="1"/>
        </w:numPr>
        <w:spacing w:after="80"/>
      </w:pPr>
      <w:r>
        <w:rPr>
          <w:sz w:val="22"/>
          <w:szCs w:val="22"/>
        </w:rPr>
        <w:t xml:space="preserve">Ensure that the rating distribution reflects actual performance rather than manager leniency or severity</w:t>
      </w:r>
    </w:p>
    <w:p>
      <w:pPr>
        <w:pStyle w:val="ListParagraph"/>
        <w:numPr>
          <w:ilvl w:val="0"/>
          <w:numId w:val="1"/>
        </w:numPr>
        <w:spacing w:after="80"/>
      </w:pPr>
      <w:r>
        <w:rPr>
          <w:sz w:val="22"/>
          <w:szCs w:val="22"/>
        </w:rPr>
        <w:t xml:space="preserve">Surface any equity concerns (e.g., patterns of lower ratings for particular groups)</w:t>
      </w:r>
    </w:p>
    <w:p>
      <w:pPr>
        <w:pStyle w:val="Heading2"/>
        <w:spacing w:after="150" w:before="300"/>
      </w:pPr>
      <w:r>
        <w:t xml:space="preserve">10.6 Performance Improvement Plan (PIP)</w:t>
      </w:r>
    </w:p>
    <w:p>
      <w:pPr>
        <w:spacing w:after="120" w:line="276"/>
      </w:pPr>
      <w:r>
        <w:rPr>
          <w:sz w:val="22"/>
          <w:szCs w:val="22"/>
        </w:rPr>
        <w:t xml:space="preserve">A Performance Improvement Plan (PIP) is a structured, time-bound plan designed to give employees rated "Below Expectations" or "Unsatisfactory" a clear path to improvement. A PIP is not a termination notice — it is a tool for recovery. However, failure to meet PIP objectives may result in termination of employment.</w:t>
      </w:r>
    </w:p>
    <w:p>
      <w:pPr>
        <w:spacing w:after="120" w:line="276"/>
      </w:pPr>
      <w:r>
        <w:rPr>
          <w:sz w:val="22"/>
          <w:szCs w:val="22"/>
        </w:rPr>
        <w:t xml:space="preserve">PIP elements include:</w:t>
      </w:r>
    </w:p>
    <w:p>
      <w:pPr>
        <w:pStyle w:val="ListParagraph"/>
        <w:numPr>
          <w:ilvl w:val="0"/>
          <w:numId w:val="1"/>
        </w:numPr>
        <w:spacing w:after="80"/>
      </w:pPr>
      <w:r>
        <w:rPr>
          <w:sz w:val="22"/>
          <w:szCs w:val="22"/>
        </w:rPr>
        <w:t xml:space="preserve">Specific, measurable improvement goals with defined timelines</w:t>
      </w:r>
    </w:p>
    <w:p>
      <w:pPr>
        <w:pStyle w:val="ListParagraph"/>
        <w:numPr>
          <w:ilvl w:val="0"/>
          <w:numId w:val="1"/>
        </w:numPr>
        <w:spacing w:after="80"/>
      </w:pPr>
      <w:r>
        <w:rPr>
          <w:sz w:val="22"/>
          <w:szCs w:val="22"/>
        </w:rPr>
        <w:t xml:space="preserve">Weekly check-in meetings between the employee and manager</w:t>
      </w:r>
    </w:p>
    <w:p>
      <w:pPr>
        <w:pStyle w:val="ListParagraph"/>
        <w:numPr>
          <w:ilvl w:val="0"/>
          <w:numId w:val="1"/>
        </w:numPr>
        <w:spacing w:after="80"/>
      </w:pPr>
      <w:r>
        <w:rPr>
          <w:sz w:val="22"/>
          <w:szCs w:val="22"/>
        </w:rPr>
        <w:t xml:space="preserve">HR Business Partner involvement throughout the process</w:t>
      </w:r>
    </w:p>
    <w:p>
      <w:pPr>
        <w:pStyle w:val="ListParagraph"/>
        <w:numPr>
          <w:ilvl w:val="0"/>
          <w:numId w:val="1"/>
        </w:numPr>
        <w:spacing w:after="80"/>
      </w:pPr>
      <w:r>
        <w:rPr>
          <w:sz w:val="22"/>
          <w:szCs w:val="22"/>
        </w:rPr>
        <w:t xml:space="preserve">Clear statement of consequences if goals are not met</w:t>
      </w:r>
    </w:p>
    <w:p>
      <w:pPr>
        <w:pStyle w:val="ListParagraph"/>
        <w:numPr>
          <w:ilvl w:val="0"/>
          <w:numId w:val="1"/>
        </w:numPr>
        <w:spacing w:after="80"/>
      </w:pPr>
      <w:r>
        <w:rPr>
          <w:sz w:val="22"/>
          <w:szCs w:val="22"/>
        </w:rPr>
        <w:t xml:space="preserve">Documentation of all PIP conversations in Workday</w:t>
      </w:r>
    </w:p>
    <w:p>
      <w:r>
        <w:br w:type="page"/>
      </w:r>
    </w:p>
    <w:p>
      <w:pPr>
        <w:pStyle w:val="Heading1"/>
        <w:spacing w:after="200" w:before="400"/>
      </w:pPr>
      <w:r>
        <w:t xml:space="preserve">Chapter 11: Learning &amp; Development</w:t>
      </w:r>
    </w:p>
    <w:p>
      <w:pPr>
        <w:pStyle w:val="Heading2"/>
        <w:spacing w:after="150" w:before="300"/>
      </w:pPr>
      <w:r>
        <w:t xml:space="preserve">11.1 Investment in Growth</w:t>
      </w:r>
    </w:p>
    <w:p>
      <w:pPr>
        <w:spacing w:after="120" w:line="276"/>
      </w:pPr>
      <w:r>
        <w:rPr>
          <w:sz w:val="22"/>
          <w:szCs w:val="22"/>
        </w:rPr>
        <w:t xml:space="preserve">OptiAgent Technologies invests significantly in the growth of its employees because we believe our people are our most important competitive advantage. All full-time employees are eligible for the following learning and development programs from their first day of employment.</w:t>
      </w:r>
    </w:p>
    <w:p>
      <w:pPr>
        <w:pStyle w:val="Heading2"/>
        <w:spacing w:after="150" w:before="300"/>
      </w:pPr>
      <w:r>
        <w:t xml:space="preserve">11.2 Learning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Employee Level</w:t>
            </w:r>
          </w:p>
        </w:tc>
        <w:tc>
          <w:tcPr>
            <w:tcW w:type="dxa" w:w="2340"/>
            <w:shd w:fill="1F4E79" w:color="1F4E79" w:val="clear"/>
          </w:tcPr>
          <w:p>
            <w:pPr>
              <w:spacing w:after="60"/>
            </w:pPr>
            <w:r>
              <w:rPr>
                <w:b/>
                <w:bCs/>
                <w:sz w:val="20"/>
                <w:szCs w:val="20"/>
              </w:rPr>
              <w:t xml:space="preserve">Annual Learning Budget</w:t>
            </w:r>
          </w:p>
        </w:tc>
        <w:tc>
          <w:tcPr>
            <w:tcW w:type="dxa" w:w="2340"/>
            <w:shd w:fill="1F4E79" w:color="1F4E79" w:val="clear"/>
          </w:tcPr>
          <w:p>
            <w:pPr>
              <w:spacing w:after="60"/>
            </w:pPr>
            <w:r>
              <w:rPr>
                <w:b/>
                <w:bCs/>
                <w:sz w:val="20"/>
                <w:szCs w:val="20"/>
              </w:rPr>
              <w:t xml:space="preserve">Manager Approval Threshold</w:t>
            </w:r>
          </w:p>
        </w:tc>
        <w:tc>
          <w:tcPr>
            <w:tcW w:type="dxa" w:w="2340"/>
            <w:shd w:fill="1F4E79" w:color="1F4E79" w:val="clear"/>
          </w:tcPr>
          <w:p>
            <w:pPr>
              <w:spacing w:after="60"/>
            </w:pPr>
            <w:r>
              <w:rPr>
                <w:b/>
                <w:bCs/>
                <w:sz w:val="20"/>
                <w:szCs w:val="20"/>
              </w:rPr>
              <w:t xml:space="preserve">Eligible Spend</w:t>
            </w:r>
          </w:p>
        </w:tc>
      </w:tr>
      <w:tr>
        <w:tc>
          <w:tcPr>
            <w:tcW w:type="dxa" w:w="2340"/>
          </w:tcPr>
          <w:p>
            <w:pPr>
              <w:spacing w:after="60"/>
            </w:pPr>
            <w:r>
              <w:rPr>
                <w:b w:val="false"/>
                <w:bCs w:val="false"/>
                <w:sz w:val="20"/>
                <w:szCs w:val="20"/>
              </w:rPr>
              <w:t xml:space="preserve">Individual Contributor (L1–L4)</w:t>
            </w:r>
          </w:p>
        </w:tc>
        <w:tc>
          <w:tcPr>
            <w:tcW w:type="dxa" w:w="2340"/>
          </w:tcPr>
          <w:p>
            <w:pPr>
              <w:spacing w:after="60"/>
            </w:pPr>
            <w:r>
              <w:rPr>
                <w:b w:val="false"/>
                <w:bCs w:val="false"/>
                <w:sz w:val="20"/>
                <w:szCs w:val="20"/>
              </w:rPr>
              <w:t xml:space="preserve">$1,500 USD</w:t>
            </w:r>
          </w:p>
        </w:tc>
        <w:tc>
          <w:tcPr>
            <w:tcW w:type="dxa" w:w="2340"/>
          </w:tcPr>
          <w:p>
            <w:pPr>
              <w:spacing w:after="60"/>
            </w:pPr>
            <w:r>
              <w:rPr>
                <w:b w:val="false"/>
                <w:bCs w:val="false"/>
                <w:sz w:val="20"/>
                <w:szCs w:val="20"/>
              </w:rPr>
              <w:t xml:space="preserve">Over $500</w:t>
            </w:r>
          </w:p>
        </w:tc>
        <w:tc>
          <w:tcPr>
            <w:tcW w:type="dxa" w:w="2340"/>
          </w:tcPr>
          <w:p>
            <w:pPr>
              <w:spacing w:after="60"/>
            </w:pPr>
            <w:r>
              <w:rPr>
                <w:b w:val="false"/>
                <w:bCs w:val="false"/>
                <w:sz w:val="20"/>
                <w:szCs w:val="20"/>
              </w:rPr>
              <w:t xml:space="preserve">Courses, books, certifications, conferences</w:t>
            </w:r>
          </w:p>
        </w:tc>
      </w:tr>
      <w:tr>
        <w:tc>
          <w:tcPr>
            <w:tcW w:type="dxa" w:w="2340"/>
          </w:tcPr>
          <w:p>
            <w:pPr>
              <w:spacing w:after="60"/>
            </w:pPr>
            <w:r>
              <w:rPr>
                <w:b w:val="false"/>
                <w:bCs w:val="false"/>
                <w:sz w:val="20"/>
                <w:szCs w:val="20"/>
              </w:rPr>
              <w:t xml:space="preserve">Senior IC / Tech Lead (L5–L6)</w:t>
            </w:r>
          </w:p>
        </w:tc>
        <w:tc>
          <w:tcPr>
            <w:tcW w:type="dxa" w:w="2340"/>
          </w:tcPr>
          <w:p>
            <w:pPr>
              <w:spacing w:after="60"/>
            </w:pPr>
            <w:r>
              <w:rPr>
                <w:b w:val="false"/>
                <w:bCs w:val="false"/>
                <w:sz w:val="20"/>
                <w:szCs w:val="20"/>
              </w:rPr>
              <w:t xml:space="preserve">$2,500 USD</w:t>
            </w:r>
          </w:p>
        </w:tc>
        <w:tc>
          <w:tcPr>
            <w:tcW w:type="dxa" w:w="2340"/>
          </w:tcPr>
          <w:p>
            <w:pPr>
              <w:spacing w:after="60"/>
            </w:pPr>
            <w:r>
              <w:rPr>
                <w:b w:val="false"/>
                <w:bCs w:val="false"/>
                <w:sz w:val="20"/>
                <w:szCs w:val="20"/>
              </w:rPr>
              <w:t xml:space="preserve">Over $800</w:t>
            </w:r>
          </w:p>
        </w:tc>
        <w:tc>
          <w:tcPr>
            <w:tcW w:type="dxa" w:w="2340"/>
          </w:tcPr>
          <w:p>
            <w:pPr>
              <w:spacing w:after="60"/>
            </w:pPr>
            <w:r>
              <w:rPr>
                <w:b w:val="false"/>
                <w:bCs w:val="false"/>
                <w:sz w:val="20"/>
                <w:szCs w:val="20"/>
              </w:rPr>
              <w:t xml:space="preserve">Above + coaching sessions</w:t>
            </w:r>
          </w:p>
        </w:tc>
      </w:tr>
      <w:tr>
        <w:tc>
          <w:tcPr>
            <w:tcW w:type="dxa" w:w="2340"/>
          </w:tcPr>
          <w:p>
            <w:pPr>
              <w:spacing w:after="60"/>
            </w:pPr>
            <w:r>
              <w:rPr>
                <w:b w:val="false"/>
                <w:bCs w:val="false"/>
                <w:sz w:val="20"/>
                <w:szCs w:val="20"/>
              </w:rPr>
              <w:t xml:space="preserve">Manager / Senior Manager (M1–M2)</w:t>
            </w:r>
          </w:p>
        </w:tc>
        <w:tc>
          <w:tcPr>
            <w:tcW w:type="dxa" w:w="2340"/>
          </w:tcPr>
          <w:p>
            <w:pPr>
              <w:spacing w:after="60"/>
            </w:pPr>
            <w:r>
              <w:rPr>
                <w:b w:val="false"/>
                <w:bCs w:val="false"/>
                <w:sz w:val="20"/>
                <w:szCs w:val="20"/>
              </w:rPr>
              <w:t xml:space="preserve">$3,000 USD</w:t>
            </w:r>
          </w:p>
        </w:tc>
        <w:tc>
          <w:tcPr>
            <w:tcW w:type="dxa" w:w="2340"/>
          </w:tcPr>
          <w:p>
            <w:pPr>
              <w:spacing w:after="60"/>
            </w:pPr>
            <w:r>
              <w:rPr>
                <w:b w:val="false"/>
                <w:bCs w:val="false"/>
                <w:sz w:val="20"/>
                <w:szCs w:val="20"/>
              </w:rPr>
              <w:t xml:space="preserve">Over $1,000</w:t>
            </w:r>
          </w:p>
        </w:tc>
        <w:tc>
          <w:tcPr>
            <w:tcW w:type="dxa" w:w="2340"/>
          </w:tcPr>
          <w:p>
            <w:pPr>
              <w:spacing w:after="60"/>
            </w:pPr>
            <w:r>
              <w:rPr>
                <w:b w:val="false"/>
                <w:bCs w:val="false"/>
                <w:sz w:val="20"/>
                <w:szCs w:val="20"/>
              </w:rPr>
              <w:t xml:space="preserve">Above + leadership programs</w:t>
            </w:r>
          </w:p>
        </w:tc>
      </w:tr>
      <w:tr>
        <w:tc>
          <w:tcPr>
            <w:tcW w:type="dxa" w:w="2340"/>
          </w:tcPr>
          <w:p>
            <w:pPr>
              <w:spacing w:after="60"/>
            </w:pPr>
            <w:r>
              <w:rPr>
                <w:b w:val="false"/>
                <w:bCs w:val="false"/>
                <w:sz w:val="20"/>
                <w:szCs w:val="20"/>
              </w:rPr>
              <w:t xml:space="preserve">Director / Senior Director (M3–M4)</w:t>
            </w:r>
          </w:p>
        </w:tc>
        <w:tc>
          <w:tcPr>
            <w:tcW w:type="dxa" w:w="2340"/>
          </w:tcPr>
          <w:p>
            <w:pPr>
              <w:spacing w:after="60"/>
            </w:pPr>
            <w:r>
              <w:rPr>
                <w:b w:val="false"/>
                <w:bCs w:val="false"/>
                <w:sz w:val="20"/>
                <w:szCs w:val="20"/>
              </w:rPr>
              <w:t xml:space="preserve">$4,000 USD</w:t>
            </w:r>
          </w:p>
        </w:tc>
        <w:tc>
          <w:tcPr>
            <w:tcW w:type="dxa" w:w="2340"/>
          </w:tcPr>
          <w:p>
            <w:pPr>
              <w:spacing w:after="60"/>
            </w:pPr>
            <w:r>
              <w:rPr>
                <w:b w:val="false"/>
                <w:bCs w:val="false"/>
                <w:sz w:val="20"/>
                <w:szCs w:val="20"/>
              </w:rPr>
              <w:t xml:space="preserve">Over $1,500</w:t>
            </w:r>
          </w:p>
        </w:tc>
        <w:tc>
          <w:tcPr>
            <w:tcW w:type="dxa" w:w="2340"/>
          </w:tcPr>
          <w:p>
            <w:pPr>
              <w:spacing w:after="60"/>
            </w:pPr>
            <w:r>
              <w:rPr>
                <w:b w:val="false"/>
                <w:bCs w:val="false"/>
                <w:sz w:val="20"/>
                <w:szCs w:val="20"/>
              </w:rPr>
              <w:t xml:space="preserve">Above + external MBA modules</w:t>
            </w:r>
          </w:p>
        </w:tc>
      </w:tr>
      <w:tr>
        <w:tc>
          <w:tcPr>
            <w:tcW w:type="dxa" w:w="2340"/>
          </w:tcPr>
          <w:p>
            <w:pPr>
              <w:spacing w:after="60"/>
            </w:pPr>
            <w:r>
              <w:rPr>
                <w:b w:val="false"/>
                <w:bCs w:val="false"/>
                <w:sz w:val="20"/>
                <w:szCs w:val="20"/>
              </w:rPr>
              <w:t xml:space="preserve">VP and Above</w:t>
            </w:r>
          </w:p>
        </w:tc>
        <w:tc>
          <w:tcPr>
            <w:tcW w:type="dxa" w:w="2340"/>
          </w:tcPr>
          <w:p>
            <w:pPr>
              <w:spacing w:after="60"/>
            </w:pPr>
            <w:r>
              <w:rPr>
                <w:b w:val="false"/>
                <w:bCs w:val="false"/>
                <w:sz w:val="20"/>
                <w:szCs w:val="20"/>
              </w:rPr>
              <w:t xml:space="preserve">$6,000 USD</w:t>
            </w:r>
          </w:p>
        </w:tc>
        <w:tc>
          <w:tcPr>
            <w:tcW w:type="dxa" w:w="2340"/>
          </w:tcPr>
          <w:p>
            <w:pPr>
              <w:spacing w:after="60"/>
            </w:pPr>
            <w:r>
              <w:rPr>
                <w:b w:val="false"/>
                <w:bCs w:val="false"/>
                <w:sz w:val="20"/>
                <w:szCs w:val="20"/>
              </w:rPr>
              <w:t xml:space="preserve">No cap (CPO approval)</w:t>
            </w:r>
          </w:p>
        </w:tc>
        <w:tc>
          <w:tcPr>
            <w:tcW w:type="dxa" w:w="2340"/>
          </w:tcPr>
          <w:p>
            <w:pPr>
              <w:spacing w:after="60"/>
            </w:pPr>
            <w:r>
              <w:rPr>
                <w:b w:val="false"/>
                <w:bCs w:val="false"/>
                <w:sz w:val="20"/>
                <w:szCs w:val="20"/>
              </w:rPr>
              <w:t xml:space="preserve">Above + board advisory programs</w:t>
            </w:r>
          </w:p>
        </w:tc>
      </w:tr>
    </w:tbl>
    <w:p>
      <w:pPr>
        <w:spacing w:after="100"/>
      </w:pPr>
      <w:r>
        <w:t xml:space="preserve"/>
      </w:r>
    </w:p>
    <w:p>
      <w:pPr>
        <w:spacing w:after="120" w:line="276"/>
      </w:pPr>
      <w:r>
        <w:rPr>
          <w:sz w:val="22"/>
          <w:szCs w:val="22"/>
        </w:rPr>
        <w:t xml:space="preserve">Learning budget is managed through the L&amp;D Portal (learn.optiagent.com) and is available for reimbursement on a submit-and-reimburse basis. Prepayment can be arranged for courses over $300 — contact talent@optiagent.com. Unused budget does not carry forward to the next calendar year.</w:t>
      </w:r>
    </w:p>
    <w:p>
      <w:pPr>
        <w:pStyle w:val="Heading2"/>
        <w:spacing w:after="150" w:before="300"/>
      </w:pPr>
      <w:r>
        <w:t xml:space="preserve">11.3 Learning Pathways</w:t>
      </w:r>
    </w:p>
    <w:p>
      <w:pPr>
        <w:spacing w:after="120" w:line="276"/>
      </w:pPr>
      <w:r>
        <w:rPr>
          <w:sz w:val="22"/>
          <w:szCs w:val="22"/>
        </w:rPr>
        <w:t xml:space="preserve">The L&amp;D team maintains curated learning pathways aligned to each job family and level. Pathways are available on the L&amp;D Portal and include:</w:t>
      </w:r>
    </w:p>
    <w:p>
      <w:pPr>
        <w:pStyle w:val="ListParagraph"/>
        <w:numPr>
          <w:ilvl w:val="0"/>
          <w:numId w:val="1"/>
        </w:numPr>
        <w:spacing w:after="80"/>
      </w:pPr>
      <w:r>
        <w:rPr>
          <w:sz w:val="22"/>
          <w:szCs w:val="22"/>
        </w:rPr>
        <w:t xml:space="preserve">Technical Pathways: Software Engineering, Data Science, MLOps, Security Engineering, Cloud Architecture, Product Management</w:t>
      </w:r>
    </w:p>
    <w:p>
      <w:pPr>
        <w:pStyle w:val="ListParagraph"/>
        <w:numPr>
          <w:ilvl w:val="0"/>
          <w:numId w:val="1"/>
        </w:numPr>
        <w:spacing w:after="80"/>
      </w:pPr>
      <w:r>
        <w:rPr>
          <w:sz w:val="22"/>
          <w:szCs w:val="22"/>
        </w:rPr>
        <w:t xml:space="preserve">Leadership Pathways: First-Time Manager (FTM) Program, Leading at Scale (Director+), Executive Presence Coaching</w:t>
      </w:r>
    </w:p>
    <w:p>
      <w:pPr>
        <w:pStyle w:val="ListParagraph"/>
        <w:numPr>
          <w:ilvl w:val="0"/>
          <w:numId w:val="1"/>
        </w:numPr>
        <w:spacing w:after="80"/>
      </w:pPr>
      <w:r>
        <w:rPr>
          <w:sz w:val="22"/>
          <w:szCs w:val="22"/>
        </w:rPr>
        <w:t xml:space="preserve">Professional Skills Pathways: Communication, Project Management, Data Analysis, Customer Engagement</w:t>
      </w:r>
    </w:p>
    <w:p>
      <w:pPr>
        <w:pStyle w:val="ListParagraph"/>
        <w:numPr>
          <w:ilvl w:val="0"/>
          <w:numId w:val="1"/>
        </w:numPr>
        <w:spacing w:after="80"/>
      </w:pPr>
      <w:r>
        <w:rPr>
          <w:sz w:val="22"/>
          <w:szCs w:val="22"/>
        </w:rPr>
        <w:t xml:space="preserve">AI Literacy Pathway: Mandatory for all employees; covers AI fundamentals, responsible AI, and OptiAgent product knowledge</w:t>
      </w:r>
    </w:p>
    <w:p>
      <w:pPr>
        <w:pStyle w:val="Heading2"/>
        <w:spacing w:after="150" w:before="300"/>
      </w:pPr>
      <w:r>
        <w:t xml:space="preserve">11.4 Internal Learning Programs</w:t>
      </w:r>
    </w:p>
    <w:p>
      <w:pPr>
        <w:pStyle w:val="ListParagraph"/>
        <w:numPr>
          <w:ilvl w:val="0"/>
          <w:numId w:val="1"/>
        </w:numPr>
        <w:spacing w:after="80"/>
      </w:pPr>
      <w:r>
        <w:rPr>
          <w:sz w:val="22"/>
          <w:szCs w:val="22"/>
        </w:rPr>
        <w:t xml:space="preserve">OptiAgent Academy: Internal online learning platform with 2,000+ courses in partnership with LinkedIn Learning, Coursera, and O'Reilly</w:t>
      </w:r>
    </w:p>
    <w:p>
      <w:pPr>
        <w:pStyle w:val="ListParagraph"/>
        <w:numPr>
          <w:ilvl w:val="0"/>
          <w:numId w:val="1"/>
        </w:numPr>
        <w:spacing w:after="80"/>
      </w:pPr>
      <w:r>
        <w:rPr>
          <w:sz w:val="22"/>
          <w:szCs w:val="22"/>
        </w:rPr>
        <w:t xml:space="preserve">Engineering Guild: Weekly internal tech talks, hosted by engineers for engineers; recordings available on Confluence</w:t>
      </w:r>
    </w:p>
    <w:p>
      <w:pPr>
        <w:pStyle w:val="ListParagraph"/>
        <w:numPr>
          <w:ilvl w:val="0"/>
          <w:numId w:val="1"/>
        </w:numPr>
        <w:spacing w:after="80"/>
      </w:pPr>
      <w:r>
        <w:rPr>
          <w:sz w:val="22"/>
          <w:szCs w:val="22"/>
        </w:rPr>
        <w:t xml:space="preserve">Lunch &amp; Learn Series: Bi-weekly cross-functional knowledge sharing sessions; anyone can submit a topic</w:t>
      </w:r>
    </w:p>
    <w:p>
      <w:pPr>
        <w:pStyle w:val="ListParagraph"/>
        <w:numPr>
          <w:ilvl w:val="0"/>
          <w:numId w:val="1"/>
        </w:numPr>
        <w:spacing w:after="80"/>
      </w:pPr>
      <w:r>
        <w:rPr>
          <w:sz w:val="22"/>
          <w:szCs w:val="22"/>
        </w:rPr>
        <w:t xml:space="preserve">Mentorship Program: 6-month structured mentorship pairing; applications open in January and July each year</w:t>
      </w:r>
    </w:p>
    <w:p>
      <w:pPr>
        <w:pStyle w:val="ListParagraph"/>
        <w:numPr>
          <w:ilvl w:val="0"/>
          <w:numId w:val="1"/>
        </w:numPr>
        <w:spacing w:after="80"/>
      </w:pPr>
      <w:r>
        <w:rPr>
          <w:sz w:val="22"/>
          <w:szCs w:val="22"/>
        </w:rPr>
        <w:t xml:space="preserve">Shadowing Program: Employees can shadow colleagues in other functions for 1–3 days to broaden understanding</w:t>
      </w:r>
    </w:p>
    <w:p>
      <w:pPr>
        <w:pStyle w:val="Heading2"/>
        <w:spacing w:after="150" w:before="300"/>
      </w:pPr>
      <w:r>
        <w:t xml:space="preserve">11.5 Certification Support</w:t>
      </w:r>
    </w:p>
    <w:p>
      <w:pPr>
        <w:spacing w:after="120" w:line="276"/>
      </w:pPr>
      <w:r>
        <w:rPr>
          <w:sz w:val="22"/>
          <w:szCs w:val="22"/>
        </w:rPr>
        <w:t xml:space="preserve">OptiAgent Technologies actively supports employees in obtaining industry certifications relevant to their role. For certifications with approved exam fees, OptiAgent covers the full cost of the first attempt. If the employee fails, the second attempt fee is split 50/50 between OptiAgent and the employee. Approved certification categories include:</w:t>
      </w:r>
    </w:p>
    <w:p>
      <w:pPr>
        <w:pStyle w:val="ListParagraph"/>
        <w:numPr>
          <w:ilvl w:val="0"/>
          <w:numId w:val="1"/>
        </w:numPr>
        <w:spacing w:after="80"/>
      </w:pPr>
      <w:r>
        <w:rPr>
          <w:sz w:val="22"/>
          <w:szCs w:val="22"/>
        </w:rPr>
        <w:t xml:space="preserve">Cloud: AWS, Azure, GCP Professional and Associate levels</w:t>
      </w:r>
    </w:p>
    <w:p>
      <w:pPr>
        <w:pStyle w:val="ListParagraph"/>
        <w:numPr>
          <w:ilvl w:val="0"/>
          <w:numId w:val="1"/>
        </w:numPr>
        <w:spacing w:after="80"/>
      </w:pPr>
      <w:r>
        <w:rPr>
          <w:sz w:val="22"/>
          <w:szCs w:val="22"/>
        </w:rPr>
        <w:t xml:space="preserve">Security: CISSP, CEH, CompTIA Security+, OSCP</w:t>
      </w:r>
    </w:p>
    <w:p>
      <w:pPr>
        <w:pStyle w:val="ListParagraph"/>
        <w:numPr>
          <w:ilvl w:val="0"/>
          <w:numId w:val="1"/>
        </w:numPr>
        <w:spacing w:after="80"/>
      </w:pPr>
      <w:r>
        <w:rPr>
          <w:sz w:val="22"/>
          <w:szCs w:val="22"/>
        </w:rPr>
        <w:t xml:space="preserve">Project Management: PMP, CAPM, Agile/SAFe certifications</w:t>
      </w:r>
    </w:p>
    <w:p>
      <w:pPr>
        <w:pStyle w:val="ListParagraph"/>
        <w:numPr>
          <w:ilvl w:val="0"/>
          <w:numId w:val="1"/>
        </w:numPr>
        <w:spacing w:after="80"/>
      </w:pPr>
      <w:r>
        <w:rPr>
          <w:sz w:val="22"/>
          <w:szCs w:val="22"/>
        </w:rPr>
        <w:t xml:space="preserve">Data: Databricks Certified, Snowflake SnowPro, dbt Analytics</w:t>
      </w:r>
    </w:p>
    <w:p>
      <w:pPr>
        <w:pStyle w:val="ListParagraph"/>
        <w:numPr>
          <w:ilvl w:val="0"/>
          <w:numId w:val="1"/>
        </w:numPr>
        <w:spacing w:after="80"/>
      </w:pPr>
      <w:r>
        <w:rPr>
          <w:sz w:val="22"/>
          <w:szCs w:val="22"/>
        </w:rPr>
        <w:t xml:space="preserve">AI/ML: Google Professional ML Engineer, AWS ML Specialty, Hugging Face certifications</w:t>
      </w:r>
    </w:p>
    <w:p>
      <w:r>
        <w:br w:type="page"/>
      </w:r>
    </w:p>
    <w:p>
      <w:pPr>
        <w:pStyle w:val="Heading1"/>
        <w:spacing w:after="200" w:before="400"/>
      </w:pPr>
      <w:r>
        <w:t xml:space="preserve">Chapter 12: Career Growth &amp; Promotions</w:t>
      </w:r>
    </w:p>
    <w:p>
      <w:pPr>
        <w:pStyle w:val="Heading2"/>
        <w:spacing w:after="150" w:before="300"/>
      </w:pPr>
      <w:r>
        <w:t xml:space="preserve">12.1 Career Levels</w:t>
      </w:r>
    </w:p>
    <w:p>
      <w:pPr>
        <w:spacing w:after="120" w:line="276"/>
      </w:pPr>
      <w:r>
        <w:rPr>
          <w:sz w:val="22"/>
          <w:szCs w:val="22"/>
        </w:rPr>
        <w:t xml:space="preserve">OptiAgent Technologies uses a standardized career level framework across all functions. This ensures clarity, consistency, and fairness in career progression. Detailed salary bands for each level are defined in the Salary Grades document (Document ID: HR-SG-001), Sheet 1 — Salary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Track</w:t>
            </w:r>
          </w:p>
        </w:tc>
        <w:tc>
          <w:tcPr>
            <w:tcW w:type="dxa" w:w="2340"/>
            <w:shd w:fill="1F4E79" w:color="1F4E79" w:val="clear"/>
          </w:tcPr>
          <w:p>
            <w:pPr>
              <w:spacing w:after="60"/>
            </w:pPr>
            <w:r>
              <w:rPr>
                <w:b/>
                <w:bCs/>
                <w:sz w:val="20"/>
                <w:szCs w:val="20"/>
              </w:rPr>
              <w:t xml:space="preserve">Levels</w:t>
            </w:r>
          </w:p>
        </w:tc>
        <w:tc>
          <w:tcPr>
            <w:tcW w:type="dxa" w:w="2340"/>
            <w:shd w:fill="1F4E79" w:color="1F4E79" w:val="clear"/>
          </w:tcPr>
          <w:p>
            <w:pPr>
              <w:spacing w:after="60"/>
            </w:pPr>
            <w:r>
              <w:rPr>
                <w:b/>
                <w:bCs/>
                <w:sz w:val="20"/>
                <w:szCs w:val="20"/>
              </w:rPr>
              <w:t xml:space="preserve">Equivalent Seniority</w:t>
            </w:r>
          </w:p>
        </w:tc>
        <w:tc>
          <w:tcPr>
            <w:tcW w:type="dxa" w:w="2340"/>
            <w:shd w:fill="1F4E79" w:color="1F4E79" w:val="clear"/>
          </w:tcPr>
          <w:p>
            <w:pPr>
              <w:spacing w:after="60"/>
            </w:pPr>
            <w:r>
              <w:rPr>
                <w:b/>
                <w:bCs/>
                <w:sz w:val="20"/>
                <w:szCs w:val="20"/>
              </w:rPr>
              <w:t xml:space="preserve">Example Titles</w:t>
            </w:r>
          </w:p>
        </w:tc>
      </w:tr>
      <w:tr>
        <w:tc>
          <w:tcPr>
            <w:tcW w:type="dxa" w:w="2340"/>
          </w:tcPr>
          <w:p>
            <w:pPr>
              <w:spacing w:after="60"/>
            </w:pPr>
            <w:r>
              <w:rPr>
                <w:b w:val="false"/>
                <w:bCs w:val="false"/>
                <w:sz w:val="20"/>
                <w:szCs w:val="20"/>
              </w:rPr>
              <w:t xml:space="preserve">Individual Contributor</w:t>
            </w:r>
          </w:p>
        </w:tc>
        <w:tc>
          <w:tcPr>
            <w:tcW w:type="dxa" w:w="2340"/>
          </w:tcPr>
          <w:p>
            <w:pPr>
              <w:spacing w:after="60"/>
            </w:pPr>
            <w:r>
              <w:rPr>
                <w:b w:val="false"/>
                <w:bCs w:val="false"/>
                <w:sz w:val="20"/>
                <w:szCs w:val="20"/>
              </w:rPr>
              <w:t xml:space="preserve">L1–L6</w:t>
            </w:r>
          </w:p>
        </w:tc>
        <w:tc>
          <w:tcPr>
            <w:tcW w:type="dxa" w:w="2340"/>
          </w:tcPr>
          <w:p>
            <w:pPr>
              <w:spacing w:after="60"/>
            </w:pPr>
            <w:r>
              <w:rPr>
                <w:b w:val="false"/>
                <w:bCs w:val="false"/>
                <w:sz w:val="20"/>
                <w:szCs w:val="20"/>
              </w:rPr>
              <w:t xml:space="preserve">L1=Entry, L3=Mid, L5=Staff, L6=Principal</w:t>
            </w:r>
          </w:p>
        </w:tc>
        <w:tc>
          <w:tcPr>
            <w:tcW w:type="dxa" w:w="2340"/>
          </w:tcPr>
          <w:p>
            <w:pPr>
              <w:spacing w:after="60"/>
            </w:pPr>
            <w:r>
              <w:rPr>
                <w:b w:val="false"/>
                <w:bCs w:val="false"/>
                <w:sz w:val="20"/>
                <w:szCs w:val="20"/>
              </w:rPr>
              <w:t xml:space="preserve">Engineer I → Principal Engineer</w:t>
            </w:r>
          </w:p>
        </w:tc>
      </w:tr>
      <w:tr>
        <w:tc>
          <w:tcPr>
            <w:tcW w:type="dxa" w:w="2340"/>
          </w:tcPr>
          <w:p>
            <w:pPr>
              <w:spacing w:after="60"/>
            </w:pPr>
            <w:r>
              <w:rPr>
                <w:b w:val="false"/>
                <w:bCs w:val="false"/>
                <w:sz w:val="20"/>
                <w:szCs w:val="20"/>
              </w:rPr>
              <w:t xml:space="preserve">People Manager</w:t>
            </w:r>
          </w:p>
        </w:tc>
        <w:tc>
          <w:tcPr>
            <w:tcW w:type="dxa" w:w="2340"/>
          </w:tcPr>
          <w:p>
            <w:pPr>
              <w:spacing w:after="60"/>
            </w:pPr>
            <w:r>
              <w:rPr>
                <w:b w:val="false"/>
                <w:bCs w:val="false"/>
                <w:sz w:val="20"/>
                <w:szCs w:val="20"/>
              </w:rPr>
              <w:t xml:space="preserve">M1–M5</w:t>
            </w:r>
          </w:p>
        </w:tc>
        <w:tc>
          <w:tcPr>
            <w:tcW w:type="dxa" w:w="2340"/>
          </w:tcPr>
          <w:p>
            <w:pPr>
              <w:spacing w:after="60"/>
            </w:pPr>
            <w:r>
              <w:rPr>
                <w:b w:val="false"/>
                <w:bCs w:val="false"/>
                <w:sz w:val="20"/>
                <w:szCs w:val="20"/>
              </w:rPr>
              <w:t xml:space="preserve">M1=Team Lead/Manager, M3=Director, M5=C-Suite</w:t>
            </w:r>
          </w:p>
        </w:tc>
        <w:tc>
          <w:tcPr>
            <w:tcW w:type="dxa" w:w="2340"/>
          </w:tcPr>
          <w:p>
            <w:pPr>
              <w:spacing w:after="60"/>
            </w:pPr>
            <w:r>
              <w:rPr>
                <w:b w:val="false"/>
                <w:bCs w:val="false"/>
                <w:sz w:val="20"/>
                <w:szCs w:val="20"/>
              </w:rPr>
              <w:t xml:space="preserve">Engineering Manager → CTO</w:t>
            </w:r>
          </w:p>
        </w:tc>
      </w:tr>
      <w:tr>
        <w:tc>
          <w:tcPr>
            <w:tcW w:type="dxa" w:w="2340"/>
          </w:tcPr>
          <w:p>
            <w:pPr>
              <w:spacing w:after="60"/>
            </w:pPr>
            <w:r>
              <w:rPr>
                <w:b w:val="false"/>
                <w:bCs w:val="false"/>
                <w:sz w:val="20"/>
                <w:szCs w:val="20"/>
              </w:rPr>
              <w:t xml:space="preserve">Technical Specialist</w:t>
            </w:r>
          </w:p>
        </w:tc>
        <w:tc>
          <w:tcPr>
            <w:tcW w:type="dxa" w:w="2340"/>
          </w:tcPr>
          <w:p>
            <w:pPr>
              <w:spacing w:after="60"/>
            </w:pPr>
            <w:r>
              <w:rPr>
                <w:b w:val="false"/>
                <w:bCs w:val="false"/>
                <w:sz w:val="20"/>
                <w:szCs w:val="20"/>
              </w:rPr>
              <w:t xml:space="preserve">T1–T4</w:t>
            </w:r>
          </w:p>
        </w:tc>
        <w:tc>
          <w:tcPr>
            <w:tcW w:type="dxa" w:w="2340"/>
          </w:tcPr>
          <w:p>
            <w:pPr>
              <w:spacing w:after="60"/>
            </w:pPr>
            <w:r>
              <w:rPr>
                <w:b w:val="false"/>
                <w:bCs w:val="false"/>
                <w:sz w:val="20"/>
                <w:szCs w:val="20"/>
              </w:rPr>
              <w:t xml:space="preserve">T1=Senior Specialist, T4=Distinguished Engineer</w:t>
            </w:r>
          </w:p>
        </w:tc>
        <w:tc>
          <w:tcPr>
            <w:tcW w:type="dxa" w:w="2340"/>
          </w:tcPr>
          <w:p>
            <w:pPr>
              <w:spacing w:after="60"/>
            </w:pPr>
            <w:r>
              <w:rPr>
                <w:b w:val="false"/>
                <w:bCs w:val="false"/>
                <w:sz w:val="20"/>
                <w:szCs w:val="20"/>
              </w:rPr>
              <w:t xml:space="preserve">Senior Architect → Distinguished Architect</w:t>
            </w:r>
          </w:p>
        </w:tc>
      </w:tr>
      <w:tr>
        <w:tc>
          <w:tcPr>
            <w:tcW w:type="dxa" w:w="2340"/>
          </w:tcPr>
          <w:p>
            <w:pPr>
              <w:spacing w:after="60"/>
            </w:pPr>
            <w:r>
              <w:rPr>
                <w:b w:val="false"/>
                <w:bCs w:val="false"/>
                <w:sz w:val="20"/>
                <w:szCs w:val="20"/>
              </w:rPr>
              <w:t xml:space="preserve">Executive</w:t>
            </w:r>
          </w:p>
        </w:tc>
        <w:tc>
          <w:tcPr>
            <w:tcW w:type="dxa" w:w="2340"/>
          </w:tcPr>
          <w:p>
            <w:pPr>
              <w:spacing w:after="60"/>
            </w:pPr>
            <w:r>
              <w:rPr>
                <w:b w:val="false"/>
                <w:bCs w:val="false"/>
                <w:sz w:val="20"/>
                <w:szCs w:val="20"/>
              </w:rPr>
              <w:t xml:space="preserve">E1–E3</w:t>
            </w:r>
          </w:p>
        </w:tc>
        <w:tc>
          <w:tcPr>
            <w:tcW w:type="dxa" w:w="2340"/>
          </w:tcPr>
          <w:p>
            <w:pPr>
              <w:spacing w:after="60"/>
            </w:pPr>
            <w:r>
              <w:rPr>
                <w:b w:val="false"/>
                <w:bCs w:val="false"/>
                <w:sz w:val="20"/>
                <w:szCs w:val="20"/>
              </w:rPr>
              <w:t xml:space="preserve">E1=VP, E2=SVP, E3=EVP/C-Suite</w:t>
            </w:r>
          </w:p>
        </w:tc>
        <w:tc>
          <w:tcPr>
            <w:tcW w:type="dxa" w:w="2340"/>
          </w:tcPr>
          <w:p>
            <w:pPr>
              <w:spacing w:after="60"/>
            </w:pPr>
            <w:r>
              <w:rPr>
                <w:b w:val="false"/>
                <w:bCs w:val="false"/>
                <w:sz w:val="20"/>
                <w:szCs w:val="20"/>
              </w:rPr>
              <w:t xml:space="preserve">VP Engineering → CTO</w:t>
            </w:r>
          </w:p>
        </w:tc>
      </w:tr>
    </w:tbl>
    <w:p>
      <w:pPr>
        <w:spacing w:after="100"/>
      </w:pPr>
      <w:r>
        <w:t xml:space="preserve"/>
      </w:r>
    </w:p>
    <w:p>
      <w:pPr>
        <w:pStyle w:val="Heading2"/>
        <w:spacing w:after="150" w:before="300"/>
      </w:pPr>
      <w:r>
        <w:t xml:space="preserve">12.2 Promotion Criteria</w:t>
      </w:r>
    </w:p>
    <w:p>
      <w:pPr>
        <w:spacing w:after="120" w:line="276"/>
      </w:pPr>
      <w:r>
        <w:rPr>
          <w:sz w:val="22"/>
          <w:szCs w:val="22"/>
        </w:rPr>
        <w:t xml:space="preserve">Promotions at OptiAgent Technologies are based on demonstrated performance and readiness, not tenure. Being ready for promotion means the employee is already performing consistently at the next level before the promotion is awarded.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color="1F4E79" w:val="clear"/>
          </w:tcPr>
          <w:p>
            <w:pPr>
              <w:spacing w:after="60"/>
            </w:pPr>
            <w:r>
              <w:rPr>
                <w:b/>
                <w:bCs/>
                <w:sz w:val="20"/>
                <w:szCs w:val="20"/>
              </w:rPr>
              <w:t xml:space="preserve">From → To</w:t>
            </w:r>
          </w:p>
        </w:tc>
        <w:tc>
          <w:tcPr>
            <w:tcW w:type="dxa" w:w="1872"/>
            <w:shd w:fill="1F4E79" w:color="1F4E79" w:val="clear"/>
          </w:tcPr>
          <w:p>
            <w:pPr>
              <w:spacing w:after="60"/>
            </w:pPr>
            <w:r>
              <w:rPr>
                <w:b/>
                <w:bCs/>
                <w:sz w:val="20"/>
                <w:szCs w:val="20"/>
              </w:rPr>
              <w:t xml:space="preserve">Minimum Time in Grade</w:t>
            </w:r>
          </w:p>
        </w:tc>
        <w:tc>
          <w:tcPr>
            <w:tcW w:type="dxa" w:w="1872"/>
            <w:shd w:fill="1F4E79" w:color="1F4E79" w:val="clear"/>
          </w:tcPr>
          <w:p>
            <w:pPr>
              <w:spacing w:after="60"/>
            </w:pPr>
            <w:r>
              <w:rPr>
                <w:b/>
                <w:bCs/>
                <w:sz w:val="20"/>
                <w:szCs w:val="20"/>
              </w:rPr>
              <w:t xml:space="preserve">Min. Performance Rating (Last Review)</w:t>
            </w:r>
          </w:p>
        </w:tc>
        <w:tc>
          <w:tcPr>
            <w:tcW w:type="dxa" w:w="1872"/>
            <w:shd w:fill="1F4E79" w:color="1F4E79" w:val="clear"/>
          </w:tcPr>
          <w:p>
            <w:pPr>
              <w:spacing w:after="60"/>
            </w:pPr>
            <w:r>
              <w:rPr>
                <w:b/>
                <w:bCs/>
                <w:sz w:val="20"/>
                <w:szCs w:val="20"/>
              </w:rPr>
              <w:t xml:space="preserve">Manager Sponsorship Required</w:t>
            </w:r>
          </w:p>
        </w:tc>
        <w:tc>
          <w:tcPr>
            <w:tcW w:type="dxa" w:w="1872"/>
            <w:shd w:fill="1F4E79" w:color="1F4E79" w:val="clear"/>
          </w:tcPr>
          <w:p>
            <w:pPr>
              <w:spacing w:after="60"/>
            </w:pPr>
            <w:r>
              <w:rPr>
                <w:b/>
                <w:bCs/>
                <w:sz w:val="20"/>
                <w:szCs w:val="20"/>
              </w:rPr>
              <w:t xml:space="preserve">HRBP Review Required</w:t>
            </w:r>
          </w:p>
        </w:tc>
      </w:tr>
      <w:tr>
        <w:tc>
          <w:tcPr>
            <w:tcW w:type="dxa" w:w="1872"/>
          </w:tcPr>
          <w:p>
            <w:pPr>
              <w:spacing w:after="60"/>
            </w:pPr>
            <w:r>
              <w:rPr>
                <w:b w:val="false"/>
                <w:bCs w:val="false"/>
                <w:sz w:val="20"/>
                <w:szCs w:val="20"/>
              </w:rPr>
              <w:t xml:space="preserve">L1 → L2</w:t>
            </w:r>
          </w:p>
        </w:tc>
        <w:tc>
          <w:tcPr>
            <w:tcW w:type="dxa" w:w="1872"/>
          </w:tcPr>
          <w:p>
            <w:pPr>
              <w:spacing w:after="60"/>
            </w:pPr>
            <w:r>
              <w:rPr>
                <w:b w:val="false"/>
                <w:bCs w:val="false"/>
                <w:sz w:val="20"/>
                <w:szCs w:val="20"/>
              </w:rPr>
              <w:t xml:space="preserve">12 months</w:t>
            </w:r>
          </w:p>
        </w:tc>
        <w:tc>
          <w:tcPr>
            <w:tcW w:type="dxa" w:w="1872"/>
          </w:tcPr>
          <w:p>
            <w:pPr>
              <w:spacing w:after="60"/>
            </w:pPr>
            <w:r>
              <w:rPr>
                <w:b w:val="false"/>
                <w:bCs w:val="false"/>
                <w:sz w:val="20"/>
                <w:szCs w:val="20"/>
              </w:rPr>
              <w:t xml:space="preserve">Meets Expectations (3)</w:t>
            </w:r>
          </w:p>
        </w:tc>
        <w:tc>
          <w:tcPr>
            <w:tcW w:type="dxa" w:w="1872"/>
          </w:tcPr>
          <w:p>
            <w:pPr>
              <w:spacing w:after="60"/>
            </w:pPr>
            <w:r>
              <w:rPr>
                <w:b w:val="false"/>
                <w:bCs w:val="false"/>
                <w:sz w:val="20"/>
                <w:szCs w:val="20"/>
              </w:rPr>
              <w:t xml:space="preserve">Yes</w:t>
            </w:r>
          </w:p>
        </w:tc>
        <w:tc>
          <w:tcPr>
            <w:tcW w:type="dxa" w:w="1872"/>
          </w:tcPr>
          <w:p>
            <w:pPr>
              <w:spacing w:after="60"/>
            </w:pPr>
            <w:r>
              <w:rPr>
                <w:b w:val="false"/>
                <w:bCs w:val="false"/>
                <w:sz w:val="20"/>
                <w:szCs w:val="20"/>
              </w:rPr>
              <w:t xml:space="preserve">No</w:t>
            </w:r>
          </w:p>
        </w:tc>
      </w:tr>
      <w:tr>
        <w:tc>
          <w:tcPr>
            <w:tcW w:type="dxa" w:w="1872"/>
          </w:tcPr>
          <w:p>
            <w:pPr>
              <w:spacing w:after="60"/>
            </w:pPr>
            <w:r>
              <w:rPr>
                <w:b w:val="false"/>
                <w:bCs w:val="false"/>
                <w:sz w:val="20"/>
                <w:szCs w:val="20"/>
              </w:rPr>
              <w:t xml:space="preserve">L2 → L3</w:t>
            </w:r>
          </w:p>
        </w:tc>
        <w:tc>
          <w:tcPr>
            <w:tcW w:type="dxa" w:w="1872"/>
          </w:tcPr>
          <w:p>
            <w:pPr>
              <w:spacing w:after="60"/>
            </w:pPr>
            <w:r>
              <w:rPr>
                <w:b w:val="false"/>
                <w:bCs w:val="false"/>
                <w:sz w:val="20"/>
                <w:szCs w:val="20"/>
              </w:rPr>
              <w:t xml:space="preserve">12 months</w:t>
            </w:r>
          </w:p>
        </w:tc>
        <w:tc>
          <w:tcPr>
            <w:tcW w:type="dxa" w:w="1872"/>
          </w:tcPr>
          <w:p>
            <w:pPr>
              <w:spacing w:after="60"/>
            </w:pPr>
            <w:r>
              <w:rPr>
                <w:b w:val="false"/>
                <w:bCs w:val="false"/>
                <w:sz w:val="20"/>
                <w:szCs w:val="20"/>
              </w:rPr>
              <w:t xml:space="preserve">Meets Expectations (3)</w:t>
            </w:r>
          </w:p>
        </w:tc>
        <w:tc>
          <w:tcPr>
            <w:tcW w:type="dxa" w:w="1872"/>
          </w:tcPr>
          <w:p>
            <w:pPr>
              <w:spacing w:after="60"/>
            </w:pPr>
            <w:r>
              <w:rPr>
                <w:b w:val="false"/>
                <w:bCs w:val="false"/>
                <w:sz w:val="20"/>
                <w:szCs w:val="20"/>
              </w:rPr>
              <w:t xml:space="preserve">Yes</w:t>
            </w:r>
          </w:p>
        </w:tc>
        <w:tc>
          <w:tcPr>
            <w:tcW w:type="dxa" w:w="1872"/>
          </w:tcPr>
          <w:p>
            <w:pPr>
              <w:spacing w:after="60"/>
            </w:pPr>
            <w:r>
              <w:rPr>
                <w:b w:val="false"/>
                <w:bCs w:val="false"/>
                <w:sz w:val="20"/>
                <w:szCs w:val="20"/>
              </w:rPr>
              <w:t xml:space="preserve">No</w:t>
            </w:r>
          </w:p>
        </w:tc>
      </w:tr>
      <w:tr>
        <w:tc>
          <w:tcPr>
            <w:tcW w:type="dxa" w:w="1872"/>
          </w:tcPr>
          <w:p>
            <w:pPr>
              <w:spacing w:after="60"/>
            </w:pPr>
            <w:r>
              <w:rPr>
                <w:b w:val="false"/>
                <w:bCs w:val="false"/>
                <w:sz w:val="20"/>
                <w:szCs w:val="20"/>
              </w:rPr>
              <w:t xml:space="preserve">L3 → L4</w:t>
            </w:r>
          </w:p>
        </w:tc>
        <w:tc>
          <w:tcPr>
            <w:tcW w:type="dxa" w:w="1872"/>
          </w:tcPr>
          <w:p>
            <w:pPr>
              <w:spacing w:after="60"/>
            </w:pPr>
            <w:r>
              <w:rPr>
                <w:b w:val="false"/>
                <w:bCs w:val="false"/>
                <w:sz w:val="20"/>
                <w:szCs w:val="20"/>
              </w:rPr>
              <w:t xml:space="preserve">18 months</w:t>
            </w:r>
          </w:p>
        </w:tc>
        <w:tc>
          <w:tcPr>
            <w:tcW w:type="dxa" w:w="1872"/>
          </w:tcPr>
          <w:p>
            <w:pPr>
              <w:spacing w:after="60"/>
            </w:pPr>
            <w:r>
              <w:rPr>
                <w:b w:val="false"/>
                <w:bCs w:val="false"/>
                <w:sz w:val="20"/>
                <w:szCs w:val="20"/>
              </w:rPr>
              <w:t xml:space="preserve">Exceeds Expectations (4)</w:t>
            </w:r>
          </w:p>
        </w:tc>
        <w:tc>
          <w:tcPr>
            <w:tcW w:type="dxa" w:w="1872"/>
          </w:tcPr>
          <w:p>
            <w:pPr>
              <w:spacing w:after="60"/>
            </w:pPr>
            <w:r>
              <w:rPr>
                <w:b w:val="false"/>
                <w:bCs w:val="false"/>
                <w:sz w:val="20"/>
                <w:szCs w:val="20"/>
              </w:rPr>
              <w:t xml:space="preserve">Yes</w:t>
            </w:r>
          </w:p>
        </w:tc>
        <w:tc>
          <w:tcPr>
            <w:tcW w:type="dxa" w:w="1872"/>
          </w:tcPr>
          <w:p>
            <w:pPr>
              <w:spacing w:after="60"/>
            </w:pPr>
            <w:r>
              <w:rPr>
                <w:b w:val="false"/>
                <w:bCs w:val="false"/>
                <w:sz w:val="20"/>
                <w:szCs w:val="20"/>
              </w:rPr>
              <w:t xml:space="preserve">Yes</w:t>
            </w:r>
          </w:p>
        </w:tc>
      </w:tr>
      <w:tr>
        <w:tc>
          <w:tcPr>
            <w:tcW w:type="dxa" w:w="1872"/>
          </w:tcPr>
          <w:p>
            <w:pPr>
              <w:spacing w:after="60"/>
            </w:pPr>
            <w:r>
              <w:rPr>
                <w:b w:val="false"/>
                <w:bCs w:val="false"/>
                <w:sz w:val="20"/>
                <w:szCs w:val="20"/>
              </w:rPr>
              <w:t xml:space="preserve">L4 → L5</w:t>
            </w:r>
          </w:p>
        </w:tc>
        <w:tc>
          <w:tcPr>
            <w:tcW w:type="dxa" w:w="1872"/>
          </w:tcPr>
          <w:p>
            <w:pPr>
              <w:spacing w:after="60"/>
            </w:pPr>
            <w:r>
              <w:rPr>
                <w:b w:val="false"/>
                <w:bCs w:val="false"/>
                <w:sz w:val="20"/>
                <w:szCs w:val="20"/>
              </w:rPr>
              <w:t xml:space="preserve">18 months</w:t>
            </w:r>
          </w:p>
        </w:tc>
        <w:tc>
          <w:tcPr>
            <w:tcW w:type="dxa" w:w="1872"/>
          </w:tcPr>
          <w:p>
            <w:pPr>
              <w:spacing w:after="60"/>
            </w:pPr>
            <w:r>
              <w:rPr>
                <w:b w:val="false"/>
                <w:bCs w:val="false"/>
                <w:sz w:val="20"/>
                <w:szCs w:val="20"/>
              </w:rPr>
              <w:t xml:space="preserve">Exceeds Expectations (4)</w:t>
            </w:r>
          </w:p>
        </w:tc>
        <w:tc>
          <w:tcPr>
            <w:tcW w:type="dxa" w:w="1872"/>
          </w:tcPr>
          <w:p>
            <w:pPr>
              <w:spacing w:after="60"/>
            </w:pPr>
            <w:r>
              <w:rPr>
                <w:b w:val="false"/>
                <w:bCs w:val="false"/>
                <w:sz w:val="20"/>
                <w:szCs w:val="20"/>
              </w:rPr>
              <w:t xml:space="preserve">Yes</w:t>
            </w:r>
          </w:p>
        </w:tc>
        <w:tc>
          <w:tcPr>
            <w:tcW w:type="dxa" w:w="1872"/>
          </w:tcPr>
          <w:p>
            <w:pPr>
              <w:spacing w:after="60"/>
            </w:pPr>
            <w:r>
              <w:rPr>
                <w:b w:val="false"/>
                <w:bCs w:val="false"/>
                <w:sz w:val="20"/>
                <w:szCs w:val="20"/>
              </w:rPr>
              <w:t xml:space="preserve">Yes</w:t>
            </w:r>
          </w:p>
        </w:tc>
      </w:tr>
      <w:tr>
        <w:tc>
          <w:tcPr>
            <w:tcW w:type="dxa" w:w="1872"/>
          </w:tcPr>
          <w:p>
            <w:pPr>
              <w:spacing w:after="60"/>
            </w:pPr>
            <w:r>
              <w:rPr>
                <w:b w:val="false"/>
                <w:bCs w:val="false"/>
                <w:sz w:val="20"/>
                <w:szCs w:val="20"/>
              </w:rPr>
              <w:t xml:space="preserve">L5 → L6</w:t>
            </w:r>
          </w:p>
        </w:tc>
        <w:tc>
          <w:tcPr>
            <w:tcW w:type="dxa" w:w="1872"/>
          </w:tcPr>
          <w:p>
            <w:pPr>
              <w:spacing w:after="60"/>
            </w:pPr>
            <w:r>
              <w:rPr>
                <w:b w:val="false"/>
                <w:bCs w:val="false"/>
                <w:sz w:val="20"/>
                <w:szCs w:val="20"/>
              </w:rPr>
              <w:t xml:space="preserve">24 months</w:t>
            </w:r>
          </w:p>
        </w:tc>
        <w:tc>
          <w:tcPr>
            <w:tcW w:type="dxa" w:w="1872"/>
          </w:tcPr>
          <w:p>
            <w:pPr>
              <w:spacing w:after="60"/>
            </w:pPr>
            <w:r>
              <w:rPr>
                <w:b w:val="false"/>
                <w:bCs w:val="false"/>
                <w:sz w:val="20"/>
                <w:szCs w:val="20"/>
              </w:rPr>
              <w:t xml:space="preserve">Exceptional (5) in most recent cycle</w:t>
            </w:r>
          </w:p>
        </w:tc>
        <w:tc>
          <w:tcPr>
            <w:tcW w:type="dxa" w:w="1872"/>
          </w:tcPr>
          <w:p>
            <w:pPr>
              <w:spacing w:after="60"/>
            </w:pPr>
            <w:r>
              <w:rPr>
                <w:b w:val="false"/>
                <w:bCs w:val="false"/>
                <w:sz w:val="20"/>
                <w:szCs w:val="20"/>
              </w:rPr>
              <w:t xml:space="preserve">Yes + Director endorsement</w:t>
            </w:r>
          </w:p>
        </w:tc>
        <w:tc>
          <w:tcPr>
            <w:tcW w:type="dxa" w:w="1872"/>
          </w:tcPr>
          <w:p>
            <w:pPr>
              <w:spacing w:after="60"/>
            </w:pPr>
            <w:r>
              <w:rPr>
                <w:b w:val="false"/>
                <w:bCs w:val="false"/>
                <w:sz w:val="20"/>
                <w:szCs w:val="20"/>
              </w:rPr>
              <w:t xml:space="preserve">Yes + CPO review</w:t>
            </w:r>
          </w:p>
        </w:tc>
      </w:tr>
      <w:tr>
        <w:tc>
          <w:tcPr>
            <w:tcW w:type="dxa" w:w="1872"/>
          </w:tcPr>
          <w:p>
            <w:pPr>
              <w:spacing w:after="60"/>
            </w:pPr>
            <w:r>
              <w:rPr>
                <w:b w:val="false"/>
                <w:bCs w:val="false"/>
                <w:sz w:val="20"/>
                <w:szCs w:val="20"/>
              </w:rPr>
              <w:t xml:space="preserve">IC → M1</w:t>
            </w:r>
          </w:p>
        </w:tc>
        <w:tc>
          <w:tcPr>
            <w:tcW w:type="dxa" w:w="1872"/>
          </w:tcPr>
          <w:p>
            <w:pPr>
              <w:spacing w:after="60"/>
            </w:pPr>
            <w:r>
              <w:rPr>
                <w:b w:val="false"/>
                <w:bCs w:val="false"/>
                <w:sz w:val="20"/>
                <w:szCs w:val="20"/>
              </w:rPr>
              <w:t xml:space="preserve">18 months at L4+</w:t>
            </w:r>
          </w:p>
        </w:tc>
        <w:tc>
          <w:tcPr>
            <w:tcW w:type="dxa" w:w="1872"/>
          </w:tcPr>
          <w:p>
            <w:pPr>
              <w:spacing w:after="60"/>
            </w:pPr>
            <w:r>
              <w:rPr>
                <w:b w:val="false"/>
                <w:bCs w:val="false"/>
                <w:sz w:val="20"/>
                <w:szCs w:val="20"/>
              </w:rPr>
              <w:t xml:space="preserve">Exceeds Expectations (4)</w:t>
            </w:r>
          </w:p>
        </w:tc>
        <w:tc>
          <w:tcPr>
            <w:tcW w:type="dxa" w:w="1872"/>
          </w:tcPr>
          <w:p>
            <w:pPr>
              <w:spacing w:after="60"/>
            </w:pPr>
            <w:r>
              <w:rPr>
                <w:b w:val="false"/>
                <w:bCs w:val="false"/>
                <w:sz w:val="20"/>
                <w:szCs w:val="20"/>
              </w:rPr>
              <w:t xml:space="preserve">Yes + skip-level approval</w:t>
            </w:r>
          </w:p>
        </w:tc>
        <w:tc>
          <w:tcPr>
            <w:tcW w:type="dxa" w:w="1872"/>
          </w:tcPr>
          <w:p>
            <w:pPr>
              <w:spacing w:after="60"/>
            </w:pPr>
            <w:r>
              <w:rPr>
                <w:b w:val="false"/>
                <w:bCs w:val="false"/>
                <w:sz w:val="20"/>
                <w:szCs w:val="20"/>
              </w:rPr>
              <w:t xml:space="preserve">Yes</w:t>
            </w:r>
          </w:p>
        </w:tc>
      </w:tr>
    </w:tbl>
    <w:p>
      <w:pPr>
        <w:spacing w:after="100"/>
      </w:pPr>
      <w:r>
        <w:t xml:space="preserve"/>
      </w:r>
    </w:p>
    <w:p>
      <w:pPr>
        <w:spacing w:after="120" w:line="276"/>
      </w:pPr>
      <w:r>
        <w:rPr>
          <w:sz w:val="22"/>
          <w:szCs w:val="22"/>
        </w:rPr>
        <w:t xml:space="preserve">Detailed promotion criteria for all levels, including the Promotion Matrix showing competency requirements by level, are available in the Salary Grades document (Document ID: HR-SG-001), Sheet 3 — Promotion Matrix.</w:t>
      </w:r>
    </w:p>
    <w:p>
      <w:pPr>
        <w:pStyle w:val="Heading2"/>
        <w:spacing w:after="150" w:before="300"/>
      </w:pPr>
      <w:r>
        <w:t xml:space="preserve">12.3 Internal Mobility</w:t>
      </w:r>
    </w:p>
    <w:p>
      <w:pPr>
        <w:spacing w:after="120" w:line="276"/>
      </w:pPr>
      <w:r>
        <w:rPr>
          <w:sz w:val="22"/>
          <w:szCs w:val="22"/>
        </w:rPr>
        <w:t xml:space="preserve">OptiAgent Technologies encourages internal mobility. Employees are eligible to apply for internal job postings after a minimum of 12 months in their current role (6 months for exceptional performers with manager endorsement). To apply:</w:t>
      </w:r>
    </w:p>
    <w:p>
      <w:pPr>
        <w:pStyle w:val="ListParagraph"/>
        <w:numPr>
          <w:ilvl w:val="0"/>
          <w:numId w:val="1"/>
        </w:numPr>
        <w:spacing w:after="80"/>
      </w:pPr>
      <w:r>
        <w:rPr>
          <w:sz w:val="22"/>
          <w:szCs w:val="22"/>
        </w:rPr>
        <w:t xml:space="preserve">Browse open roles on the Internal Jobs Board (Workday &gt; Jobs &gt; Internal Opportunities)</w:t>
      </w:r>
    </w:p>
    <w:p>
      <w:pPr>
        <w:pStyle w:val="ListParagraph"/>
        <w:numPr>
          <w:ilvl w:val="0"/>
          <w:numId w:val="1"/>
        </w:numPr>
        <w:spacing w:after="80"/>
      </w:pPr>
      <w:r>
        <w:rPr>
          <w:sz w:val="22"/>
          <w:szCs w:val="22"/>
        </w:rPr>
        <w:t xml:space="preserve">Notify your current manager before submitting an internal application (this is a courtesy requirement, not a blocking step)</w:t>
      </w:r>
    </w:p>
    <w:p>
      <w:pPr>
        <w:pStyle w:val="ListParagraph"/>
        <w:numPr>
          <w:ilvl w:val="0"/>
          <w:numId w:val="1"/>
        </w:numPr>
        <w:spacing w:after="80"/>
      </w:pPr>
      <w:r>
        <w:rPr>
          <w:sz w:val="22"/>
          <w:szCs w:val="22"/>
        </w:rPr>
        <w:t xml:space="preserve">The hiring manager reviews your application independently of your current performance record</w:t>
      </w:r>
    </w:p>
    <w:p>
      <w:pPr>
        <w:pStyle w:val="ListParagraph"/>
        <w:numPr>
          <w:ilvl w:val="0"/>
          <w:numId w:val="1"/>
        </w:numPr>
        <w:spacing w:after="80"/>
      </w:pPr>
      <w:r>
        <w:rPr>
          <w:sz w:val="22"/>
          <w:szCs w:val="22"/>
        </w:rPr>
        <w:t xml:space="preserve">If selected, a transition period of 4–8 weeks is standard to allow for knowledge transfer</w:t>
      </w:r>
    </w:p>
    <w:p>
      <w:r>
        <w:br w:type="page"/>
      </w:r>
    </w:p>
    <w:p>
      <w:pPr>
        <w:pStyle w:val="Heading1"/>
        <w:spacing w:after="200" w:before="400"/>
      </w:pPr>
      <w:r>
        <w:t xml:space="preserve">Chapter 13: Expense &amp; Travel Policy</w:t>
      </w:r>
    </w:p>
    <w:p>
      <w:pPr>
        <w:pStyle w:val="Heading2"/>
        <w:spacing w:after="150" w:before="300"/>
      </w:pPr>
      <w:r>
        <w:t xml:space="preserve">13.1 Expense Philosophy</w:t>
      </w:r>
    </w:p>
    <w:p>
      <w:pPr>
        <w:spacing w:after="120" w:line="276"/>
      </w:pPr>
      <w:r>
        <w:rPr>
          <w:sz w:val="22"/>
          <w:szCs w:val="22"/>
        </w:rPr>
        <w:t xml:space="preserve">OptiAgent Technologies reimburses employees for reasonable, necessary, and properly documented business expenses. The guiding principle is that employees should not be personally out-of-pocket for legitimate business expenses, but also should not treat company funds as an opportunity for personal enrichment. When in doubt, ask yourself: "Would I be comfortable explaining this expense to my manager and the CFO?"</w:t>
      </w:r>
    </w:p>
    <w:p>
      <w:pPr>
        <w:pStyle w:val="Heading2"/>
        <w:spacing w:after="150" w:before="300"/>
      </w:pPr>
      <w:r>
        <w:t xml:space="preserve">13.2 Expense Submission</w:t>
      </w:r>
    </w:p>
    <w:p>
      <w:pPr>
        <w:spacing w:after="120" w:line="276"/>
      </w:pPr>
      <w:r>
        <w:rPr>
          <w:sz w:val="22"/>
          <w:szCs w:val="22"/>
        </w:rPr>
        <w:t xml:space="preserve">All expenses must be submitted through Workday within 30 calendar days of the expense being incurred. Expenses submitted after 60 days require VP-level approval. Expenses submitted after 90 days will not be reimbursed under any circumstances.</w:t>
      </w:r>
    </w:p>
    <w:p>
      <w:pPr>
        <w:spacing w:after="120" w:line="276"/>
      </w:pPr>
      <w:r>
        <w:rPr>
          <w:sz w:val="22"/>
          <w:szCs w:val="22"/>
        </w:rPr>
        <w:t xml:space="preserve">Required documentation for each expense:</w:t>
      </w:r>
    </w:p>
    <w:p>
      <w:pPr>
        <w:pStyle w:val="ListParagraph"/>
        <w:numPr>
          <w:ilvl w:val="0"/>
          <w:numId w:val="1"/>
        </w:numPr>
        <w:spacing w:after="80"/>
      </w:pPr>
      <w:r>
        <w:rPr>
          <w:sz w:val="22"/>
          <w:szCs w:val="22"/>
        </w:rPr>
        <w:t xml:space="preserve">Original itemized receipt (credit card statement alone is not sufficient)</w:t>
      </w:r>
    </w:p>
    <w:p>
      <w:pPr>
        <w:pStyle w:val="ListParagraph"/>
        <w:numPr>
          <w:ilvl w:val="0"/>
          <w:numId w:val="1"/>
        </w:numPr>
        <w:spacing w:after="80"/>
      </w:pPr>
      <w:r>
        <w:rPr>
          <w:sz w:val="22"/>
          <w:szCs w:val="22"/>
        </w:rPr>
        <w:t xml:space="preserve">Business purpose (who, what, why)</w:t>
      </w:r>
    </w:p>
    <w:p>
      <w:pPr>
        <w:pStyle w:val="ListParagraph"/>
        <w:numPr>
          <w:ilvl w:val="0"/>
          <w:numId w:val="1"/>
        </w:numPr>
        <w:spacing w:after="80"/>
      </w:pPr>
      <w:r>
        <w:rPr>
          <w:sz w:val="22"/>
          <w:szCs w:val="22"/>
        </w:rPr>
        <w:t xml:space="preserve">Names of any guests (for meals and entertainment)</w:t>
      </w:r>
    </w:p>
    <w:p>
      <w:pPr>
        <w:pStyle w:val="ListParagraph"/>
        <w:numPr>
          <w:ilvl w:val="0"/>
          <w:numId w:val="1"/>
        </w:numPr>
        <w:spacing w:after="80"/>
      </w:pPr>
      <w:r>
        <w:rPr>
          <w:sz w:val="22"/>
          <w:szCs w:val="22"/>
        </w:rPr>
        <w:t xml:space="preserve">Cost center or project code</w:t>
      </w:r>
    </w:p>
    <w:p>
      <w:pPr>
        <w:pStyle w:val="Heading2"/>
        <w:spacing w:after="150" w:before="300"/>
      </w:pPr>
      <w:r>
        <w:t xml:space="preserve">13.3 Domestic Travel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color="1F4E79" w:val="clear"/>
          </w:tcPr>
          <w:p>
            <w:pPr>
              <w:spacing w:after="60"/>
            </w:pPr>
            <w:r>
              <w:rPr>
                <w:b/>
                <w:bCs/>
                <w:sz w:val="20"/>
                <w:szCs w:val="20"/>
              </w:rPr>
              <w:t xml:space="preserve">Category</w:t>
            </w:r>
          </w:p>
        </w:tc>
        <w:tc>
          <w:tcPr>
            <w:tcW w:type="dxa" w:w="1560"/>
            <w:shd w:fill="1F4E79" w:color="1F4E79" w:val="clear"/>
          </w:tcPr>
          <w:p>
            <w:pPr>
              <w:spacing w:after="60"/>
            </w:pPr>
            <w:r>
              <w:rPr>
                <w:b/>
                <w:bCs/>
                <w:sz w:val="20"/>
                <w:szCs w:val="20"/>
              </w:rPr>
              <w:t xml:space="preserve">US Standard</w:t>
            </w:r>
          </w:p>
        </w:tc>
        <w:tc>
          <w:tcPr>
            <w:tcW w:type="dxa" w:w="1560"/>
            <w:shd w:fill="1F4E79" w:color="1F4E79" w:val="clear"/>
          </w:tcPr>
          <w:p>
            <w:pPr>
              <w:spacing w:after="60"/>
            </w:pPr>
            <w:r>
              <w:rPr>
                <w:b/>
                <w:bCs/>
                <w:sz w:val="20"/>
                <w:szCs w:val="20"/>
              </w:rPr>
              <w:t xml:space="preserve">UK Standard</w:t>
            </w:r>
          </w:p>
        </w:tc>
        <w:tc>
          <w:tcPr>
            <w:tcW w:type="dxa" w:w="1560"/>
            <w:shd w:fill="1F4E79" w:color="1F4E79" w:val="clear"/>
          </w:tcPr>
          <w:p>
            <w:pPr>
              <w:spacing w:after="60"/>
            </w:pPr>
            <w:r>
              <w:rPr>
                <w:b/>
                <w:bCs/>
                <w:sz w:val="20"/>
                <w:szCs w:val="20"/>
              </w:rPr>
              <w:t xml:space="preserve">India Standard</w:t>
            </w:r>
          </w:p>
        </w:tc>
        <w:tc>
          <w:tcPr>
            <w:tcW w:type="dxa" w:w="1560"/>
            <w:shd w:fill="1F4E79" w:color="1F4E79" w:val="clear"/>
          </w:tcPr>
          <w:p>
            <w:pPr>
              <w:spacing w:after="60"/>
            </w:pPr>
            <w:r>
              <w:rPr>
                <w:b/>
                <w:bCs/>
                <w:sz w:val="20"/>
                <w:szCs w:val="20"/>
              </w:rPr>
              <w:t xml:space="preserve">Germany Standard</w:t>
            </w:r>
          </w:p>
        </w:tc>
        <w:tc>
          <w:tcPr>
            <w:tcW w:type="dxa" w:w="1560"/>
            <w:shd w:fill="1F4E79" w:color="1F4E79" w:val="clear"/>
          </w:tcPr>
          <w:p>
            <w:pPr>
              <w:spacing w:after="60"/>
            </w:pPr>
            <w:r>
              <w:rPr>
                <w:b/>
                <w:bCs/>
                <w:sz w:val="20"/>
                <w:szCs w:val="20"/>
              </w:rPr>
              <w:t xml:space="preserve">Singapore Standard</w:t>
            </w:r>
          </w:p>
        </w:tc>
      </w:tr>
      <w:tr>
        <w:tc>
          <w:tcPr>
            <w:tcW w:type="dxa" w:w="1560"/>
          </w:tcPr>
          <w:p>
            <w:pPr>
              <w:spacing w:after="60"/>
            </w:pPr>
            <w:r>
              <w:rPr>
                <w:b w:val="false"/>
                <w:bCs w:val="false"/>
                <w:sz w:val="20"/>
                <w:szCs w:val="20"/>
              </w:rPr>
              <w:t xml:space="preserve">Economy Airfare</w:t>
            </w:r>
          </w:p>
        </w:tc>
        <w:tc>
          <w:tcPr>
            <w:tcW w:type="dxa" w:w="1560"/>
          </w:tcPr>
          <w:p>
            <w:pPr>
              <w:spacing w:after="60"/>
            </w:pPr>
            <w:r>
              <w:rPr>
                <w:b w:val="false"/>
                <w:bCs w:val="false"/>
                <w:sz w:val="20"/>
                <w:szCs w:val="20"/>
              </w:rPr>
              <w:t xml:space="preserve">Actual cost (book 14 days ahead)</w:t>
            </w:r>
          </w:p>
        </w:tc>
        <w:tc>
          <w:tcPr>
            <w:tcW w:type="dxa" w:w="1560"/>
          </w:tcPr>
          <w:p>
            <w:pPr>
              <w:spacing w:after="60"/>
            </w:pPr>
            <w:r>
              <w:rPr>
                <w:b w:val="false"/>
                <w:bCs w:val="false"/>
                <w:sz w:val="20"/>
                <w:szCs w:val="20"/>
              </w:rPr>
              <w:t xml:space="preserve">Actual cost (book 14 days ahead)</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r>
      <w:tr>
        <w:tc>
          <w:tcPr>
            <w:tcW w:type="dxa" w:w="1560"/>
          </w:tcPr>
          <w:p>
            <w:pPr>
              <w:spacing w:after="60"/>
            </w:pPr>
            <w:r>
              <w:rPr>
                <w:b w:val="false"/>
                <w:bCs w:val="false"/>
                <w:sz w:val="20"/>
                <w:szCs w:val="20"/>
              </w:rPr>
              <w:t xml:space="preserve">Business Class Airfare</w:t>
            </w:r>
          </w:p>
        </w:tc>
        <w:tc>
          <w:tcPr>
            <w:tcW w:type="dxa" w:w="1560"/>
          </w:tcPr>
          <w:p>
            <w:pPr>
              <w:spacing w:after="60"/>
            </w:pPr>
            <w:r>
              <w:rPr>
                <w:b w:val="false"/>
                <w:bCs w:val="false"/>
                <w:sz w:val="20"/>
                <w:szCs w:val="20"/>
              </w:rPr>
              <w:t xml:space="preserve">Flights over 6 hours; Director+</w:t>
            </w:r>
          </w:p>
        </w:tc>
        <w:tc>
          <w:tcPr>
            <w:tcW w:type="dxa" w:w="1560"/>
          </w:tcPr>
          <w:p>
            <w:pPr>
              <w:spacing w:after="60"/>
            </w:pPr>
            <w:r>
              <w:rPr>
                <w:b w:val="false"/>
                <w:bCs w:val="false"/>
                <w:sz w:val="20"/>
                <w:szCs w:val="20"/>
              </w:rPr>
              <w:t xml:space="preserve">Flights over 5 hours; Director+</w:t>
            </w:r>
          </w:p>
        </w:tc>
        <w:tc>
          <w:tcPr>
            <w:tcW w:type="dxa" w:w="1560"/>
          </w:tcPr>
          <w:p>
            <w:pPr>
              <w:spacing w:after="60"/>
            </w:pPr>
            <w:r>
              <w:rPr>
                <w:b w:val="false"/>
                <w:bCs w:val="false"/>
                <w:sz w:val="20"/>
                <w:szCs w:val="20"/>
              </w:rPr>
              <w:t xml:space="preserve">N/A</w:t>
            </w:r>
          </w:p>
        </w:tc>
        <w:tc>
          <w:tcPr>
            <w:tcW w:type="dxa" w:w="1560"/>
          </w:tcPr>
          <w:p>
            <w:pPr>
              <w:spacing w:after="60"/>
            </w:pPr>
            <w:r>
              <w:rPr>
                <w:b w:val="false"/>
                <w:bCs w:val="false"/>
                <w:sz w:val="20"/>
                <w:szCs w:val="20"/>
              </w:rPr>
              <w:t xml:space="preserve">Flights over 5 hours; Director+</w:t>
            </w:r>
          </w:p>
        </w:tc>
        <w:tc>
          <w:tcPr>
            <w:tcW w:type="dxa" w:w="1560"/>
          </w:tcPr>
          <w:p>
            <w:pPr>
              <w:spacing w:after="60"/>
            </w:pPr>
            <w:r>
              <w:rPr>
                <w:b w:val="false"/>
                <w:bCs w:val="false"/>
                <w:sz w:val="20"/>
                <w:szCs w:val="20"/>
              </w:rPr>
              <w:t xml:space="preserve">Flights over 5 hours; Director+</w:t>
            </w:r>
          </w:p>
        </w:tc>
      </w:tr>
      <w:tr>
        <w:tc>
          <w:tcPr>
            <w:tcW w:type="dxa" w:w="1560"/>
          </w:tcPr>
          <w:p>
            <w:pPr>
              <w:spacing w:after="60"/>
            </w:pPr>
            <w:r>
              <w:rPr>
                <w:b w:val="false"/>
                <w:bCs w:val="false"/>
                <w:sz w:val="20"/>
                <w:szCs w:val="20"/>
              </w:rPr>
              <w:t xml:space="preserve">Hotel</w:t>
            </w:r>
          </w:p>
        </w:tc>
        <w:tc>
          <w:tcPr>
            <w:tcW w:type="dxa" w:w="1560"/>
          </w:tcPr>
          <w:p>
            <w:pPr>
              <w:spacing w:after="60"/>
            </w:pPr>
            <w:r>
              <w:rPr>
                <w:b w:val="false"/>
                <w:bCs w:val="false"/>
                <w:sz w:val="20"/>
                <w:szCs w:val="20"/>
              </w:rPr>
              <w:t xml:space="preserve">Up to $250/night</w:t>
            </w:r>
          </w:p>
        </w:tc>
        <w:tc>
          <w:tcPr>
            <w:tcW w:type="dxa" w:w="1560"/>
          </w:tcPr>
          <w:p>
            <w:pPr>
              <w:spacing w:after="60"/>
            </w:pPr>
            <w:r>
              <w:rPr>
                <w:b w:val="false"/>
                <w:bCs w:val="false"/>
                <w:sz w:val="20"/>
                <w:szCs w:val="20"/>
              </w:rPr>
              <w:t xml:space="preserve">Up to £220/night</w:t>
            </w:r>
          </w:p>
        </w:tc>
        <w:tc>
          <w:tcPr>
            <w:tcW w:type="dxa" w:w="1560"/>
          </w:tcPr>
          <w:p>
            <w:pPr>
              <w:spacing w:after="60"/>
            </w:pPr>
            <w:r>
              <w:rPr>
                <w:b w:val="false"/>
                <w:bCs w:val="false"/>
                <w:sz w:val="20"/>
                <w:szCs w:val="20"/>
              </w:rPr>
              <w:t xml:space="preserve">Up to ₹6,500/night</w:t>
            </w:r>
          </w:p>
        </w:tc>
        <w:tc>
          <w:tcPr>
            <w:tcW w:type="dxa" w:w="1560"/>
          </w:tcPr>
          <w:p>
            <w:pPr>
              <w:spacing w:after="60"/>
            </w:pPr>
            <w:r>
              <w:rPr>
                <w:b w:val="false"/>
                <w:bCs w:val="false"/>
                <w:sz w:val="20"/>
                <w:szCs w:val="20"/>
              </w:rPr>
              <w:t xml:space="preserve">Up to €200/night</w:t>
            </w:r>
          </w:p>
        </w:tc>
        <w:tc>
          <w:tcPr>
            <w:tcW w:type="dxa" w:w="1560"/>
          </w:tcPr>
          <w:p>
            <w:pPr>
              <w:spacing w:after="60"/>
            </w:pPr>
            <w:r>
              <w:rPr>
                <w:b w:val="false"/>
                <w:bCs w:val="false"/>
                <w:sz w:val="20"/>
                <w:szCs w:val="20"/>
              </w:rPr>
              <w:t xml:space="preserve">Up to SGD 320/night</w:t>
            </w:r>
          </w:p>
        </w:tc>
      </w:tr>
      <w:tr>
        <w:tc>
          <w:tcPr>
            <w:tcW w:type="dxa" w:w="1560"/>
          </w:tcPr>
          <w:p>
            <w:pPr>
              <w:spacing w:after="60"/>
            </w:pPr>
            <w:r>
              <w:rPr>
                <w:b w:val="false"/>
                <w:bCs w:val="false"/>
                <w:sz w:val="20"/>
                <w:szCs w:val="20"/>
              </w:rPr>
              <w:t xml:space="preserve">Meals (per diem)</w:t>
            </w:r>
          </w:p>
        </w:tc>
        <w:tc>
          <w:tcPr>
            <w:tcW w:type="dxa" w:w="1560"/>
          </w:tcPr>
          <w:p>
            <w:pPr>
              <w:spacing w:after="60"/>
            </w:pPr>
            <w:r>
              <w:rPr>
                <w:b w:val="false"/>
                <w:bCs w:val="false"/>
                <w:sz w:val="20"/>
                <w:szCs w:val="20"/>
              </w:rPr>
              <w:t xml:space="preserve">$75/day</w:t>
            </w:r>
          </w:p>
        </w:tc>
        <w:tc>
          <w:tcPr>
            <w:tcW w:type="dxa" w:w="1560"/>
          </w:tcPr>
          <w:p>
            <w:pPr>
              <w:spacing w:after="60"/>
            </w:pPr>
            <w:r>
              <w:rPr>
                <w:b w:val="false"/>
                <w:bCs w:val="false"/>
                <w:sz w:val="20"/>
                <w:szCs w:val="20"/>
              </w:rPr>
              <w:t xml:space="preserve">£60/day</w:t>
            </w:r>
          </w:p>
        </w:tc>
        <w:tc>
          <w:tcPr>
            <w:tcW w:type="dxa" w:w="1560"/>
          </w:tcPr>
          <w:p>
            <w:pPr>
              <w:spacing w:after="60"/>
            </w:pPr>
            <w:r>
              <w:rPr>
                <w:b w:val="false"/>
                <w:bCs w:val="false"/>
                <w:sz w:val="20"/>
                <w:szCs w:val="20"/>
              </w:rPr>
              <w:t xml:space="preserve">₹1,500/day</w:t>
            </w:r>
          </w:p>
        </w:tc>
        <w:tc>
          <w:tcPr>
            <w:tcW w:type="dxa" w:w="1560"/>
          </w:tcPr>
          <w:p>
            <w:pPr>
              <w:spacing w:after="60"/>
            </w:pPr>
            <w:r>
              <w:rPr>
                <w:b w:val="false"/>
                <w:bCs w:val="false"/>
                <w:sz w:val="20"/>
                <w:szCs w:val="20"/>
              </w:rPr>
              <w:t xml:space="preserve">€55/day</w:t>
            </w:r>
          </w:p>
        </w:tc>
        <w:tc>
          <w:tcPr>
            <w:tcW w:type="dxa" w:w="1560"/>
          </w:tcPr>
          <w:p>
            <w:pPr>
              <w:spacing w:after="60"/>
            </w:pPr>
            <w:r>
              <w:rPr>
                <w:b w:val="false"/>
                <w:bCs w:val="false"/>
                <w:sz w:val="20"/>
                <w:szCs w:val="20"/>
              </w:rPr>
              <w:t xml:space="preserve">SGD 90/day</w:t>
            </w:r>
          </w:p>
        </w:tc>
      </w:tr>
      <w:tr>
        <w:tc>
          <w:tcPr>
            <w:tcW w:type="dxa" w:w="1560"/>
          </w:tcPr>
          <w:p>
            <w:pPr>
              <w:spacing w:after="60"/>
            </w:pPr>
            <w:r>
              <w:rPr>
                <w:b w:val="false"/>
                <w:bCs w:val="false"/>
                <w:sz w:val="20"/>
                <w:szCs w:val="20"/>
              </w:rPr>
              <w:t xml:space="preserve">Ground Transport</w:t>
            </w:r>
          </w:p>
        </w:tc>
        <w:tc>
          <w:tcPr>
            <w:tcW w:type="dxa" w:w="1560"/>
          </w:tcPr>
          <w:p>
            <w:pPr>
              <w:spacing w:after="60"/>
            </w:pPr>
            <w:r>
              <w:rPr>
                <w:b w:val="false"/>
                <w:bCs w:val="false"/>
                <w:sz w:val="20"/>
                <w:szCs w:val="20"/>
              </w:rPr>
              <w:t xml:space="preserve">Rideshare or taxi; 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r>
      <w:tr>
        <w:tc>
          <w:tcPr>
            <w:tcW w:type="dxa" w:w="1560"/>
          </w:tcPr>
          <w:p>
            <w:pPr>
              <w:spacing w:after="60"/>
            </w:pPr>
            <w:r>
              <w:rPr>
                <w:b w:val="false"/>
                <w:bCs w:val="false"/>
                <w:sz w:val="20"/>
                <w:szCs w:val="20"/>
              </w:rPr>
              <w:t xml:space="preserve">Parking</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c>
          <w:tcPr>
            <w:tcW w:type="dxa" w:w="1560"/>
          </w:tcPr>
          <w:p>
            <w:pPr>
              <w:spacing w:after="60"/>
            </w:pPr>
            <w:r>
              <w:rPr>
                <w:b w:val="false"/>
                <w:bCs w:val="false"/>
                <w:sz w:val="20"/>
                <w:szCs w:val="20"/>
              </w:rPr>
              <w:t xml:space="preserve">Actual cost</w:t>
            </w:r>
          </w:p>
        </w:tc>
      </w:tr>
    </w:tbl>
    <w:p>
      <w:pPr>
        <w:spacing w:after="100"/>
      </w:pPr>
      <w:r>
        <w:t xml:space="preserve"/>
      </w:r>
    </w:p>
    <w:p>
      <w:pPr>
        <w:pStyle w:val="Heading2"/>
        <w:spacing w:after="150" w:before="300"/>
      </w:pPr>
      <w:r>
        <w:t xml:space="preserve">13.4 International Travel</w:t>
      </w:r>
    </w:p>
    <w:p>
      <w:pPr>
        <w:spacing w:after="120" w:line="276"/>
      </w:pPr>
      <w:r>
        <w:rPr>
          <w:sz w:val="22"/>
          <w:szCs w:val="22"/>
        </w:rPr>
        <w:t xml:space="preserve">International business travel requires approval before booking. The approval chain depends on the cost:</w:t>
      </w:r>
    </w:p>
    <w:p>
      <w:pPr>
        <w:pStyle w:val="ListParagraph"/>
        <w:numPr>
          <w:ilvl w:val="0"/>
          <w:numId w:val="1"/>
        </w:numPr>
        <w:spacing w:after="80"/>
      </w:pPr>
      <w:r>
        <w:rPr>
          <w:sz w:val="22"/>
          <w:szCs w:val="22"/>
        </w:rPr>
        <w:t xml:space="preserve">Under $2,000 total estimated cost: Manager approval in Workday</w:t>
      </w:r>
    </w:p>
    <w:p>
      <w:pPr>
        <w:pStyle w:val="ListParagraph"/>
        <w:numPr>
          <w:ilvl w:val="0"/>
          <w:numId w:val="1"/>
        </w:numPr>
        <w:spacing w:after="80"/>
      </w:pPr>
      <w:r>
        <w:rPr>
          <w:sz w:val="22"/>
          <w:szCs w:val="22"/>
        </w:rPr>
        <w:t xml:space="preserve">$2,000–$5,000: Manager + Finance Business Partner approval</w:t>
      </w:r>
    </w:p>
    <w:p>
      <w:pPr>
        <w:pStyle w:val="ListParagraph"/>
        <w:numPr>
          <w:ilvl w:val="0"/>
          <w:numId w:val="1"/>
        </w:numPr>
        <w:spacing w:after="80"/>
      </w:pPr>
      <w:r>
        <w:rPr>
          <w:sz w:val="22"/>
          <w:szCs w:val="22"/>
        </w:rPr>
        <w:t xml:space="preserve">Over $5,000: Manager + Finance BP + Department Head approval</w:t>
      </w:r>
    </w:p>
    <w:p>
      <w:pPr>
        <w:spacing w:after="120" w:line="276"/>
      </w:pPr>
      <w:r>
        <w:rPr>
          <w:sz w:val="22"/>
          <w:szCs w:val="22"/>
        </w:rPr>
        <w:t xml:space="preserve">All international travel must be booked through the company's preferred Travel Management Company (TripActions). Employees who book outside TripActions may not be reimbursed for trip cancellation costs or receive emergency travel support. Contact travel@optiagent.com for access.</w:t>
      </w:r>
    </w:p>
    <w:p>
      <w:pPr>
        <w:pStyle w:val="Heading2"/>
        <w:spacing w:after="150" w:before="300"/>
      </w:pPr>
      <w:r>
        <w:t xml:space="preserve">13.5 Corporate Credit Cards</w:t>
      </w:r>
    </w:p>
    <w:p>
      <w:pPr>
        <w:spacing w:after="120" w:line="276"/>
      </w:pPr>
      <w:r>
        <w:rPr>
          <w:sz w:val="22"/>
          <w:szCs w:val="22"/>
        </w:rPr>
        <w:t xml:space="preserve">Employees at Manager level (M1) and above, and any IC who travels more than 4 times per year, are eligible for a corporate credit card. Cards are issued by Citibank (US/UK/SG) and Deutsche Bank (Germany). Personal expenses charged to the corporate card must be reimbursed within 30 days. Misuse of corporate cards is grounds for termination.</w:t>
      </w:r>
    </w:p>
    <w:p>
      <w:r>
        <w:br w:type="page"/>
      </w:r>
    </w:p>
    <w:p>
      <w:pPr>
        <w:pStyle w:val="Heading1"/>
        <w:spacing w:after="200" w:before="400"/>
      </w:pPr>
      <w:r>
        <w:t xml:space="preserve">Chapter 14: IT Usage &amp; Cybersecurity</w:t>
      </w:r>
    </w:p>
    <w:p>
      <w:pPr>
        <w:pStyle w:val="Heading2"/>
        <w:spacing w:after="150" w:before="300"/>
      </w:pPr>
      <w:r>
        <w:t xml:space="preserve">14.1 Overview</w:t>
      </w:r>
    </w:p>
    <w:p>
      <w:pPr>
        <w:spacing w:after="120" w:line="276"/>
      </w:pPr>
      <w:r>
        <w:rPr>
          <w:sz w:val="22"/>
          <w:szCs w:val="22"/>
        </w:rPr>
        <w:t xml:space="preserve">OptiAgent Technologies handles sensitive customer data, proprietary AI models, and significant intellectual property. The security of our systems and data is a collective responsibility. All employees, regardless of role, are expected to understand and follow the security guidelines in this section and in the Company Policy document (Document ID: OAT-CP-001).</w:t>
      </w:r>
    </w:p>
    <w:p>
      <w:pPr>
        <w:pStyle w:val="Heading2"/>
        <w:spacing w:after="150" w:before="300"/>
      </w:pPr>
      <w:r>
        <w:t xml:space="preserve">14.2 Acceptable Use of Company Systems</w:t>
      </w:r>
    </w:p>
    <w:p>
      <w:pPr>
        <w:spacing w:after="120" w:line="276"/>
      </w:pPr>
      <w:r>
        <w:rPr>
          <w:sz w:val="22"/>
          <w:szCs w:val="22"/>
        </w:rPr>
        <w:t xml:space="preserve">Company devices (laptops, tablets, phones) and systems (email, Slack, Confluence, GitHub, cloud platforms) are provided for business purposes. Limited personal use is acceptable provided it does not:</w:t>
      </w:r>
    </w:p>
    <w:p>
      <w:pPr>
        <w:pStyle w:val="ListParagraph"/>
        <w:numPr>
          <w:ilvl w:val="0"/>
          <w:numId w:val="1"/>
        </w:numPr>
        <w:spacing w:after="80"/>
      </w:pPr>
      <w:r>
        <w:rPr>
          <w:sz w:val="22"/>
          <w:szCs w:val="22"/>
        </w:rPr>
        <w:t xml:space="preserve">Interfere with job performance or professional responsibilities</w:t>
      </w:r>
    </w:p>
    <w:p>
      <w:pPr>
        <w:pStyle w:val="ListParagraph"/>
        <w:numPr>
          <w:ilvl w:val="0"/>
          <w:numId w:val="1"/>
        </w:numPr>
        <w:spacing w:after="80"/>
      </w:pPr>
      <w:r>
        <w:rPr>
          <w:sz w:val="22"/>
          <w:szCs w:val="22"/>
        </w:rPr>
        <w:t xml:space="preserve">Consume excessive bandwidth or storage resources</w:t>
      </w:r>
    </w:p>
    <w:p>
      <w:pPr>
        <w:pStyle w:val="ListParagraph"/>
        <w:numPr>
          <w:ilvl w:val="0"/>
          <w:numId w:val="1"/>
        </w:numPr>
        <w:spacing w:after="80"/>
      </w:pPr>
      <w:r>
        <w:rPr>
          <w:sz w:val="22"/>
          <w:szCs w:val="22"/>
        </w:rPr>
        <w:t xml:space="preserve">Involve access to illegal, offensive, or inappropriate content</w:t>
      </w:r>
    </w:p>
    <w:p>
      <w:pPr>
        <w:pStyle w:val="ListParagraph"/>
        <w:numPr>
          <w:ilvl w:val="0"/>
          <w:numId w:val="1"/>
        </w:numPr>
        <w:spacing w:after="80"/>
      </w:pPr>
      <w:r>
        <w:rPr>
          <w:sz w:val="22"/>
          <w:szCs w:val="22"/>
        </w:rPr>
        <w:t xml:space="preserve">Compromise the security of company systems or data</w:t>
      </w:r>
    </w:p>
    <w:p>
      <w:pPr>
        <w:pStyle w:val="ListParagraph"/>
        <w:numPr>
          <w:ilvl w:val="0"/>
          <w:numId w:val="1"/>
        </w:numPr>
        <w:spacing w:after="80"/>
      </w:pPr>
      <w:r>
        <w:rPr>
          <w:sz w:val="22"/>
          <w:szCs w:val="22"/>
        </w:rPr>
        <w:t xml:space="preserve">Violate any law or regulation</w:t>
      </w:r>
    </w:p>
    <w:p>
      <w:pPr>
        <w:pStyle w:val="Heading2"/>
        <w:spacing w:after="150" w:before="300"/>
      </w:pPr>
      <w:r>
        <w:t xml:space="preserve">14.3 Password &amp;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sz w:val="20"/>
                <w:szCs w:val="20"/>
              </w:rPr>
              <w:t xml:space="preserve">Requirement</w:t>
            </w:r>
          </w:p>
        </w:tc>
        <w:tc>
          <w:tcPr>
            <w:tcW w:type="dxa" w:w="4680"/>
            <w:shd w:fill="1F4E79" w:color="1F4E79" w:val="clear"/>
          </w:tcPr>
          <w:p>
            <w:pPr>
              <w:spacing w:after="60"/>
            </w:pPr>
            <w:r>
              <w:rPr>
                <w:b/>
                <w:bCs/>
                <w:sz w:val="20"/>
                <w:szCs w:val="20"/>
              </w:rPr>
              <w:t xml:space="preserve">Standard</w:t>
            </w:r>
          </w:p>
        </w:tc>
      </w:tr>
      <w:tr>
        <w:tc>
          <w:tcPr>
            <w:tcW w:type="dxa" w:w="4680"/>
          </w:tcPr>
          <w:p>
            <w:pPr>
              <w:spacing w:after="60"/>
            </w:pPr>
            <w:r>
              <w:rPr>
                <w:b w:val="false"/>
                <w:bCs w:val="false"/>
                <w:sz w:val="20"/>
                <w:szCs w:val="20"/>
              </w:rPr>
              <w:t xml:space="preserve">Minimum password length</w:t>
            </w:r>
          </w:p>
        </w:tc>
        <w:tc>
          <w:tcPr>
            <w:tcW w:type="dxa" w:w="4680"/>
          </w:tcPr>
          <w:p>
            <w:pPr>
              <w:spacing w:after="60"/>
            </w:pPr>
            <w:r>
              <w:rPr>
                <w:b w:val="false"/>
                <w:bCs w:val="false"/>
                <w:sz w:val="20"/>
                <w:szCs w:val="20"/>
              </w:rPr>
              <w:t xml:space="preserve">14 characters</w:t>
            </w:r>
          </w:p>
        </w:tc>
      </w:tr>
      <w:tr>
        <w:tc>
          <w:tcPr>
            <w:tcW w:type="dxa" w:w="4680"/>
          </w:tcPr>
          <w:p>
            <w:pPr>
              <w:spacing w:after="60"/>
            </w:pPr>
            <w:r>
              <w:rPr>
                <w:b w:val="false"/>
                <w:bCs w:val="false"/>
                <w:sz w:val="20"/>
                <w:szCs w:val="20"/>
              </w:rPr>
              <w:t xml:space="preserve">Complexity</w:t>
            </w:r>
          </w:p>
        </w:tc>
        <w:tc>
          <w:tcPr>
            <w:tcW w:type="dxa" w:w="4680"/>
          </w:tcPr>
          <w:p>
            <w:pPr>
              <w:spacing w:after="60"/>
            </w:pPr>
            <w:r>
              <w:rPr>
                <w:b w:val="false"/>
                <w:bCs w:val="false"/>
                <w:sz w:val="20"/>
                <w:szCs w:val="20"/>
              </w:rPr>
              <w:t xml:space="preserve">Uppercase + lowercase + number + special character</w:t>
            </w:r>
          </w:p>
        </w:tc>
      </w:tr>
      <w:tr>
        <w:tc>
          <w:tcPr>
            <w:tcW w:type="dxa" w:w="4680"/>
          </w:tcPr>
          <w:p>
            <w:pPr>
              <w:spacing w:after="60"/>
            </w:pPr>
            <w:r>
              <w:rPr>
                <w:b w:val="false"/>
                <w:bCs w:val="false"/>
                <w:sz w:val="20"/>
                <w:szCs w:val="20"/>
              </w:rPr>
              <w:t xml:space="preserve">Reuse</w:t>
            </w:r>
          </w:p>
        </w:tc>
        <w:tc>
          <w:tcPr>
            <w:tcW w:type="dxa" w:w="4680"/>
          </w:tcPr>
          <w:p>
            <w:pPr>
              <w:spacing w:after="60"/>
            </w:pPr>
            <w:r>
              <w:rPr>
                <w:b w:val="false"/>
                <w:bCs w:val="false"/>
                <w:sz w:val="20"/>
                <w:szCs w:val="20"/>
              </w:rPr>
              <w:t xml:space="preserve">Cannot reuse last 12 passwords</w:t>
            </w:r>
          </w:p>
        </w:tc>
      </w:tr>
      <w:tr>
        <w:tc>
          <w:tcPr>
            <w:tcW w:type="dxa" w:w="4680"/>
          </w:tcPr>
          <w:p>
            <w:pPr>
              <w:spacing w:after="60"/>
            </w:pPr>
            <w:r>
              <w:rPr>
                <w:b w:val="false"/>
                <w:bCs w:val="false"/>
                <w:sz w:val="20"/>
                <w:szCs w:val="20"/>
              </w:rPr>
              <w:t xml:space="preserve">Rotation</w:t>
            </w:r>
          </w:p>
        </w:tc>
        <w:tc>
          <w:tcPr>
            <w:tcW w:type="dxa" w:w="4680"/>
          </w:tcPr>
          <w:p>
            <w:pPr>
              <w:spacing w:after="60"/>
            </w:pPr>
            <w:r>
              <w:rPr>
                <w:b w:val="false"/>
                <w:bCs w:val="false"/>
                <w:sz w:val="20"/>
                <w:szCs w:val="20"/>
              </w:rPr>
              <w:t xml:space="preserve">Every 90 days for privileged accounts; no forced rotation for standard accounts (but immediate change if breach suspected)</w:t>
            </w:r>
          </w:p>
        </w:tc>
      </w:tr>
      <w:tr>
        <w:tc>
          <w:tcPr>
            <w:tcW w:type="dxa" w:w="4680"/>
          </w:tcPr>
          <w:p>
            <w:pPr>
              <w:spacing w:after="60"/>
            </w:pPr>
            <w:r>
              <w:rPr>
                <w:b w:val="false"/>
                <w:bCs w:val="false"/>
                <w:sz w:val="20"/>
                <w:szCs w:val="20"/>
              </w:rPr>
              <w:t xml:space="preserve">Multi-Factor Authentication (MFA)</w:t>
            </w:r>
          </w:p>
        </w:tc>
        <w:tc>
          <w:tcPr>
            <w:tcW w:type="dxa" w:w="4680"/>
          </w:tcPr>
          <w:p>
            <w:pPr>
              <w:spacing w:after="60"/>
            </w:pPr>
            <w:r>
              <w:rPr>
                <w:b w:val="false"/>
                <w:bCs w:val="false"/>
                <w:sz w:val="20"/>
                <w:szCs w:val="20"/>
              </w:rPr>
              <w:t xml:space="preserve">Mandatory for all company accounts — no exceptions</w:t>
            </w:r>
          </w:p>
        </w:tc>
      </w:tr>
      <w:tr>
        <w:tc>
          <w:tcPr>
            <w:tcW w:type="dxa" w:w="4680"/>
          </w:tcPr>
          <w:p>
            <w:pPr>
              <w:spacing w:after="60"/>
            </w:pPr>
            <w:r>
              <w:rPr>
                <w:b w:val="false"/>
                <w:bCs w:val="false"/>
                <w:sz w:val="20"/>
                <w:szCs w:val="20"/>
              </w:rPr>
              <w:t xml:space="preserve">Password manager</w:t>
            </w:r>
          </w:p>
        </w:tc>
        <w:tc>
          <w:tcPr>
            <w:tcW w:type="dxa" w:w="4680"/>
          </w:tcPr>
          <w:p>
            <w:pPr>
              <w:spacing w:after="60"/>
            </w:pPr>
            <w:r>
              <w:rPr>
                <w:b w:val="false"/>
                <w:bCs w:val="false"/>
                <w:sz w:val="20"/>
                <w:szCs w:val="20"/>
              </w:rPr>
              <w:t xml:space="preserve">Required; company licenses 1Password for all employees</w:t>
            </w:r>
          </w:p>
        </w:tc>
      </w:tr>
      <w:tr>
        <w:tc>
          <w:tcPr>
            <w:tcW w:type="dxa" w:w="4680"/>
          </w:tcPr>
          <w:p>
            <w:pPr>
              <w:spacing w:after="60"/>
            </w:pPr>
            <w:r>
              <w:rPr>
                <w:b w:val="false"/>
                <w:bCs w:val="false"/>
                <w:sz w:val="20"/>
                <w:szCs w:val="20"/>
              </w:rPr>
              <w:t xml:space="preserve">Sharing credentials</w:t>
            </w:r>
          </w:p>
        </w:tc>
        <w:tc>
          <w:tcPr>
            <w:tcW w:type="dxa" w:w="4680"/>
          </w:tcPr>
          <w:p>
            <w:pPr>
              <w:spacing w:after="60"/>
            </w:pPr>
            <w:r>
              <w:rPr>
                <w:b w:val="false"/>
                <w:bCs w:val="false"/>
                <w:sz w:val="20"/>
                <w:szCs w:val="20"/>
              </w:rPr>
              <w:t xml:space="preserve">Strictly prohibited under any circumstances</w:t>
            </w:r>
          </w:p>
        </w:tc>
      </w:tr>
    </w:tbl>
    <w:p>
      <w:pPr>
        <w:spacing w:after="100"/>
      </w:pPr>
      <w:r>
        <w:t xml:space="preserve"/>
      </w:r>
    </w:p>
    <w:p>
      <w:pPr>
        <w:pStyle w:val="Heading2"/>
        <w:spacing w:after="150" w:before="300"/>
      </w:pPr>
      <w:r>
        <w:t xml:space="preserve">14.4 Phishing &amp; Social Engineering</w:t>
      </w:r>
    </w:p>
    <w:p>
      <w:pPr>
        <w:spacing w:after="120" w:line="276"/>
      </w:pPr>
      <w:r>
        <w:rPr>
          <w:sz w:val="22"/>
          <w:szCs w:val="22"/>
        </w:rPr>
        <w:t xml:space="preserve">Phishing attacks are the most common method by which attackers gain access to enterprise systems. All employees must:</w:t>
      </w:r>
    </w:p>
    <w:p>
      <w:pPr>
        <w:pStyle w:val="ListParagraph"/>
        <w:numPr>
          <w:ilvl w:val="0"/>
          <w:numId w:val="1"/>
        </w:numPr>
        <w:spacing w:after="80"/>
      </w:pPr>
      <w:r>
        <w:rPr>
          <w:sz w:val="22"/>
          <w:szCs w:val="22"/>
        </w:rPr>
        <w:t xml:space="preserve">Never click links or download attachments from unexpected or suspicious emails</w:t>
      </w:r>
    </w:p>
    <w:p>
      <w:pPr>
        <w:pStyle w:val="ListParagraph"/>
        <w:numPr>
          <w:ilvl w:val="0"/>
          <w:numId w:val="1"/>
        </w:numPr>
        <w:spacing w:after="80"/>
      </w:pPr>
      <w:r>
        <w:rPr>
          <w:sz w:val="22"/>
          <w:szCs w:val="22"/>
        </w:rPr>
        <w:t xml:space="preserve">Verify the identity of callers claiming to be IT, HR, or executives before sharing any information</w:t>
      </w:r>
    </w:p>
    <w:p>
      <w:pPr>
        <w:pStyle w:val="ListParagraph"/>
        <w:numPr>
          <w:ilvl w:val="0"/>
          <w:numId w:val="1"/>
        </w:numPr>
        <w:spacing w:after="80"/>
      </w:pPr>
      <w:r>
        <w:rPr>
          <w:sz w:val="22"/>
          <w:szCs w:val="22"/>
        </w:rPr>
        <w:t xml:space="preserve">Report suspected phishing emails immediately using the "Report Phishing" button in Outlook, or by forwarding to security@optiagent.com</w:t>
      </w:r>
    </w:p>
    <w:p>
      <w:pPr>
        <w:pStyle w:val="ListParagraph"/>
        <w:numPr>
          <w:ilvl w:val="0"/>
          <w:numId w:val="1"/>
        </w:numPr>
        <w:spacing w:after="80"/>
      </w:pPr>
      <w:r>
        <w:rPr>
          <w:sz w:val="22"/>
          <w:szCs w:val="22"/>
        </w:rPr>
        <w:t xml:space="preserve">Participate in mandatory quarterly phishing awareness exercises</w:t>
      </w:r>
    </w:p>
    <w:p>
      <w:pPr>
        <w:spacing w:after="120" w:line="276"/>
      </w:pPr>
      <w:r>
        <w:rPr>
          <w:sz w:val="22"/>
          <w:szCs w:val="22"/>
        </w:rPr>
        <w:t xml:space="preserve">Employees who click on simulated phishing emails three or more times in a 12-month period will be required to complete enhanced security awareness training. See Company Policy (Document ID: OAT-CP-001) for the full Cybersecurity and Incident Response policies.</w:t>
      </w:r>
    </w:p>
    <w:p>
      <w:pPr>
        <w:pStyle w:val="Heading2"/>
        <w:spacing w:after="150" w:before="300"/>
      </w:pPr>
      <w:r>
        <w:t xml:space="preserve">14.5 AI &amp; Generative AI Usage</w:t>
      </w:r>
    </w:p>
    <w:p>
      <w:pPr>
        <w:spacing w:after="120" w:line="276"/>
      </w:pPr>
      <w:r>
        <w:rPr>
          <w:sz w:val="22"/>
          <w:szCs w:val="22"/>
        </w:rPr>
        <w:t xml:space="preserve">As an AI company, OptiAgent Technologies recognizes both the tremendous potential and the real risks of generative AI tools. Employees may use approved AI tools to enhance their productivity, subject to the following rules:</w:t>
      </w:r>
    </w:p>
    <w:p>
      <w:pPr>
        <w:pStyle w:val="ListParagraph"/>
        <w:numPr>
          <w:ilvl w:val="0"/>
          <w:numId w:val="1"/>
        </w:numPr>
        <w:spacing w:after="80"/>
      </w:pPr>
      <w:r>
        <w:rPr>
          <w:sz w:val="22"/>
          <w:szCs w:val="22"/>
        </w:rPr>
        <w:t xml:space="preserve">Approved tools: OptiAgent Enterprise Platform (OEP), Microsoft Copilot M365 (licensed), GitHub Copilot (for Engineering)</w:t>
      </w:r>
    </w:p>
    <w:p>
      <w:pPr>
        <w:pStyle w:val="ListParagraph"/>
        <w:numPr>
          <w:ilvl w:val="0"/>
          <w:numId w:val="1"/>
        </w:numPr>
        <w:spacing w:after="80"/>
      </w:pPr>
      <w:r>
        <w:rPr>
          <w:sz w:val="22"/>
          <w:szCs w:val="22"/>
        </w:rPr>
        <w:t xml:space="preserve">Do not enter customer data, employee data, or confidential company information into any external AI tool (ChatGPT, Claude, Gemini, etc.) without explicit Legal approval</w:t>
      </w:r>
    </w:p>
    <w:p>
      <w:pPr>
        <w:pStyle w:val="ListParagraph"/>
        <w:numPr>
          <w:ilvl w:val="0"/>
          <w:numId w:val="1"/>
        </w:numPr>
        <w:spacing w:after="80"/>
      </w:pPr>
      <w:r>
        <w:rPr>
          <w:sz w:val="22"/>
          <w:szCs w:val="22"/>
        </w:rPr>
        <w:t xml:space="preserve">All AI-generated code must be reviewed by a human engineer before merging</w:t>
      </w:r>
    </w:p>
    <w:p>
      <w:pPr>
        <w:pStyle w:val="ListParagraph"/>
        <w:numPr>
          <w:ilvl w:val="0"/>
          <w:numId w:val="1"/>
        </w:numPr>
        <w:spacing w:after="80"/>
      </w:pPr>
      <w:r>
        <w:rPr>
          <w:sz w:val="22"/>
          <w:szCs w:val="22"/>
        </w:rPr>
        <w:t xml:space="preserve">AI-generated content in customer-facing materials must be reviewed and approved by a human</w:t>
      </w:r>
    </w:p>
    <w:p>
      <w:pPr>
        <w:pStyle w:val="ListParagraph"/>
        <w:numPr>
          <w:ilvl w:val="0"/>
          <w:numId w:val="1"/>
        </w:numPr>
        <w:spacing w:after="80"/>
      </w:pPr>
      <w:r>
        <w:rPr>
          <w:sz w:val="22"/>
          <w:szCs w:val="22"/>
        </w:rPr>
        <w:t xml:space="preserve">Disclose use of AI tools in deliverables when requested by customers or partners</w:t>
      </w:r>
    </w:p>
    <w:p>
      <w:pPr>
        <w:spacing w:after="120" w:line="276"/>
      </w:pPr>
      <w:r>
        <w:rPr>
          <w:sz w:val="22"/>
          <w:szCs w:val="22"/>
        </w:rPr>
        <w:t xml:space="preserve">See Company Policy (Document ID: OAT-CP-001), Section 12 — AI Usage Policy, for the complete Generative AI Guidelines.</w:t>
      </w:r>
    </w:p>
    <w:p>
      <w:r>
        <w:br w:type="page"/>
      </w:r>
    </w:p>
    <w:p>
      <w:pPr>
        <w:pStyle w:val="Heading1"/>
        <w:spacing w:after="200" w:before="400"/>
      </w:pPr>
      <w:r>
        <w:t xml:space="preserve">Chapter 15: Data Privacy &amp; Information Security</w:t>
      </w:r>
    </w:p>
    <w:p>
      <w:pPr>
        <w:pStyle w:val="Heading2"/>
        <w:spacing w:after="150" w:before="300"/>
      </w:pPr>
      <w:r>
        <w:t xml:space="preserve">15.1 Data Privacy Principles</w:t>
      </w:r>
    </w:p>
    <w:p>
      <w:pPr>
        <w:spacing w:after="120" w:line="276"/>
      </w:pPr>
      <w:r>
        <w:rPr>
          <w:sz w:val="22"/>
          <w:szCs w:val="22"/>
        </w:rPr>
        <w:t xml:space="preserve">OptiAgent Technologies is committed to protecting the privacy of its employees, customers, and partners. This commitment is grounded in the following principles, derived from GDPR and other global privacy frameworks:</w:t>
      </w:r>
    </w:p>
    <w:p>
      <w:pPr>
        <w:pStyle w:val="ListParagraph"/>
        <w:numPr>
          <w:ilvl w:val="0"/>
          <w:numId w:val="1"/>
        </w:numPr>
        <w:spacing w:after="80"/>
      </w:pPr>
      <w:r>
        <w:rPr>
          <w:sz w:val="22"/>
          <w:szCs w:val="22"/>
        </w:rPr>
        <w:t xml:space="preserve">Lawfulness, fairness, and transparency: Data is processed only with a valid legal basis, and individuals are informed about how their data is used</w:t>
      </w:r>
    </w:p>
    <w:p>
      <w:pPr>
        <w:pStyle w:val="ListParagraph"/>
        <w:numPr>
          <w:ilvl w:val="0"/>
          <w:numId w:val="1"/>
        </w:numPr>
        <w:spacing w:after="80"/>
      </w:pPr>
      <w:r>
        <w:rPr>
          <w:sz w:val="22"/>
          <w:szCs w:val="22"/>
        </w:rPr>
        <w:t xml:space="preserve">Purpose limitation: Data is collected for specified, explicit, and legitimate purposes and not processed for other purposes</w:t>
      </w:r>
    </w:p>
    <w:p>
      <w:pPr>
        <w:pStyle w:val="ListParagraph"/>
        <w:numPr>
          <w:ilvl w:val="0"/>
          <w:numId w:val="1"/>
        </w:numPr>
        <w:spacing w:after="80"/>
      </w:pPr>
      <w:r>
        <w:rPr>
          <w:sz w:val="22"/>
          <w:szCs w:val="22"/>
        </w:rPr>
        <w:t xml:space="preserve">Data minimization: Only the data necessary for the stated purpose is collected</w:t>
      </w:r>
    </w:p>
    <w:p>
      <w:pPr>
        <w:pStyle w:val="ListParagraph"/>
        <w:numPr>
          <w:ilvl w:val="0"/>
          <w:numId w:val="1"/>
        </w:numPr>
        <w:spacing w:after="80"/>
      </w:pPr>
      <w:r>
        <w:rPr>
          <w:sz w:val="22"/>
          <w:szCs w:val="22"/>
        </w:rPr>
        <w:t xml:space="preserve">Accuracy: Data is kept accurate and up to date</w:t>
      </w:r>
    </w:p>
    <w:p>
      <w:pPr>
        <w:pStyle w:val="ListParagraph"/>
        <w:numPr>
          <w:ilvl w:val="0"/>
          <w:numId w:val="1"/>
        </w:numPr>
        <w:spacing w:after="80"/>
      </w:pPr>
      <w:r>
        <w:rPr>
          <w:sz w:val="22"/>
          <w:szCs w:val="22"/>
        </w:rPr>
        <w:t xml:space="preserve">Storage limitation: Data is kept only as long as necessary; see retention schedule in Company Policy OAT-CP-001</w:t>
      </w:r>
    </w:p>
    <w:p>
      <w:pPr>
        <w:pStyle w:val="ListParagraph"/>
        <w:numPr>
          <w:ilvl w:val="0"/>
          <w:numId w:val="1"/>
        </w:numPr>
        <w:spacing w:after="80"/>
      </w:pPr>
      <w:r>
        <w:rPr>
          <w:sz w:val="22"/>
          <w:szCs w:val="22"/>
        </w:rPr>
        <w:t xml:space="preserve">Integrity and confidentiality: Data is protected by appropriate technical and organizational security measures</w:t>
      </w:r>
    </w:p>
    <w:p>
      <w:pPr>
        <w:pStyle w:val="Heading2"/>
        <w:spacing w:after="150" w:before="300"/>
      </w:pPr>
      <w:r>
        <w:t xml:space="preserve">15.2 Employee Data</w:t>
      </w:r>
    </w:p>
    <w:p>
      <w:pPr>
        <w:spacing w:after="120" w:line="276"/>
      </w:pPr>
      <w:r>
        <w:rPr>
          <w:sz w:val="22"/>
          <w:szCs w:val="22"/>
        </w:rPr>
        <w:t xml:space="preserve">During your employment, OptiAgent processes personal data about you including your name, contact details, job title, salary, performance records, leave balances, and (where required) health information. This data is processed by HR and shared with payroll providers, benefits administrators, and government authorities as required by law. You have rights under applicable law to access, correct, and (in some cases) delete your personal data. Contact privacy@optiagent.com to exercise your rights.</w:t>
      </w:r>
    </w:p>
    <w:p>
      <w:pPr>
        <w:pStyle w:val="Heading2"/>
        <w:spacing w:after="150" w:before="300"/>
      </w:pPr>
      <w:r>
        <w:t xml:space="preserve">15.3 Customer Data Handling</w:t>
      </w:r>
    </w:p>
    <w:p>
      <w:pPr>
        <w:spacing w:after="120" w:line="276"/>
      </w:pPr>
      <w:r>
        <w:rPr>
          <w:sz w:val="22"/>
          <w:szCs w:val="22"/>
        </w:rPr>
        <w:t xml:space="preserve">Customer data processed through OptiAgent platforms is subject to contractual obligations and applicable privacy law. Employees who handle customer data must:</w:t>
      </w:r>
    </w:p>
    <w:p>
      <w:pPr>
        <w:pStyle w:val="ListParagraph"/>
        <w:numPr>
          <w:ilvl w:val="0"/>
          <w:numId w:val="1"/>
        </w:numPr>
        <w:spacing w:after="80"/>
      </w:pPr>
      <w:r>
        <w:rPr>
          <w:sz w:val="22"/>
          <w:szCs w:val="22"/>
        </w:rPr>
        <w:t xml:space="preserve">Access customer data only to the extent required to perform your job duties</w:t>
      </w:r>
    </w:p>
    <w:p>
      <w:pPr>
        <w:pStyle w:val="ListParagraph"/>
        <w:numPr>
          <w:ilvl w:val="0"/>
          <w:numId w:val="1"/>
        </w:numPr>
        <w:spacing w:after="80"/>
      </w:pPr>
      <w:r>
        <w:rPr>
          <w:sz w:val="22"/>
          <w:szCs w:val="22"/>
        </w:rPr>
        <w:t xml:space="preserve">Never copy customer data to personal devices, personal cloud storage, or external services</w:t>
      </w:r>
    </w:p>
    <w:p>
      <w:pPr>
        <w:pStyle w:val="ListParagraph"/>
        <w:numPr>
          <w:ilvl w:val="0"/>
          <w:numId w:val="1"/>
        </w:numPr>
        <w:spacing w:after="80"/>
      </w:pPr>
      <w:r>
        <w:rPr>
          <w:sz w:val="22"/>
          <w:szCs w:val="22"/>
        </w:rPr>
        <w:t xml:space="preserve">Report any unauthorized access, disclosure, or loss of customer data immediately to security@optiagent.com</w:t>
      </w:r>
    </w:p>
    <w:p>
      <w:pPr>
        <w:pStyle w:val="ListParagraph"/>
        <w:numPr>
          <w:ilvl w:val="0"/>
          <w:numId w:val="1"/>
        </w:numPr>
        <w:spacing w:after="80"/>
      </w:pPr>
      <w:r>
        <w:rPr>
          <w:sz w:val="22"/>
          <w:szCs w:val="22"/>
        </w:rPr>
        <w:t xml:space="preserve">Complete the Data Privacy training module in the L&amp;D Portal annually</w:t>
      </w:r>
    </w:p>
    <w:p>
      <w:pPr>
        <w:pStyle w:val="Heading2"/>
        <w:spacing w:after="150" w:before="300"/>
      </w:pPr>
      <w:r>
        <w:t xml:space="preserve">15.4 Data Breach Response</w:t>
      </w:r>
    </w:p>
    <w:p>
      <w:pPr>
        <w:spacing w:after="120" w:line="276"/>
      </w:pPr>
      <w:r>
        <w:rPr>
          <w:sz w:val="22"/>
          <w:szCs w:val="22"/>
        </w:rPr>
        <w:t xml:space="preserve">If you become aware of or suspect a data breach, you must report it immediately to the Security Operations Center (security@optiagent.com or the 24/7 security hotline: +1-415-OAT-SECU). Time is critical — GDPR requires notification to supervisory authorities within 72 hours of becoming aware of a qualifying breach. The Security team will lead the investigation and coordinate any required customer or regulatory notifications.</w:t>
      </w:r>
    </w:p>
    <w:p>
      <w:r>
        <w:br w:type="page"/>
      </w:r>
    </w:p>
    <w:p>
      <w:pPr>
        <w:pStyle w:val="Heading1"/>
        <w:spacing w:after="200" w:before="400"/>
      </w:pPr>
      <w:r>
        <w:t xml:space="preserve">Chapter 16: Conflict of Interest Policy</w:t>
      </w:r>
    </w:p>
    <w:p>
      <w:pPr>
        <w:pStyle w:val="Heading2"/>
        <w:spacing w:after="150" w:before="300"/>
      </w:pPr>
      <w:r>
        <w:t xml:space="preserve">16.1 Purpose</w:t>
      </w:r>
    </w:p>
    <w:p>
      <w:pPr>
        <w:spacing w:after="120" w:line="276"/>
      </w:pPr>
      <w:r>
        <w:rPr>
          <w:sz w:val="22"/>
          <w:szCs w:val="22"/>
        </w:rPr>
        <w:t xml:space="preserve">This chapter supplements the summary provided in Chapter 3. A conflict of interest is any situation in which an employee's personal interests could interfere — or be perceived to interfere — with their duty to act in the best interests of OptiAgent Technologies.</w:t>
      </w:r>
    </w:p>
    <w:p>
      <w:pPr>
        <w:pStyle w:val="Heading2"/>
        <w:spacing w:after="150" w:before="300"/>
      </w:pPr>
      <w:r>
        <w:t xml:space="preserve">16.2 Annual Disclosure</w:t>
      </w:r>
    </w:p>
    <w:p>
      <w:pPr>
        <w:spacing w:after="120" w:line="276"/>
      </w:pPr>
      <w:r>
        <w:rPr>
          <w:sz w:val="22"/>
          <w:szCs w:val="22"/>
        </w:rPr>
        <w:t xml:space="preserve">All employees at Manager level (M1) and above, all employees in Procurement, Finance, Legal, and HR, and all employees with access to material non-public information must complete an Annual Conflict of Interest Disclosure in Workday by January 31 of each year. First-time disclosure must be completed within 30 days of joining.</w:t>
      </w:r>
    </w:p>
    <w:p>
      <w:pPr>
        <w:pStyle w:val="Heading2"/>
        <w:spacing w:after="150" w:before="300"/>
      </w:pPr>
      <w:r>
        <w:t xml:space="preserve">16.3 Approval Process</w:t>
      </w:r>
    </w:p>
    <w:p>
      <w:pPr>
        <w:spacing w:after="120" w:line="276"/>
      </w:pPr>
      <w:r>
        <w:rPr>
          <w:sz w:val="22"/>
          <w:szCs w:val="22"/>
        </w:rPr>
        <w:t xml:space="preserve">Not all conflicts are disqualifying. Many can be managed through disclosure and mitigation. The process is:</w:t>
      </w:r>
    </w:p>
    <w:p>
      <w:pPr>
        <w:pStyle w:val="ListParagraph"/>
        <w:numPr>
          <w:ilvl w:val="0"/>
          <w:numId w:val="1"/>
        </w:numPr>
        <w:spacing w:after="80"/>
      </w:pPr>
      <w:r>
        <w:rPr>
          <w:sz w:val="22"/>
          <w:szCs w:val="22"/>
        </w:rPr>
        <w:t xml:space="preserve">Step 1: Employee discloses potential conflict via Workday &gt; Compliance &gt; Conflict of Interest Disclosure</w:t>
      </w:r>
    </w:p>
    <w:p>
      <w:pPr>
        <w:pStyle w:val="ListParagraph"/>
        <w:numPr>
          <w:ilvl w:val="0"/>
          <w:numId w:val="1"/>
        </w:numPr>
        <w:spacing w:after="80"/>
      </w:pPr>
      <w:r>
        <w:rPr>
          <w:sz w:val="22"/>
          <w:szCs w:val="22"/>
        </w:rPr>
        <w:t xml:space="preserve">Step 2: Legal &amp; Compliance reviews within 10 business days</w:t>
      </w:r>
    </w:p>
    <w:p>
      <w:pPr>
        <w:pStyle w:val="ListParagraph"/>
        <w:numPr>
          <w:ilvl w:val="0"/>
          <w:numId w:val="1"/>
        </w:numPr>
        <w:spacing w:after="80"/>
      </w:pPr>
      <w:r>
        <w:rPr>
          <w:sz w:val="22"/>
          <w:szCs w:val="22"/>
        </w:rPr>
        <w:t xml:space="preserve">Step 3: Legal recommends: (a) approved with no action, (b) approved with a mitigation plan, or (c) conflict must be resolved before proceeding</w:t>
      </w:r>
    </w:p>
    <w:p>
      <w:pPr>
        <w:pStyle w:val="ListParagraph"/>
        <w:numPr>
          <w:ilvl w:val="0"/>
          <w:numId w:val="1"/>
        </w:numPr>
        <w:spacing w:after="80"/>
      </w:pPr>
      <w:r>
        <w:rPr>
          <w:sz w:val="22"/>
          <w:szCs w:val="22"/>
        </w:rPr>
        <w:t xml:space="preserve">Step 4: Outcome documented and stored in the employee's Workday profile</w:t>
      </w:r>
    </w:p>
    <w:p>
      <w:r>
        <w:br w:type="page"/>
      </w:r>
    </w:p>
    <w:p>
      <w:pPr>
        <w:pStyle w:val="Heading1"/>
        <w:spacing w:after="200" w:before="400"/>
      </w:pPr>
      <w:r>
        <w:t xml:space="preserve">Chapter 17: Whistleblower Policy</w:t>
      </w:r>
    </w:p>
    <w:p>
      <w:pPr>
        <w:pStyle w:val="Heading2"/>
        <w:spacing w:after="150" w:before="300"/>
      </w:pPr>
      <w:r>
        <w:t xml:space="preserve">17.1 Purpose &amp; Scope</w:t>
      </w:r>
    </w:p>
    <w:p>
      <w:pPr>
        <w:spacing w:after="120" w:line="276"/>
      </w:pPr>
      <w:r>
        <w:rPr>
          <w:sz w:val="22"/>
          <w:szCs w:val="22"/>
        </w:rPr>
        <w:t xml:space="preserve">OptiAgent Technologies is committed to the highest standards of ethical conduct and legal compliance. This policy provides a safe and protected channel for employees to report concerns about potential violations of law, company policy, or ethical standards — without fear of retaliation.</w:t>
      </w:r>
    </w:p>
    <w:p>
      <w:pPr>
        <w:pStyle w:val="Heading2"/>
        <w:spacing w:after="150" w:before="300"/>
      </w:pPr>
      <w:r>
        <w:t xml:space="preserve">17.2 What to Report</w:t>
      </w:r>
    </w:p>
    <w:p>
      <w:pPr>
        <w:spacing w:after="120" w:line="276"/>
      </w:pPr>
      <w:r>
        <w:rPr>
          <w:sz w:val="22"/>
          <w:szCs w:val="22"/>
        </w:rPr>
        <w:t xml:space="preserve">This policy covers reports of:</w:t>
      </w:r>
    </w:p>
    <w:p>
      <w:pPr>
        <w:pStyle w:val="ListParagraph"/>
        <w:numPr>
          <w:ilvl w:val="0"/>
          <w:numId w:val="1"/>
        </w:numPr>
        <w:spacing w:after="80"/>
      </w:pPr>
      <w:r>
        <w:rPr>
          <w:sz w:val="22"/>
          <w:szCs w:val="22"/>
        </w:rPr>
        <w:t xml:space="preserve">Fraud, financial misstatement, or accounting irregularities</w:t>
      </w:r>
    </w:p>
    <w:p>
      <w:pPr>
        <w:pStyle w:val="ListParagraph"/>
        <w:numPr>
          <w:ilvl w:val="0"/>
          <w:numId w:val="1"/>
        </w:numPr>
        <w:spacing w:after="80"/>
      </w:pPr>
      <w:r>
        <w:rPr>
          <w:sz w:val="22"/>
          <w:szCs w:val="22"/>
        </w:rPr>
        <w:t xml:space="preserve">Bribery, corruption, or facilitation of foreign corrupt practices</w:t>
      </w:r>
    </w:p>
    <w:p>
      <w:pPr>
        <w:pStyle w:val="ListParagraph"/>
        <w:numPr>
          <w:ilvl w:val="0"/>
          <w:numId w:val="1"/>
        </w:numPr>
        <w:spacing w:after="80"/>
      </w:pPr>
      <w:r>
        <w:rPr>
          <w:sz w:val="22"/>
          <w:szCs w:val="22"/>
        </w:rPr>
        <w:t xml:space="preserve">Violations of data privacy, cybersecurity, or information security policies</w:t>
      </w:r>
    </w:p>
    <w:p>
      <w:pPr>
        <w:pStyle w:val="ListParagraph"/>
        <w:numPr>
          <w:ilvl w:val="0"/>
          <w:numId w:val="1"/>
        </w:numPr>
        <w:spacing w:after="80"/>
      </w:pPr>
      <w:r>
        <w:rPr>
          <w:sz w:val="22"/>
          <w:szCs w:val="22"/>
        </w:rPr>
        <w:t xml:space="preserve">Health and safety violations</w:t>
      </w:r>
    </w:p>
    <w:p>
      <w:pPr>
        <w:pStyle w:val="ListParagraph"/>
        <w:numPr>
          <w:ilvl w:val="0"/>
          <w:numId w:val="1"/>
        </w:numPr>
        <w:spacing w:after="80"/>
      </w:pPr>
      <w:r>
        <w:rPr>
          <w:sz w:val="22"/>
          <w:szCs w:val="22"/>
        </w:rPr>
        <w:t xml:space="preserve">Harassment, discrimination, or retaliation</w:t>
      </w:r>
    </w:p>
    <w:p>
      <w:pPr>
        <w:pStyle w:val="ListParagraph"/>
        <w:numPr>
          <w:ilvl w:val="0"/>
          <w:numId w:val="1"/>
        </w:numPr>
        <w:spacing w:after="80"/>
      </w:pPr>
      <w:r>
        <w:rPr>
          <w:sz w:val="22"/>
          <w:szCs w:val="22"/>
        </w:rPr>
        <w:t xml:space="preserve">Insider trading or market manipulation</w:t>
      </w:r>
    </w:p>
    <w:p>
      <w:pPr>
        <w:pStyle w:val="ListParagraph"/>
        <w:numPr>
          <w:ilvl w:val="0"/>
          <w:numId w:val="1"/>
        </w:numPr>
        <w:spacing w:after="80"/>
      </w:pPr>
      <w:r>
        <w:rPr>
          <w:sz w:val="22"/>
          <w:szCs w:val="22"/>
        </w:rPr>
        <w:t xml:space="preserve">Environmental violations</w:t>
      </w:r>
    </w:p>
    <w:p>
      <w:pPr>
        <w:pStyle w:val="ListParagraph"/>
        <w:numPr>
          <w:ilvl w:val="0"/>
          <w:numId w:val="1"/>
        </w:numPr>
        <w:spacing w:after="80"/>
      </w:pPr>
      <w:r>
        <w:rPr>
          <w:sz w:val="22"/>
          <w:szCs w:val="22"/>
        </w:rPr>
        <w:t xml:space="preserve">Any other violation of law or serious breach of company policy</w:t>
      </w:r>
    </w:p>
    <w:p>
      <w:pPr>
        <w:pStyle w:val="Heading2"/>
        <w:spacing w:after="150" w:before="300"/>
      </w:pPr>
      <w:r>
        <w:t xml:space="preserve">17.3 Reporting Channels</w:t>
      </w:r>
    </w:p>
    <w:p>
      <w:pPr>
        <w:pStyle w:val="ListParagraph"/>
        <w:numPr>
          <w:ilvl w:val="0"/>
          <w:numId w:val="1"/>
        </w:numPr>
        <w:spacing w:after="80"/>
      </w:pPr>
      <w:r>
        <w:rPr>
          <w:sz w:val="22"/>
          <w:szCs w:val="22"/>
        </w:rPr>
        <w:t xml:space="preserve">Direct: Your manager, skip-level manager, or HR Business Partner</w:t>
      </w:r>
    </w:p>
    <w:p>
      <w:pPr>
        <w:pStyle w:val="ListParagraph"/>
        <w:numPr>
          <w:ilvl w:val="0"/>
          <w:numId w:val="1"/>
        </w:numPr>
        <w:spacing w:after="80"/>
      </w:pPr>
      <w:r>
        <w:rPr>
          <w:sz w:val="22"/>
          <w:szCs w:val="22"/>
        </w:rPr>
        <w:t xml:space="preserve">Ethics Team: ethics@optiagent.com (monitored by the Chief Ethics Officer)</w:t>
      </w:r>
    </w:p>
    <w:p>
      <w:pPr>
        <w:pStyle w:val="ListParagraph"/>
        <w:numPr>
          <w:ilvl w:val="0"/>
          <w:numId w:val="1"/>
        </w:numPr>
        <w:spacing w:after="80"/>
      </w:pPr>
      <w:r>
        <w:rPr>
          <w:sz w:val="22"/>
          <w:szCs w:val="22"/>
        </w:rPr>
        <w:t xml:space="preserve">Anonymous Hotline: 1-800-OAT-ETHX (US); +44-800-OAT-ETHX (UK); available 24/7</w:t>
      </w:r>
    </w:p>
    <w:p>
      <w:pPr>
        <w:pStyle w:val="ListParagraph"/>
        <w:numPr>
          <w:ilvl w:val="0"/>
          <w:numId w:val="1"/>
        </w:numPr>
        <w:spacing w:after="80"/>
      </w:pPr>
      <w:r>
        <w:rPr>
          <w:sz w:val="22"/>
          <w:szCs w:val="22"/>
        </w:rPr>
        <w:t xml:space="preserve">Online Anonymous Submission: https://optiagent.ethicspoint.com (operated by NAVEX Global)</w:t>
      </w:r>
    </w:p>
    <w:p>
      <w:pPr>
        <w:pStyle w:val="Heading2"/>
        <w:spacing w:after="150" w:before="300"/>
      </w:pPr>
      <w:r>
        <w:t xml:space="preserve">17.4 Non-Retaliation</w:t>
      </w:r>
    </w:p>
    <w:p>
      <w:pPr>
        <w:spacing w:after="120" w:line="276"/>
      </w:pPr>
      <w:r>
        <w:rPr>
          <w:sz w:val="22"/>
          <w:szCs w:val="22"/>
        </w:rPr>
        <w:t xml:space="preserve">Any employee who makes a good-faith report under this policy is protected from retaliation. Prohibited retaliatory actions include demotion, termination, reassignment, salary reduction, exclusion, threats, or intimidation. Any employee who retaliates against a whistleblower will face disciplinary action up to and including termination, regardless of seniority.</w:t>
      </w:r>
    </w:p>
    <w:p>
      <w:r>
        <w:br w:type="page"/>
      </w:r>
    </w:p>
    <w:p>
      <w:pPr>
        <w:pStyle w:val="Heading1"/>
        <w:spacing w:after="200" w:before="400"/>
      </w:pPr>
      <w:r>
        <w:t xml:space="preserve">Chapter 18: Health &amp; Safety</w:t>
      </w:r>
    </w:p>
    <w:p>
      <w:pPr>
        <w:pStyle w:val="Heading2"/>
        <w:spacing w:after="150" w:before="300"/>
      </w:pPr>
      <w:r>
        <w:t xml:space="preserve">18.1 Our Commitment</w:t>
      </w:r>
    </w:p>
    <w:p>
      <w:pPr>
        <w:spacing w:after="120" w:line="276"/>
      </w:pPr>
      <w:r>
        <w:rPr>
          <w:sz w:val="22"/>
          <w:szCs w:val="22"/>
        </w:rPr>
        <w:t xml:space="preserve">OptiAgent Technologies is committed to providing a safe and healthy workplace for all employees, visitors, and contractors. Each country office complies with all applicable health and safety legislation including OSHA (US), Health and Safety at Work Act (UK), Factories Act (India), ArbSchG (Germany), and WSH Act (Singapore).</w:t>
      </w:r>
    </w:p>
    <w:p>
      <w:pPr>
        <w:pStyle w:val="Heading2"/>
        <w:spacing w:after="150" w:before="300"/>
      </w:pPr>
      <w:r>
        <w:t xml:space="preserve">18.2 Responsibilities</w:t>
      </w:r>
    </w:p>
    <w:p>
      <w:pPr>
        <w:spacing w:after="120"/>
      </w:pPr>
      <w:r>
        <w:rPr>
          <w:b/>
          <w:bCs/>
          <w:sz w:val="22"/>
          <w:szCs w:val="22"/>
        </w:rPr>
        <w:t xml:space="preserve">Company Responsibilities:</w:t>
      </w:r>
    </w:p>
    <w:p>
      <w:pPr>
        <w:pStyle w:val="ListParagraph"/>
        <w:numPr>
          <w:ilvl w:val="0"/>
          <w:numId w:val="1"/>
        </w:numPr>
        <w:spacing w:after="80"/>
      </w:pPr>
      <w:r>
        <w:rPr>
          <w:sz w:val="22"/>
          <w:szCs w:val="22"/>
        </w:rPr>
        <w:t xml:space="preserve">Conduct annual workplace risk assessments for all offices</w:t>
      </w:r>
    </w:p>
    <w:p>
      <w:pPr>
        <w:pStyle w:val="ListParagraph"/>
        <w:numPr>
          <w:ilvl w:val="0"/>
          <w:numId w:val="1"/>
        </w:numPr>
        <w:spacing w:after="80"/>
      </w:pPr>
      <w:r>
        <w:rPr>
          <w:sz w:val="22"/>
          <w:szCs w:val="22"/>
        </w:rPr>
        <w:t xml:space="preserve">Provide mandatory health and safety training to all employees</w:t>
      </w:r>
    </w:p>
    <w:p>
      <w:pPr>
        <w:pStyle w:val="ListParagraph"/>
        <w:numPr>
          <w:ilvl w:val="0"/>
          <w:numId w:val="1"/>
        </w:numPr>
        <w:spacing w:after="80"/>
      </w:pPr>
      <w:r>
        <w:rPr>
          <w:sz w:val="22"/>
          <w:szCs w:val="22"/>
        </w:rPr>
        <w:t xml:space="preserve">Maintain fire safety systems, first aid kits, and emergency equipment</w:t>
      </w:r>
    </w:p>
    <w:p>
      <w:pPr>
        <w:pStyle w:val="ListParagraph"/>
        <w:numPr>
          <w:ilvl w:val="0"/>
          <w:numId w:val="1"/>
        </w:numPr>
        <w:spacing w:after="80"/>
      </w:pPr>
      <w:r>
        <w:rPr>
          <w:sz w:val="22"/>
          <w:szCs w:val="22"/>
        </w:rPr>
        <w:t xml:space="preserve">Post emergency procedures and evacuation maps in all offices</w:t>
      </w:r>
    </w:p>
    <w:p>
      <w:pPr>
        <w:pStyle w:val="ListParagraph"/>
        <w:numPr>
          <w:ilvl w:val="0"/>
          <w:numId w:val="1"/>
        </w:numPr>
        <w:spacing w:after="80"/>
      </w:pPr>
      <w:r>
        <w:rPr>
          <w:sz w:val="22"/>
          <w:szCs w:val="22"/>
        </w:rPr>
        <w:t xml:space="preserve">Investigate all workplace injuries and near-misses</w:t>
      </w:r>
    </w:p>
    <w:p>
      <w:pPr>
        <w:spacing w:after="100"/>
      </w:pPr>
      <w:r>
        <w:t xml:space="preserve"/>
      </w:r>
    </w:p>
    <w:p>
      <w:pPr>
        <w:spacing w:after="120"/>
      </w:pPr>
      <w:r>
        <w:rPr>
          <w:b/>
          <w:bCs/>
          <w:sz w:val="22"/>
          <w:szCs w:val="22"/>
        </w:rPr>
        <w:t xml:space="preserve">Employee Responsibilities:</w:t>
      </w:r>
    </w:p>
    <w:p>
      <w:pPr>
        <w:pStyle w:val="ListParagraph"/>
        <w:numPr>
          <w:ilvl w:val="0"/>
          <w:numId w:val="1"/>
        </w:numPr>
        <w:spacing w:after="80"/>
      </w:pPr>
      <w:r>
        <w:rPr>
          <w:sz w:val="22"/>
          <w:szCs w:val="22"/>
        </w:rPr>
        <w:t xml:space="preserve">Follow all health and safety instructions and procedures</w:t>
      </w:r>
    </w:p>
    <w:p>
      <w:pPr>
        <w:pStyle w:val="ListParagraph"/>
        <w:numPr>
          <w:ilvl w:val="0"/>
          <w:numId w:val="1"/>
        </w:numPr>
        <w:spacing w:after="80"/>
      </w:pPr>
      <w:r>
        <w:rPr>
          <w:sz w:val="22"/>
          <w:szCs w:val="22"/>
        </w:rPr>
        <w:t xml:space="preserve">Report hazards, injuries, and near-misses immediately to your manager and Facilities</w:t>
      </w:r>
    </w:p>
    <w:p>
      <w:pPr>
        <w:pStyle w:val="ListParagraph"/>
        <w:numPr>
          <w:ilvl w:val="0"/>
          <w:numId w:val="1"/>
        </w:numPr>
        <w:spacing w:after="80"/>
      </w:pPr>
      <w:r>
        <w:rPr>
          <w:sz w:val="22"/>
          <w:szCs w:val="22"/>
        </w:rPr>
        <w:t xml:space="preserve">Use safety equipment when required</w:t>
      </w:r>
    </w:p>
    <w:p>
      <w:pPr>
        <w:pStyle w:val="ListParagraph"/>
        <w:numPr>
          <w:ilvl w:val="0"/>
          <w:numId w:val="1"/>
        </w:numPr>
        <w:spacing w:after="80"/>
      </w:pPr>
      <w:r>
        <w:rPr>
          <w:sz w:val="22"/>
          <w:szCs w:val="22"/>
        </w:rPr>
        <w:t xml:space="preserve">Not work under the influence of alcohol or controlled substances</w:t>
      </w:r>
    </w:p>
    <w:p>
      <w:pPr>
        <w:pStyle w:val="Heading2"/>
        <w:spacing w:after="150" w:before="300"/>
      </w:pPr>
      <w:r>
        <w:t xml:space="preserve">18.3 Emergency Procedures</w:t>
      </w:r>
    </w:p>
    <w:p>
      <w:pPr>
        <w:spacing w:after="120" w:line="276"/>
      </w:pPr>
      <w:r>
        <w:rPr>
          <w:sz w:val="22"/>
          <w:szCs w:val="22"/>
        </w:rPr>
        <w:t xml:space="preserve">Each office maintains a published Emergency Response Plan, posted at all emergency exits and available on the company intranet. In all offices:</w:t>
      </w:r>
    </w:p>
    <w:p>
      <w:pPr>
        <w:pStyle w:val="ListParagraph"/>
        <w:numPr>
          <w:ilvl w:val="0"/>
          <w:numId w:val="1"/>
        </w:numPr>
        <w:spacing w:after="80"/>
      </w:pPr>
      <w:r>
        <w:rPr>
          <w:sz w:val="22"/>
          <w:szCs w:val="22"/>
        </w:rPr>
        <w:t xml:space="preserve">Fire Alarm: Evacuate immediately via the nearest fire exit; gather at the designated assembly point</w:t>
      </w:r>
    </w:p>
    <w:p>
      <w:pPr>
        <w:pStyle w:val="ListParagraph"/>
        <w:numPr>
          <w:ilvl w:val="0"/>
          <w:numId w:val="1"/>
        </w:numPr>
        <w:spacing w:after="80"/>
      </w:pPr>
      <w:r>
        <w:rPr>
          <w:sz w:val="22"/>
          <w:szCs w:val="22"/>
        </w:rPr>
        <w:t xml:space="preserve">Medical Emergency: Call the local emergency number (911 in US, 999 in UK, 112 in Germany/Singapore, 108 in India). Notify Facilities immediately</w:t>
      </w:r>
    </w:p>
    <w:p>
      <w:pPr>
        <w:pStyle w:val="ListParagraph"/>
        <w:numPr>
          <w:ilvl w:val="0"/>
          <w:numId w:val="1"/>
        </w:numPr>
        <w:spacing w:after="80"/>
      </w:pPr>
      <w:r>
        <w:rPr>
          <w:sz w:val="22"/>
          <w:szCs w:val="22"/>
        </w:rPr>
        <w:t xml:space="preserve">Security Threat: Follow the Run-Hide-Tell protocol; call security operations at security.ops@optiagent.com</w:t>
      </w:r>
    </w:p>
    <w:p>
      <w:pPr>
        <w:pStyle w:val="ListParagraph"/>
        <w:numPr>
          <w:ilvl w:val="0"/>
          <w:numId w:val="1"/>
        </w:numPr>
        <w:spacing w:after="80"/>
      </w:pPr>
      <w:r>
        <w:rPr>
          <w:sz w:val="22"/>
          <w:szCs w:val="22"/>
        </w:rPr>
        <w:t xml:space="preserve">Natural Disaster: Follow building management instructions; OptiAgent will communicate via SMS and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Office</w:t>
            </w:r>
          </w:p>
        </w:tc>
        <w:tc>
          <w:tcPr>
            <w:tcW w:type="dxa" w:w="2340"/>
            <w:shd w:fill="1F4E79" w:color="1F4E79" w:val="clear"/>
          </w:tcPr>
          <w:p>
            <w:pPr>
              <w:spacing w:after="60"/>
            </w:pPr>
            <w:r>
              <w:rPr>
                <w:b/>
                <w:bCs/>
                <w:sz w:val="20"/>
                <w:szCs w:val="20"/>
              </w:rPr>
              <w:t xml:space="preserve">Emergency Number</w:t>
            </w:r>
          </w:p>
        </w:tc>
        <w:tc>
          <w:tcPr>
            <w:tcW w:type="dxa" w:w="2340"/>
            <w:shd w:fill="1F4E79" w:color="1F4E79" w:val="clear"/>
          </w:tcPr>
          <w:p>
            <w:pPr>
              <w:spacing w:after="60"/>
            </w:pPr>
            <w:r>
              <w:rPr>
                <w:b/>
                <w:bCs/>
                <w:sz w:val="20"/>
                <w:szCs w:val="20"/>
              </w:rPr>
              <w:t xml:space="preserve">Assembly Point</w:t>
            </w:r>
          </w:p>
        </w:tc>
        <w:tc>
          <w:tcPr>
            <w:tcW w:type="dxa" w:w="2340"/>
            <w:shd w:fill="1F4E79" w:color="1F4E79" w:val="clear"/>
          </w:tcPr>
          <w:p>
            <w:pPr>
              <w:spacing w:after="60"/>
            </w:pPr>
            <w:r>
              <w:rPr>
                <w:b/>
                <w:bCs/>
                <w:sz w:val="20"/>
                <w:szCs w:val="20"/>
              </w:rPr>
              <w:t xml:space="preserve">First Aider Contact</w:t>
            </w:r>
          </w:p>
        </w:tc>
      </w:tr>
      <w:tr>
        <w:tc>
          <w:tcPr>
            <w:tcW w:type="dxa" w:w="2340"/>
          </w:tcPr>
          <w:p>
            <w:pPr>
              <w:spacing w:after="60"/>
            </w:pPr>
            <w:r>
              <w:rPr>
                <w:b w:val="false"/>
                <w:bCs w:val="false"/>
                <w:sz w:val="20"/>
                <w:szCs w:val="20"/>
              </w:rPr>
              <w:t xml:space="preserve">San Francisco, CA</w:t>
            </w:r>
          </w:p>
        </w:tc>
        <w:tc>
          <w:tcPr>
            <w:tcW w:type="dxa" w:w="2340"/>
          </w:tcPr>
          <w:p>
            <w:pPr>
              <w:spacing w:after="60"/>
            </w:pPr>
            <w:r>
              <w:rPr>
                <w:b w:val="false"/>
                <w:bCs w:val="false"/>
                <w:sz w:val="20"/>
                <w:szCs w:val="20"/>
              </w:rPr>
              <w:t xml:space="preserve">911</w:t>
            </w:r>
          </w:p>
        </w:tc>
        <w:tc>
          <w:tcPr>
            <w:tcW w:type="dxa" w:w="2340"/>
          </w:tcPr>
          <w:p>
            <w:pPr>
              <w:spacing w:after="60"/>
            </w:pPr>
            <w:r>
              <w:rPr>
                <w:b w:val="false"/>
                <w:bCs w:val="false"/>
                <w:sz w:val="20"/>
                <w:szCs w:val="20"/>
              </w:rPr>
              <w:t xml:space="preserve">Salesforce Park (across from Main Entrance)</w:t>
            </w:r>
          </w:p>
        </w:tc>
        <w:tc>
          <w:tcPr>
            <w:tcW w:type="dxa" w:w="2340"/>
          </w:tcPr>
          <w:p>
            <w:pPr>
              <w:spacing w:after="60"/>
            </w:pPr>
            <w:r>
              <w:rPr>
                <w:b w:val="false"/>
                <w:bCs w:val="false"/>
                <w:sz w:val="20"/>
                <w:szCs w:val="20"/>
              </w:rPr>
              <w:t xml:space="preserve">facilities.sf@optiagent.com</w:t>
            </w:r>
          </w:p>
        </w:tc>
      </w:tr>
      <w:tr>
        <w:tc>
          <w:tcPr>
            <w:tcW w:type="dxa" w:w="2340"/>
          </w:tcPr>
          <w:p>
            <w:pPr>
              <w:spacing w:after="60"/>
            </w:pPr>
            <w:r>
              <w:rPr>
                <w:b w:val="false"/>
                <w:bCs w:val="false"/>
                <w:sz w:val="20"/>
                <w:szCs w:val="20"/>
              </w:rPr>
              <w:t xml:space="preserve">London, EC2</w:t>
            </w:r>
          </w:p>
        </w:tc>
        <w:tc>
          <w:tcPr>
            <w:tcW w:type="dxa" w:w="2340"/>
          </w:tcPr>
          <w:p>
            <w:pPr>
              <w:spacing w:after="60"/>
            </w:pPr>
            <w:r>
              <w:rPr>
                <w:b w:val="false"/>
                <w:bCs w:val="false"/>
                <w:sz w:val="20"/>
                <w:szCs w:val="20"/>
              </w:rPr>
              <w:t xml:space="preserve">999 / 112</w:t>
            </w:r>
          </w:p>
        </w:tc>
        <w:tc>
          <w:tcPr>
            <w:tcW w:type="dxa" w:w="2340"/>
          </w:tcPr>
          <w:p>
            <w:pPr>
              <w:spacing w:after="60"/>
            </w:pPr>
            <w:r>
              <w:rPr>
                <w:b w:val="false"/>
                <w:bCs w:val="false"/>
                <w:sz w:val="20"/>
                <w:szCs w:val="20"/>
              </w:rPr>
              <w:t xml:space="preserve">Broadgate Circle</w:t>
            </w:r>
          </w:p>
        </w:tc>
        <w:tc>
          <w:tcPr>
            <w:tcW w:type="dxa" w:w="2340"/>
          </w:tcPr>
          <w:p>
            <w:pPr>
              <w:spacing w:after="60"/>
            </w:pPr>
            <w:r>
              <w:rPr>
                <w:b w:val="false"/>
                <w:bCs w:val="false"/>
                <w:sz w:val="20"/>
                <w:szCs w:val="20"/>
              </w:rPr>
              <w:t xml:space="preserve">facilities.lon@optiagent.com</w:t>
            </w:r>
          </w:p>
        </w:tc>
      </w:tr>
      <w:tr>
        <w:tc>
          <w:tcPr>
            <w:tcW w:type="dxa" w:w="2340"/>
          </w:tcPr>
          <w:p>
            <w:pPr>
              <w:spacing w:after="60"/>
            </w:pPr>
            <w:r>
              <w:rPr>
                <w:b w:val="false"/>
                <w:bCs w:val="false"/>
                <w:sz w:val="20"/>
                <w:szCs w:val="20"/>
              </w:rPr>
              <w:t xml:space="preserve">Hyderabad</w:t>
            </w:r>
          </w:p>
        </w:tc>
        <w:tc>
          <w:tcPr>
            <w:tcW w:type="dxa" w:w="2340"/>
          </w:tcPr>
          <w:p>
            <w:pPr>
              <w:spacing w:after="60"/>
            </w:pPr>
            <w:r>
              <w:rPr>
                <w:b w:val="false"/>
                <w:bCs w:val="false"/>
                <w:sz w:val="20"/>
                <w:szCs w:val="20"/>
              </w:rPr>
              <w:t xml:space="preserve">100/108</w:t>
            </w:r>
          </w:p>
        </w:tc>
        <w:tc>
          <w:tcPr>
            <w:tcW w:type="dxa" w:w="2340"/>
          </w:tcPr>
          <w:p>
            <w:pPr>
              <w:spacing w:after="60"/>
            </w:pPr>
            <w:r>
              <w:rPr>
                <w:b w:val="false"/>
                <w:bCs w:val="false"/>
                <w:sz w:val="20"/>
                <w:szCs w:val="20"/>
              </w:rPr>
              <w:t xml:space="preserve">Main Parking (Block C)</w:t>
            </w:r>
          </w:p>
        </w:tc>
        <w:tc>
          <w:tcPr>
            <w:tcW w:type="dxa" w:w="2340"/>
          </w:tcPr>
          <w:p>
            <w:pPr>
              <w:spacing w:after="60"/>
            </w:pPr>
            <w:r>
              <w:rPr>
                <w:b w:val="false"/>
                <w:bCs w:val="false"/>
                <w:sz w:val="20"/>
                <w:szCs w:val="20"/>
              </w:rPr>
              <w:t xml:space="preserve">facilities.hyd@optiagent.com</w:t>
            </w:r>
          </w:p>
        </w:tc>
      </w:tr>
      <w:tr>
        <w:tc>
          <w:tcPr>
            <w:tcW w:type="dxa" w:w="2340"/>
          </w:tcPr>
          <w:p>
            <w:pPr>
              <w:spacing w:after="60"/>
            </w:pPr>
            <w:r>
              <w:rPr>
                <w:b w:val="false"/>
                <w:bCs w:val="false"/>
                <w:sz w:val="20"/>
                <w:szCs w:val="20"/>
              </w:rPr>
              <w:t xml:space="preserve">Berlin</w:t>
            </w:r>
          </w:p>
        </w:tc>
        <w:tc>
          <w:tcPr>
            <w:tcW w:type="dxa" w:w="2340"/>
          </w:tcPr>
          <w:p>
            <w:pPr>
              <w:spacing w:after="60"/>
            </w:pPr>
            <w:r>
              <w:rPr>
                <w:b w:val="false"/>
                <w:bCs w:val="false"/>
                <w:sz w:val="20"/>
                <w:szCs w:val="20"/>
              </w:rPr>
              <w:t xml:space="preserve">110/112</w:t>
            </w:r>
          </w:p>
        </w:tc>
        <w:tc>
          <w:tcPr>
            <w:tcW w:type="dxa" w:w="2340"/>
          </w:tcPr>
          <w:p>
            <w:pPr>
              <w:spacing w:after="60"/>
            </w:pPr>
            <w:r>
              <w:rPr>
                <w:b w:val="false"/>
                <w:bCs w:val="false"/>
                <w:sz w:val="20"/>
                <w:szCs w:val="20"/>
              </w:rPr>
              <w:t xml:space="preserve">Courtyard behind Building A</w:t>
            </w:r>
          </w:p>
        </w:tc>
        <w:tc>
          <w:tcPr>
            <w:tcW w:type="dxa" w:w="2340"/>
          </w:tcPr>
          <w:p>
            <w:pPr>
              <w:spacing w:after="60"/>
            </w:pPr>
            <w:r>
              <w:rPr>
                <w:b w:val="false"/>
                <w:bCs w:val="false"/>
                <w:sz w:val="20"/>
                <w:szCs w:val="20"/>
              </w:rPr>
              <w:t xml:space="preserve">facilities.ber@optiagent.com</w:t>
            </w:r>
          </w:p>
        </w:tc>
      </w:tr>
      <w:tr>
        <w:tc>
          <w:tcPr>
            <w:tcW w:type="dxa" w:w="2340"/>
          </w:tcPr>
          <w:p>
            <w:pPr>
              <w:spacing w:after="60"/>
            </w:pPr>
            <w:r>
              <w:rPr>
                <w:b w:val="false"/>
                <w:bCs w:val="false"/>
                <w:sz w:val="20"/>
                <w:szCs w:val="20"/>
              </w:rPr>
              <w:t xml:space="preserve">Singapore</w:t>
            </w:r>
          </w:p>
        </w:tc>
        <w:tc>
          <w:tcPr>
            <w:tcW w:type="dxa" w:w="2340"/>
          </w:tcPr>
          <w:p>
            <w:pPr>
              <w:spacing w:after="60"/>
            </w:pPr>
            <w:r>
              <w:rPr>
                <w:b w:val="false"/>
                <w:bCs w:val="false"/>
                <w:sz w:val="20"/>
                <w:szCs w:val="20"/>
              </w:rPr>
              <w:t xml:space="preserve">995</w:t>
            </w:r>
          </w:p>
        </w:tc>
        <w:tc>
          <w:tcPr>
            <w:tcW w:type="dxa" w:w="2340"/>
          </w:tcPr>
          <w:p>
            <w:pPr>
              <w:spacing w:after="60"/>
            </w:pPr>
            <w:r>
              <w:rPr>
                <w:b w:val="false"/>
                <w:bCs w:val="false"/>
                <w:sz w:val="20"/>
                <w:szCs w:val="20"/>
              </w:rPr>
              <w:t xml:space="preserve">Marina Bay Open Plaza</w:t>
            </w:r>
          </w:p>
        </w:tc>
        <w:tc>
          <w:tcPr>
            <w:tcW w:type="dxa" w:w="2340"/>
          </w:tcPr>
          <w:p>
            <w:pPr>
              <w:spacing w:after="60"/>
            </w:pPr>
            <w:r>
              <w:rPr>
                <w:b w:val="false"/>
                <w:bCs w:val="false"/>
                <w:sz w:val="20"/>
                <w:szCs w:val="20"/>
              </w:rPr>
              <w:t xml:space="preserve">facilities.sg@optiagent.com</w:t>
            </w:r>
          </w:p>
        </w:tc>
      </w:tr>
    </w:tbl>
    <w:p>
      <w:pPr>
        <w:spacing w:after="100"/>
      </w:pPr>
      <w:r>
        <w:t xml:space="preserve"/>
      </w:r>
    </w:p>
    <w:p>
      <w:r>
        <w:br w:type="page"/>
      </w:r>
    </w:p>
    <w:p>
      <w:pPr>
        <w:pStyle w:val="Heading1"/>
        <w:spacing w:after="200" w:before="400"/>
      </w:pPr>
      <w:r>
        <w:t xml:space="preserve">Chapter 19: Employee &amp; Manager Responsibilities</w:t>
      </w:r>
    </w:p>
    <w:p>
      <w:pPr>
        <w:pStyle w:val="Heading2"/>
        <w:spacing w:after="150" w:before="300"/>
      </w:pPr>
      <w:r>
        <w:t xml:space="preserve">19.1 Employee Responsibilities</w:t>
      </w:r>
    </w:p>
    <w:p>
      <w:pPr>
        <w:spacing w:after="120" w:line="276"/>
      </w:pPr>
      <w:r>
        <w:rPr>
          <w:sz w:val="22"/>
          <w:szCs w:val="22"/>
        </w:rPr>
        <w:t xml:space="preserve">As an OptiAgent employee, you are responsible for:</w:t>
      </w:r>
    </w:p>
    <w:p>
      <w:pPr>
        <w:pStyle w:val="ListParagraph"/>
        <w:numPr>
          <w:ilvl w:val="0"/>
          <w:numId w:val="1"/>
        </w:numPr>
        <w:spacing w:after="80"/>
      </w:pPr>
      <w:r>
        <w:rPr>
          <w:sz w:val="22"/>
          <w:szCs w:val="22"/>
        </w:rPr>
        <w:t xml:space="preserve">Understanding and complying with this handbook and all company policies</w:t>
      </w:r>
    </w:p>
    <w:p>
      <w:pPr>
        <w:pStyle w:val="ListParagraph"/>
        <w:numPr>
          <w:ilvl w:val="0"/>
          <w:numId w:val="1"/>
        </w:numPr>
        <w:spacing w:after="80"/>
      </w:pPr>
      <w:r>
        <w:rPr>
          <w:sz w:val="22"/>
          <w:szCs w:val="22"/>
        </w:rPr>
        <w:t xml:space="preserve">Meeting the performance expectations of your role as defined by your manager and OKRs</w:t>
      </w:r>
    </w:p>
    <w:p>
      <w:pPr>
        <w:pStyle w:val="ListParagraph"/>
        <w:numPr>
          <w:ilvl w:val="0"/>
          <w:numId w:val="1"/>
        </w:numPr>
        <w:spacing w:after="80"/>
      </w:pPr>
      <w:r>
        <w:rPr>
          <w:sz w:val="22"/>
          <w:szCs w:val="22"/>
        </w:rPr>
        <w:t xml:space="preserve">Treating all colleagues, customers, and partners with respect and professionalism</w:t>
      </w:r>
    </w:p>
    <w:p>
      <w:pPr>
        <w:pStyle w:val="ListParagraph"/>
        <w:numPr>
          <w:ilvl w:val="0"/>
          <w:numId w:val="1"/>
        </w:numPr>
        <w:spacing w:after="80"/>
      </w:pPr>
      <w:r>
        <w:rPr>
          <w:sz w:val="22"/>
          <w:szCs w:val="22"/>
        </w:rPr>
        <w:t xml:space="preserve">Protecting company assets, data, and intellectual property</w:t>
      </w:r>
    </w:p>
    <w:p>
      <w:pPr>
        <w:pStyle w:val="ListParagraph"/>
        <w:numPr>
          <w:ilvl w:val="0"/>
          <w:numId w:val="1"/>
        </w:numPr>
        <w:spacing w:after="80"/>
      </w:pPr>
      <w:r>
        <w:rPr>
          <w:sz w:val="22"/>
          <w:szCs w:val="22"/>
        </w:rPr>
        <w:t xml:space="preserve">Maintaining accurate records and timely expense reporting</w:t>
      </w:r>
    </w:p>
    <w:p>
      <w:pPr>
        <w:pStyle w:val="ListParagraph"/>
        <w:numPr>
          <w:ilvl w:val="0"/>
          <w:numId w:val="1"/>
        </w:numPr>
        <w:spacing w:after="80"/>
      </w:pPr>
      <w:r>
        <w:rPr>
          <w:sz w:val="22"/>
          <w:szCs w:val="22"/>
        </w:rPr>
        <w:t xml:space="preserve">Actively participating in your own development by utilizing learning resources</w:t>
      </w:r>
    </w:p>
    <w:p>
      <w:pPr>
        <w:pStyle w:val="ListParagraph"/>
        <w:numPr>
          <w:ilvl w:val="0"/>
          <w:numId w:val="1"/>
        </w:numPr>
        <w:spacing w:after="80"/>
      </w:pPr>
      <w:r>
        <w:rPr>
          <w:sz w:val="22"/>
          <w:szCs w:val="22"/>
        </w:rPr>
        <w:t xml:space="preserve">Reporting concerns, violations, or unsafe conditions through appropriate channels</w:t>
      </w:r>
    </w:p>
    <w:p>
      <w:pPr>
        <w:pStyle w:val="ListParagraph"/>
        <w:numPr>
          <w:ilvl w:val="0"/>
          <w:numId w:val="1"/>
        </w:numPr>
        <w:spacing w:after="80"/>
      </w:pPr>
      <w:r>
        <w:rPr>
          <w:sz w:val="22"/>
          <w:szCs w:val="22"/>
        </w:rPr>
        <w:t xml:space="preserve">Completing all mandatory training within required timelines</w:t>
      </w:r>
    </w:p>
    <w:p>
      <w:pPr>
        <w:pStyle w:val="Heading2"/>
        <w:spacing w:after="150" w:before="300"/>
      </w:pPr>
      <w:r>
        <w:t xml:space="preserve">19.2 Manager Responsibilities</w:t>
      </w:r>
    </w:p>
    <w:p>
      <w:pPr>
        <w:spacing w:after="120" w:line="276"/>
      </w:pPr>
      <w:r>
        <w:rPr>
          <w:sz w:val="22"/>
          <w:szCs w:val="22"/>
        </w:rPr>
        <w:t xml:space="preserve">People managers at OptiAgent Technologies carry a heightened set of responsibilities. Managers are accountable for:</w:t>
      </w:r>
    </w:p>
    <w:p>
      <w:pPr>
        <w:pStyle w:val="ListParagraph"/>
        <w:numPr>
          <w:ilvl w:val="0"/>
          <w:numId w:val="1"/>
        </w:numPr>
        <w:spacing w:after="80"/>
      </w:pPr>
      <w:r>
        <w:rPr>
          <w:sz w:val="22"/>
          <w:szCs w:val="22"/>
        </w:rPr>
        <w:t xml:space="preserve">Conducting regular 1:1 meetings (minimum weekly for direct reports)</w:t>
      </w:r>
    </w:p>
    <w:p>
      <w:pPr>
        <w:pStyle w:val="ListParagraph"/>
        <w:numPr>
          <w:ilvl w:val="0"/>
          <w:numId w:val="1"/>
        </w:numPr>
        <w:spacing w:after="80"/>
      </w:pPr>
      <w:r>
        <w:rPr>
          <w:sz w:val="22"/>
          <w:szCs w:val="22"/>
        </w:rPr>
        <w:t xml:space="preserve">Setting clear OKRs and communicating performance expectations</w:t>
      </w:r>
    </w:p>
    <w:p>
      <w:pPr>
        <w:pStyle w:val="ListParagraph"/>
        <w:numPr>
          <w:ilvl w:val="0"/>
          <w:numId w:val="1"/>
        </w:numPr>
        <w:spacing w:after="80"/>
      </w:pPr>
      <w:r>
        <w:rPr>
          <w:sz w:val="22"/>
          <w:szCs w:val="22"/>
        </w:rPr>
        <w:t xml:space="preserve">Providing timely, specific, and actionable feedback</w:t>
      </w:r>
    </w:p>
    <w:p>
      <w:pPr>
        <w:pStyle w:val="ListParagraph"/>
        <w:numPr>
          <w:ilvl w:val="0"/>
          <w:numId w:val="1"/>
        </w:numPr>
        <w:spacing w:after="80"/>
      </w:pPr>
      <w:r>
        <w:rPr>
          <w:sz w:val="22"/>
          <w:szCs w:val="22"/>
        </w:rPr>
        <w:t xml:space="preserve">Supporting team members' development and career aspirations</w:t>
      </w:r>
    </w:p>
    <w:p>
      <w:pPr>
        <w:pStyle w:val="ListParagraph"/>
        <w:numPr>
          <w:ilvl w:val="0"/>
          <w:numId w:val="1"/>
        </w:numPr>
        <w:spacing w:after="80"/>
      </w:pPr>
      <w:r>
        <w:rPr>
          <w:sz w:val="22"/>
          <w:szCs w:val="22"/>
        </w:rPr>
        <w:t xml:space="preserve">Creating a psychologically safe environment where team members can raise concerns</w:t>
      </w:r>
    </w:p>
    <w:p>
      <w:pPr>
        <w:pStyle w:val="ListParagraph"/>
        <w:numPr>
          <w:ilvl w:val="0"/>
          <w:numId w:val="1"/>
        </w:numPr>
        <w:spacing w:after="80"/>
      </w:pPr>
      <w:r>
        <w:rPr>
          <w:sz w:val="22"/>
          <w:szCs w:val="22"/>
        </w:rPr>
        <w:t xml:space="preserve">Fairly enforcing company policies, including leave and attendance</w:t>
      </w:r>
    </w:p>
    <w:p>
      <w:pPr>
        <w:pStyle w:val="ListParagraph"/>
        <w:numPr>
          <w:ilvl w:val="0"/>
          <w:numId w:val="1"/>
        </w:numPr>
        <w:spacing w:after="80"/>
      </w:pPr>
      <w:r>
        <w:rPr>
          <w:sz w:val="22"/>
          <w:szCs w:val="22"/>
        </w:rPr>
        <w:t xml:space="preserve">Participating in calibration sessions honestly and rigorously</w:t>
      </w:r>
    </w:p>
    <w:p>
      <w:pPr>
        <w:pStyle w:val="ListParagraph"/>
        <w:numPr>
          <w:ilvl w:val="0"/>
          <w:numId w:val="1"/>
        </w:numPr>
        <w:spacing w:after="80"/>
      </w:pPr>
      <w:r>
        <w:rPr>
          <w:sz w:val="22"/>
          <w:szCs w:val="22"/>
        </w:rPr>
        <w:t xml:space="preserve">Not retaliating against employees who raise concerns or take protected leave</w:t>
      </w:r>
    </w:p>
    <w:p>
      <w:pPr>
        <w:pStyle w:val="ListParagraph"/>
        <w:numPr>
          <w:ilvl w:val="0"/>
          <w:numId w:val="1"/>
        </w:numPr>
        <w:spacing w:after="80"/>
      </w:pPr>
      <w:r>
        <w:rPr>
          <w:sz w:val="22"/>
          <w:szCs w:val="22"/>
        </w:rPr>
        <w:t xml:space="preserve">Escalating HR and legal issues to HR Business Partners promptly</w:t>
      </w:r>
    </w:p>
    <w:p>
      <w:pPr>
        <w:pStyle w:val="Heading2"/>
        <w:spacing w:after="150" w:before="300"/>
      </w:pPr>
      <w:r>
        <w:t xml:space="preserve">19.3 HR Business Partner Responsibilities</w:t>
      </w:r>
    </w:p>
    <w:p>
      <w:pPr>
        <w:spacing w:after="120" w:line="276"/>
      </w:pPr>
      <w:r>
        <w:rPr>
          <w:sz w:val="22"/>
          <w:szCs w:val="22"/>
        </w:rPr>
        <w:t xml:space="preserve">HR Business Partners (HRBPs) serve as strategic advisors to department leaders and direct point of contact for employee relations matters. HRBPs are responsible for:</w:t>
      </w:r>
    </w:p>
    <w:p>
      <w:pPr>
        <w:pStyle w:val="ListParagraph"/>
        <w:numPr>
          <w:ilvl w:val="0"/>
          <w:numId w:val="1"/>
        </w:numPr>
        <w:spacing w:after="80"/>
      </w:pPr>
      <w:r>
        <w:rPr>
          <w:sz w:val="22"/>
          <w:szCs w:val="22"/>
        </w:rPr>
        <w:t xml:space="preserve">Advising managers on performance, conduct, and employment law matters</w:t>
      </w:r>
    </w:p>
    <w:p>
      <w:pPr>
        <w:pStyle w:val="ListParagraph"/>
        <w:numPr>
          <w:ilvl w:val="0"/>
          <w:numId w:val="1"/>
        </w:numPr>
        <w:spacing w:after="80"/>
      </w:pPr>
      <w:r>
        <w:rPr>
          <w:sz w:val="22"/>
          <w:szCs w:val="22"/>
        </w:rPr>
        <w:t xml:space="preserve">Supporting the annual review and calibration process</w:t>
      </w:r>
    </w:p>
    <w:p>
      <w:pPr>
        <w:pStyle w:val="ListParagraph"/>
        <w:numPr>
          <w:ilvl w:val="0"/>
          <w:numId w:val="1"/>
        </w:numPr>
        <w:spacing w:after="80"/>
      </w:pPr>
      <w:r>
        <w:rPr>
          <w:sz w:val="22"/>
          <w:szCs w:val="22"/>
        </w:rPr>
        <w:t xml:space="preserve">Investigating complaints and escalating to Employee Relations or Legal as needed</w:t>
      </w:r>
    </w:p>
    <w:p>
      <w:pPr>
        <w:pStyle w:val="ListParagraph"/>
        <w:numPr>
          <w:ilvl w:val="0"/>
          <w:numId w:val="1"/>
        </w:numPr>
        <w:spacing w:after="80"/>
      </w:pPr>
      <w:r>
        <w:rPr>
          <w:sz w:val="22"/>
          <w:szCs w:val="22"/>
        </w:rPr>
        <w:t xml:space="preserve">Tracking headcount, attrition, and engagement metrics for their business unit</w:t>
      </w:r>
    </w:p>
    <w:p>
      <w:pPr>
        <w:pStyle w:val="ListParagraph"/>
        <w:numPr>
          <w:ilvl w:val="0"/>
          <w:numId w:val="1"/>
        </w:numPr>
        <w:spacing w:after="80"/>
      </w:pPr>
      <w:r>
        <w:rPr>
          <w:sz w:val="22"/>
          <w:szCs w:val="22"/>
        </w:rPr>
        <w:t xml:space="preserve">Facilitating the PIP process</w:t>
      </w:r>
    </w:p>
    <w:p>
      <w:pPr>
        <w:pStyle w:val="ListParagraph"/>
        <w:numPr>
          <w:ilvl w:val="0"/>
          <w:numId w:val="1"/>
        </w:numPr>
        <w:spacing w:after="80"/>
      </w:pPr>
      <w:r>
        <w:rPr>
          <w:sz w:val="22"/>
          <w:szCs w:val="22"/>
        </w:rPr>
        <w:t xml:space="preserve">Partnering with Talent Acquisition on headcount planning and offer approvals</w:t>
      </w:r>
    </w:p>
    <w:p>
      <w:r>
        <w:br w:type="page"/>
      </w:r>
    </w:p>
    <w:p>
      <w:pPr>
        <w:pStyle w:val="Heading1"/>
        <w:spacing w:after="200" w:before="400"/>
      </w:pPr>
      <w:r>
        <w:t xml:space="preserve">Chapter 20: Termination &amp; Exit Process</w:t>
      </w:r>
    </w:p>
    <w:p>
      <w:pPr>
        <w:pStyle w:val="Heading2"/>
        <w:spacing w:after="150" w:before="300"/>
      </w:pPr>
      <w:r>
        <w:t xml:space="preserve">20.1 Types of Employment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Separation Type</w:t>
            </w:r>
          </w:p>
        </w:tc>
        <w:tc>
          <w:tcPr>
            <w:tcW w:type="dxa" w:w="2340"/>
            <w:shd w:fill="1F4E79" w:color="1F4E79" w:val="clear"/>
          </w:tcPr>
          <w:p>
            <w:pPr>
              <w:spacing w:after="60"/>
            </w:pPr>
            <w:r>
              <w:rPr>
                <w:b/>
                <w:bCs/>
                <w:sz w:val="20"/>
                <w:szCs w:val="20"/>
              </w:rPr>
              <w:t xml:space="preserve">Definition</w:t>
            </w:r>
          </w:p>
        </w:tc>
        <w:tc>
          <w:tcPr>
            <w:tcW w:type="dxa" w:w="2340"/>
            <w:shd w:fill="1F4E79" w:color="1F4E79" w:val="clear"/>
          </w:tcPr>
          <w:p>
            <w:pPr>
              <w:spacing w:after="60"/>
            </w:pPr>
            <w:r>
              <w:rPr>
                <w:b/>
                <w:bCs/>
                <w:sz w:val="20"/>
                <w:szCs w:val="20"/>
              </w:rPr>
              <w:t xml:space="preserve">Notice Period</w:t>
            </w:r>
          </w:p>
        </w:tc>
        <w:tc>
          <w:tcPr>
            <w:tcW w:type="dxa" w:w="2340"/>
            <w:shd w:fill="1F4E79" w:color="1F4E79" w:val="clear"/>
          </w:tcPr>
          <w:p>
            <w:pPr>
              <w:spacing w:after="60"/>
            </w:pPr>
            <w:r>
              <w:rPr>
                <w:b/>
                <w:bCs/>
                <w:sz w:val="20"/>
                <w:szCs w:val="20"/>
              </w:rPr>
              <w:t xml:space="preserve">Severance</w:t>
            </w:r>
          </w:p>
        </w:tc>
      </w:tr>
      <w:tr>
        <w:tc>
          <w:tcPr>
            <w:tcW w:type="dxa" w:w="2340"/>
          </w:tcPr>
          <w:p>
            <w:pPr>
              <w:spacing w:after="60"/>
            </w:pPr>
            <w:r>
              <w:rPr>
                <w:b w:val="false"/>
                <w:bCs w:val="false"/>
                <w:sz w:val="20"/>
                <w:szCs w:val="20"/>
              </w:rPr>
              <w:t xml:space="preserve">Voluntary Resignation</w:t>
            </w:r>
          </w:p>
        </w:tc>
        <w:tc>
          <w:tcPr>
            <w:tcW w:type="dxa" w:w="2340"/>
          </w:tcPr>
          <w:p>
            <w:pPr>
              <w:spacing w:after="60"/>
            </w:pPr>
            <w:r>
              <w:rPr>
                <w:b w:val="false"/>
                <w:bCs w:val="false"/>
                <w:sz w:val="20"/>
                <w:szCs w:val="20"/>
              </w:rPr>
              <w:t xml:space="preserve">Employee initiates departure</w:t>
            </w:r>
          </w:p>
        </w:tc>
        <w:tc>
          <w:tcPr>
            <w:tcW w:type="dxa" w:w="2340"/>
          </w:tcPr>
          <w:p>
            <w:pPr>
              <w:spacing w:after="60"/>
            </w:pPr>
            <w:r>
              <w:rPr>
                <w:b w:val="false"/>
                <w:bCs w:val="false"/>
                <w:sz w:val="20"/>
                <w:szCs w:val="20"/>
              </w:rPr>
              <w:t xml:space="preserve">Per employment contract (typically 2–4 weeks)</w:t>
            </w:r>
          </w:p>
        </w:tc>
        <w:tc>
          <w:tcPr>
            <w:tcW w:type="dxa" w:w="2340"/>
          </w:tcPr>
          <w:p>
            <w:pPr>
              <w:spacing w:after="60"/>
            </w:pPr>
            <w:r>
              <w:rPr>
                <w:b w:val="false"/>
                <w:bCs w:val="false"/>
                <w:sz w:val="20"/>
                <w:szCs w:val="20"/>
              </w:rPr>
              <w:t xml:space="preserve">None (unless agreed)</w:t>
            </w:r>
          </w:p>
        </w:tc>
      </w:tr>
      <w:tr>
        <w:tc>
          <w:tcPr>
            <w:tcW w:type="dxa" w:w="2340"/>
          </w:tcPr>
          <w:p>
            <w:pPr>
              <w:spacing w:after="60"/>
            </w:pPr>
            <w:r>
              <w:rPr>
                <w:b w:val="false"/>
                <w:bCs w:val="false"/>
                <w:sz w:val="20"/>
                <w:szCs w:val="20"/>
              </w:rPr>
              <w:t xml:space="preserve">Mutual Agreement</w:t>
            </w:r>
          </w:p>
        </w:tc>
        <w:tc>
          <w:tcPr>
            <w:tcW w:type="dxa" w:w="2340"/>
          </w:tcPr>
          <w:p>
            <w:pPr>
              <w:spacing w:after="60"/>
            </w:pPr>
            <w:r>
              <w:rPr>
                <w:b w:val="false"/>
                <w:bCs w:val="false"/>
                <w:sz w:val="20"/>
                <w:szCs w:val="20"/>
              </w:rPr>
              <w:t xml:space="preserve">Both parties agree to terminate</w:t>
            </w:r>
          </w:p>
        </w:tc>
        <w:tc>
          <w:tcPr>
            <w:tcW w:type="dxa" w:w="2340"/>
          </w:tcPr>
          <w:p>
            <w:pPr>
              <w:spacing w:after="60"/>
            </w:pPr>
            <w:r>
              <w:rPr>
                <w:b w:val="false"/>
                <w:bCs w:val="false"/>
                <w:sz w:val="20"/>
                <w:szCs w:val="20"/>
              </w:rPr>
              <w:t xml:space="preserve">Negotiated</w:t>
            </w:r>
          </w:p>
        </w:tc>
        <w:tc>
          <w:tcPr>
            <w:tcW w:type="dxa" w:w="2340"/>
          </w:tcPr>
          <w:p>
            <w:pPr>
              <w:spacing w:after="60"/>
            </w:pPr>
            <w:r>
              <w:rPr>
                <w:b w:val="false"/>
                <w:bCs w:val="false"/>
                <w:sz w:val="20"/>
                <w:szCs w:val="20"/>
              </w:rPr>
              <w:t xml:space="preserve">May be offered</w:t>
            </w:r>
          </w:p>
        </w:tc>
      </w:tr>
      <w:tr>
        <w:tc>
          <w:tcPr>
            <w:tcW w:type="dxa" w:w="2340"/>
          </w:tcPr>
          <w:p>
            <w:pPr>
              <w:spacing w:after="60"/>
            </w:pPr>
            <w:r>
              <w:rPr>
                <w:b w:val="false"/>
                <w:bCs w:val="false"/>
                <w:sz w:val="20"/>
                <w:szCs w:val="20"/>
              </w:rPr>
              <w:t xml:space="preserve">Redundancy / Layoff</w:t>
            </w:r>
          </w:p>
        </w:tc>
        <w:tc>
          <w:tcPr>
            <w:tcW w:type="dxa" w:w="2340"/>
          </w:tcPr>
          <w:p>
            <w:pPr>
              <w:spacing w:after="60"/>
            </w:pPr>
            <w:r>
              <w:rPr>
                <w:b w:val="false"/>
                <w:bCs w:val="false"/>
                <w:sz w:val="20"/>
                <w:szCs w:val="20"/>
              </w:rPr>
              <w:t xml:space="preserve">Role eliminated; no performance basis</w:t>
            </w:r>
          </w:p>
        </w:tc>
        <w:tc>
          <w:tcPr>
            <w:tcW w:type="dxa" w:w="2340"/>
          </w:tcPr>
          <w:p>
            <w:pPr>
              <w:spacing w:after="60"/>
            </w:pPr>
            <w:r>
              <w:rPr>
                <w:b w:val="false"/>
                <w:bCs w:val="false"/>
                <w:sz w:val="20"/>
                <w:szCs w:val="20"/>
              </w:rPr>
              <w:t xml:space="preserve">Statutory minimum or contract (whichever greater)</w:t>
            </w:r>
          </w:p>
        </w:tc>
        <w:tc>
          <w:tcPr>
            <w:tcW w:type="dxa" w:w="2340"/>
          </w:tcPr>
          <w:p>
            <w:pPr>
              <w:spacing w:after="60"/>
            </w:pPr>
            <w:r>
              <w:rPr>
                <w:b w:val="false"/>
                <w:bCs w:val="false"/>
                <w:sz w:val="20"/>
                <w:szCs w:val="20"/>
              </w:rPr>
              <w:t xml:space="preserve">Per severance grid and local law</w:t>
            </w:r>
          </w:p>
        </w:tc>
      </w:tr>
      <w:tr>
        <w:tc>
          <w:tcPr>
            <w:tcW w:type="dxa" w:w="2340"/>
          </w:tcPr>
          <w:p>
            <w:pPr>
              <w:spacing w:after="60"/>
            </w:pPr>
            <w:r>
              <w:rPr>
                <w:b w:val="false"/>
                <w:bCs w:val="false"/>
                <w:sz w:val="20"/>
                <w:szCs w:val="20"/>
              </w:rPr>
              <w:t xml:space="preserve">Performance Termination</w:t>
            </w:r>
          </w:p>
        </w:tc>
        <w:tc>
          <w:tcPr>
            <w:tcW w:type="dxa" w:w="2340"/>
          </w:tcPr>
          <w:p>
            <w:pPr>
              <w:spacing w:after="60"/>
            </w:pPr>
            <w:r>
              <w:rPr>
                <w:b w:val="false"/>
                <w:bCs w:val="false"/>
                <w:sz w:val="20"/>
                <w:szCs w:val="20"/>
              </w:rPr>
              <w:t xml:space="preserve">After failed PIP or sustained underperformance</w:t>
            </w:r>
          </w:p>
        </w:tc>
        <w:tc>
          <w:tcPr>
            <w:tcW w:type="dxa" w:w="2340"/>
          </w:tcPr>
          <w:p>
            <w:pPr>
              <w:spacing w:after="60"/>
            </w:pPr>
            <w:r>
              <w:rPr>
                <w:b w:val="false"/>
                <w:bCs w:val="false"/>
                <w:sz w:val="20"/>
                <w:szCs w:val="20"/>
              </w:rPr>
              <w:t xml:space="preserve">Statutory minimum; PILON may apply</w:t>
            </w:r>
          </w:p>
        </w:tc>
        <w:tc>
          <w:tcPr>
            <w:tcW w:type="dxa" w:w="2340"/>
          </w:tcPr>
          <w:p>
            <w:pPr>
              <w:spacing w:after="60"/>
            </w:pPr>
            <w:r>
              <w:rPr>
                <w:b w:val="false"/>
                <w:bCs w:val="false"/>
                <w:sz w:val="20"/>
                <w:szCs w:val="20"/>
              </w:rPr>
              <w:t xml:space="preserve">Per local law</w:t>
            </w:r>
          </w:p>
        </w:tc>
      </w:tr>
      <w:tr>
        <w:tc>
          <w:tcPr>
            <w:tcW w:type="dxa" w:w="2340"/>
          </w:tcPr>
          <w:p>
            <w:pPr>
              <w:spacing w:after="60"/>
            </w:pPr>
            <w:r>
              <w:rPr>
                <w:b w:val="false"/>
                <w:bCs w:val="false"/>
                <w:sz w:val="20"/>
                <w:szCs w:val="20"/>
              </w:rPr>
              <w:t xml:space="preserve">Gross Misconduct</w:t>
            </w:r>
          </w:p>
        </w:tc>
        <w:tc>
          <w:tcPr>
            <w:tcW w:type="dxa" w:w="2340"/>
          </w:tcPr>
          <w:p>
            <w:pPr>
              <w:spacing w:after="60"/>
            </w:pPr>
            <w:r>
              <w:rPr>
                <w:b w:val="false"/>
                <w:bCs w:val="false"/>
                <w:sz w:val="20"/>
                <w:szCs w:val="20"/>
              </w:rPr>
              <w:t xml:space="preserve">Serious breach of policy (fraud, harassment, theft)</w:t>
            </w:r>
          </w:p>
        </w:tc>
        <w:tc>
          <w:tcPr>
            <w:tcW w:type="dxa" w:w="2340"/>
          </w:tcPr>
          <w:p>
            <w:pPr>
              <w:spacing w:after="60"/>
            </w:pPr>
            <w:r>
              <w:rPr>
                <w:b w:val="false"/>
                <w:bCs w:val="false"/>
                <w:sz w:val="20"/>
                <w:szCs w:val="20"/>
              </w:rPr>
              <w:t xml:space="preserve">Summary/immediate (no notice)</w:t>
            </w:r>
          </w:p>
        </w:tc>
        <w:tc>
          <w:tcPr>
            <w:tcW w:type="dxa" w:w="2340"/>
          </w:tcPr>
          <w:p>
            <w:pPr>
              <w:spacing w:after="60"/>
            </w:pPr>
            <w:r>
              <w:rPr>
                <w:b w:val="false"/>
                <w:bCs w:val="false"/>
                <w:sz w:val="20"/>
                <w:szCs w:val="20"/>
              </w:rPr>
              <w:t xml:space="preserve">None; disciplinary records retained</w:t>
            </w:r>
          </w:p>
        </w:tc>
      </w:tr>
    </w:tbl>
    <w:p>
      <w:pPr>
        <w:spacing w:after="100"/>
      </w:pPr>
      <w:r>
        <w:t xml:space="preserve"/>
      </w:r>
    </w:p>
    <w:p>
      <w:pPr>
        <w:pStyle w:val="Heading2"/>
        <w:spacing w:after="150" w:before="300"/>
      </w:pPr>
      <w:r>
        <w:t xml:space="preserve">20.2 Notice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Country</w:t>
            </w:r>
          </w:p>
        </w:tc>
        <w:tc>
          <w:tcPr>
            <w:tcW w:type="dxa" w:w="2340"/>
            <w:shd w:fill="1F4E79" w:color="1F4E79" w:val="clear"/>
          </w:tcPr>
          <w:p>
            <w:pPr>
              <w:spacing w:after="60"/>
            </w:pPr>
            <w:r>
              <w:rPr>
                <w:b/>
                <w:bCs/>
                <w:sz w:val="20"/>
                <w:szCs w:val="20"/>
              </w:rPr>
              <w:t xml:space="preserve">Employee Notice (Standard)</w:t>
            </w:r>
          </w:p>
        </w:tc>
        <w:tc>
          <w:tcPr>
            <w:tcW w:type="dxa" w:w="2340"/>
            <w:shd w:fill="1F4E79" w:color="1F4E79" w:val="clear"/>
          </w:tcPr>
          <w:p>
            <w:pPr>
              <w:spacing w:after="60"/>
            </w:pPr>
            <w:r>
              <w:rPr>
                <w:b/>
                <w:bCs/>
                <w:sz w:val="20"/>
                <w:szCs w:val="20"/>
              </w:rPr>
              <w:t xml:space="preserve">Company Notice (Standard)</w:t>
            </w:r>
          </w:p>
        </w:tc>
        <w:tc>
          <w:tcPr>
            <w:tcW w:type="dxa" w:w="2340"/>
            <w:shd w:fill="1F4E79" w:color="1F4E79" w:val="clear"/>
          </w:tcPr>
          <w:p>
            <w:pPr>
              <w:spacing w:after="60"/>
            </w:pPr>
            <w:r>
              <w:rPr>
                <w:b/>
                <w:bCs/>
                <w:sz w:val="20"/>
                <w:szCs w:val="20"/>
              </w:rPr>
              <w:t xml:space="preserve">Minimum Legal Notice</w:t>
            </w:r>
          </w:p>
        </w:tc>
      </w:tr>
      <w:tr>
        <w:tc>
          <w:tcPr>
            <w:tcW w:type="dxa" w:w="2340"/>
          </w:tcPr>
          <w:p>
            <w:pPr>
              <w:spacing w:after="60"/>
            </w:pPr>
            <w:r>
              <w:rPr>
                <w:b w:val="false"/>
                <w:bCs w:val="false"/>
                <w:sz w:val="20"/>
                <w:szCs w:val="20"/>
              </w:rPr>
              <w:t xml:space="preserve">United States</w:t>
            </w:r>
          </w:p>
        </w:tc>
        <w:tc>
          <w:tcPr>
            <w:tcW w:type="dxa" w:w="2340"/>
          </w:tcPr>
          <w:p>
            <w:pPr>
              <w:spacing w:after="60"/>
            </w:pPr>
            <w:r>
              <w:rPr>
                <w:b w:val="false"/>
                <w:bCs w:val="false"/>
                <w:sz w:val="20"/>
                <w:szCs w:val="20"/>
              </w:rPr>
              <w:t xml:space="preserve">2 weeks (at-will; notice is courtesy)</w:t>
            </w:r>
          </w:p>
        </w:tc>
        <w:tc>
          <w:tcPr>
            <w:tcW w:type="dxa" w:w="2340"/>
          </w:tcPr>
          <w:p>
            <w:pPr>
              <w:spacing w:after="60"/>
            </w:pPr>
            <w:r>
              <w:rPr>
                <w:b w:val="false"/>
                <w:bCs w:val="false"/>
                <w:sz w:val="20"/>
                <w:szCs w:val="20"/>
              </w:rPr>
              <w:t xml:space="preserve">2 weeks (at-will)</w:t>
            </w:r>
          </w:p>
        </w:tc>
        <w:tc>
          <w:tcPr>
            <w:tcW w:type="dxa" w:w="2340"/>
          </w:tcPr>
          <w:p>
            <w:pPr>
              <w:spacing w:after="60"/>
            </w:pPr>
            <w:r>
              <w:rPr>
                <w:b w:val="false"/>
                <w:bCs w:val="false"/>
                <w:sz w:val="20"/>
                <w:szCs w:val="20"/>
              </w:rPr>
              <w:t xml:space="preserve">None (at-will employment)</w:t>
            </w:r>
          </w:p>
        </w:tc>
      </w:tr>
      <w:tr>
        <w:tc>
          <w:tcPr>
            <w:tcW w:type="dxa" w:w="2340"/>
          </w:tcPr>
          <w:p>
            <w:pPr>
              <w:spacing w:after="60"/>
            </w:pPr>
            <w:r>
              <w:rPr>
                <w:b w:val="false"/>
                <w:bCs w:val="false"/>
                <w:sz w:val="20"/>
                <w:szCs w:val="20"/>
              </w:rPr>
              <w:t xml:space="preserve">United Kingdom</w:t>
            </w:r>
          </w:p>
        </w:tc>
        <w:tc>
          <w:tcPr>
            <w:tcW w:type="dxa" w:w="2340"/>
          </w:tcPr>
          <w:p>
            <w:pPr>
              <w:spacing w:after="60"/>
            </w:pPr>
            <w:r>
              <w:rPr>
                <w:b w:val="false"/>
                <w:bCs w:val="false"/>
                <w:sz w:val="20"/>
                <w:szCs w:val="20"/>
              </w:rPr>
              <w:t xml:space="preserve">4 weeks (or per contract)</w:t>
            </w:r>
          </w:p>
        </w:tc>
        <w:tc>
          <w:tcPr>
            <w:tcW w:type="dxa" w:w="2340"/>
          </w:tcPr>
          <w:p>
            <w:pPr>
              <w:spacing w:after="60"/>
            </w:pPr>
            <w:r>
              <w:rPr>
                <w:b w:val="false"/>
                <w:bCs w:val="false"/>
                <w:sz w:val="20"/>
                <w:szCs w:val="20"/>
              </w:rPr>
              <w:t xml:space="preserve">1 week per year of service (min 1 week, max 12)</w:t>
            </w:r>
          </w:p>
        </w:tc>
        <w:tc>
          <w:tcPr>
            <w:tcW w:type="dxa" w:w="2340"/>
          </w:tcPr>
          <w:p>
            <w:pPr>
              <w:spacing w:after="60"/>
            </w:pPr>
            <w:r>
              <w:rPr>
                <w:b w:val="false"/>
                <w:bCs w:val="false"/>
                <w:sz w:val="20"/>
                <w:szCs w:val="20"/>
              </w:rPr>
              <w:t xml:space="preserve">Statutory Minimum Notice</w:t>
            </w:r>
          </w:p>
        </w:tc>
      </w:tr>
      <w:tr>
        <w:tc>
          <w:tcPr>
            <w:tcW w:type="dxa" w:w="2340"/>
          </w:tcPr>
          <w:p>
            <w:pPr>
              <w:spacing w:after="60"/>
            </w:pPr>
            <w:r>
              <w:rPr>
                <w:b w:val="false"/>
                <w:bCs w:val="false"/>
                <w:sz w:val="20"/>
                <w:szCs w:val="20"/>
              </w:rPr>
              <w:t xml:space="preserve">India</w:t>
            </w:r>
          </w:p>
        </w:tc>
        <w:tc>
          <w:tcPr>
            <w:tcW w:type="dxa" w:w="2340"/>
          </w:tcPr>
          <w:p>
            <w:pPr>
              <w:spacing w:after="60"/>
            </w:pPr>
            <w:r>
              <w:rPr>
                <w:b w:val="false"/>
                <w:bCs w:val="false"/>
                <w:sz w:val="20"/>
                <w:szCs w:val="20"/>
              </w:rPr>
              <w:t xml:space="preserve">60 days (as per contract)</w:t>
            </w:r>
          </w:p>
        </w:tc>
        <w:tc>
          <w:tcPr>
            <w:tcW w:type="dxa" w:w="2340"/>
          </w:tcPr>
          <w:p>
            <w:pPr>
              <w:spacing w:after="60"/>
            </w:pPr>
            <w:r>
              <w:rPr>
                <w:b w:val="false"/>
                <w:bCs w:val="false"/>
                <w:sz w:val="20"/>
                <w:szCs w:val="20"/>
              </w:rPr>
              <w:t xml:space="preserve">60 days or 3 months for senior roles</w:t>
            </w:r>
          </w:p>
        </w:tc>
        <w:tc>
          <w:tcPr>
            <w:tcW w:type="dxa" w:w="2340"/>
          </w:tcPr>
          <w:p>
            <w:pPr>
              <w:spacing w:after="60"/>
            </w:pPr>
            <w:r>
              <w:rPr>
                <w:b w:val="false"/>
                <w:bCs w:val="false"/>
                <w:sz w:val="20"/>
                <w:szCs w:val="20"/>
              </w:rPr>
              <w:t xml:space="preserve">30 days (Shops Act)</w:t>
            </w:r>
          </w:p>
        </w:tc>
      </w:tr>
      <w:tr>
        <w:tc>
          <w:tcPr>
            <w:tcW w:type="dxa" w:w="2340"/>
          </w:tcPr>
          <w:p>
            <w:pPr>
              <w:spacing w:after="60"/>
            </w:pPr>
            <w:r>
              <w:rPr>
                <w:b w:val="false"/>
                <w:bCs w:val="false"/>
                <w:sz w:val="20"/>
                <w:szCs w:val="20"/>
              </w:rPr>
              <w:t xml:space="preserve">Germany</w:t>
            </w:r>
          </w:p>
        </w:tc>
        <w:tc>
          <w:tcPr>
            <w:tcW w:type="dxa" w:w="2340"/>
          </w:tcPr>
          <w:p>
            <w:pPr>
              <w:spacing w:after="60"/>
            </w:pPr>
            <w:r>
              <w:rPr>
                <w:b w:val="false"/>
                <w:bCs w:val="false"/>
                <w:sz w:val="20"/>
                <w:szCs w:val="20"/>
              </w:rPr>
              <w:t xml:space="preserve">4 weeks (probation) / per KSchG (after probation)</w:t>
            </w:r>
          </w:p>
        </w:tc>
        <w:tc>
          <w:tcPr>
            <w:tcW w:type="dxa" w:w="2340"/>
          </w:tcPr>
          <w:p>
            <w:pPr>
              <w:spacing w:after="60"/>
            </w:pPr>
            <w:r>
              <w:rPr>
                <w:b w:val="false"/>
                <w:bCs w:val="false"/>
                <w:sz w:val="20"/>
                <w:szCs w:val="20"/>
              </w:rPr>
              <w:t xml:space="preserve">Per KSchG (min 4 weeks; scales with tenure)</w:t>
            </w:r>
          </w:p>
        </w:tc>
        <w:tc>
          <w:tcPr>
            <w:tcW w:type="dxa" w:w="2340"/>
          </w:tcPr>
          <w:p>
            <w:pPr>
              <w:spacing w:after="60"/>
            </w:pPr>
            <w:r>
              <w:rPr>
                <w:b w:val="false"/>
                <w:bCs w:val="false"/>
                <w:sz w:val="20"/>
                <w:szCs w:val="20"/>
              </w:rPr>
              <w:t xml:space="preserve">KSchG §622</w:t>
            </w:r>
          </w:p>
        </w:tc>
      </w:tr>
      <w:tr>
        <w:tc>
          <w:tcPr>
            <w:tcW w:type="dxa" w:w="2340"/>
          </w:tcPr>
          <w:p>
            <w:pPr>
              <w:spacing w:after="60"/>
            </w:pPr>
            <w:r>
              <w:rPr>
                <w:b w:val="false"/>
                <w:bCs w:val="false"/>
                <w:sz w:val="20"/>
                <w:szCs w:val="20"/>
              </w:rPr>
              <w:t xml:space="preserve">Singapore</w:t>
            </w:r>
          </w:p>
        </w:tc>
        <w:tc>
          <w:tcPr>
            <w:tcW w:type="dxa" w:w="2340"/>
          </w:tcPr>
          <w:p>
            <w:pPr>
              <w:spacing w:after="60"/>
            </w:pPr>
            <w:r>
              <w:rPr>
                <w:b w:val="false"/>
                <w:bCs w:val="false"/>
                <w:sz w:val="20"/>
                <w:szCs w:val="20"/>
              </w:rPr>
              <w:t xml:space="preserve">1 month (EA employees); per contract (EA exempt)</w:t>
            </w:r>
          </w:p>
        </w:tc>
        <w:tc>
          <w:tcPr>
            <w:tcW w:type="dxa" w:w="2340"/>
          </w:tcPr>
          <w:p>
            <w:pPr>
              <w:spacing w:after="60"/>
            </w:pPr>
            <w:r>
              <w:rPr>
                <w:b w:val="false"/>
                <w:bCs w:val="false"/>
                <w:sz w:val="20"/>
                <w:szCs w:val="20"/>
              </w:rPr>
              <w:t xml:space="preserve">Equal to employee notice</w:t>
            </w:r>
          </w:p>
        </w:tc>
        <w:tc>
          <w:tcPr>
            <w:tcW w:type="dxa" w:w="2340"/>
          </w:tcPr>
          <w:p>
            <w:pPr>
              <w:spacing w:after="60"/>
            </w:pPr>
            <w:r>
              <w:rPr>
                <w:b w:val="false"/>
                <w:bCs w:val="false"/>
                <w:sz w:val="20"/>
                <w:szCs w:val="20"/>
              </w:rPr>
              <w:t xml:space="preserve">As per EA or contract</w:t>
            </w:r>
          </w:p>
        </w:tc>
      </w:tr>
    </w:tbl>
    <w:p>
      <w:pPr>
        <w:spacing w:after="100"/>
      </w:pPr>
      <w:r>
        <w:t xml:space="preserve"/>
      </w:r>
    </w:p>
    <w:p>
      <w:pPr>
        <w:pStyle w:val="Heading2"/>
        <w:spacing w:after="150" w:before="300"/>
      </w:pPr>
      <w:r>
        <w:t xml:space="preserve">20.3 Exit Process Checklist</w:t>
      </w:r>
    </w:p>
    <w:p>
      <w:pPr>
        <w:spacing w:after="120" w:line="276"/>
      </w:pPr>
      <w:r>
        <w:rPr>
          <w:sz w:val="22"/>
          <w:szCs w:val="22"/>
        </w:rPr>
        <w:t xml:space="preserve">Upon resignation or notice of termination, the following actions must be completed:</w:t>
      </w:r>
    </w:p>
    <w:p>
      <w:pPr>
        <w:spacing w:after="120"/>
      </w:pPr>
      <w:r>
        <w:rPr>
          <w:b/>
          <w:bCs/>
          <w:sz w:val="22"/>
          <w:szCs w:val="22"/>
        </w:rPr>
        <w:t xml:space="preserve">HR Responsibilities:</w:t>
      </w:r>
    </w:p>
    <w:p>
      <w:pPr>
        <w:pStyle w:val="ListParagraph"/>
        <w:numPr>
          <w:ilvl w:val="0"/>
          <w:numId w:val="1"/>
        </w:numPr>
        <w:spacing w:after="80"/>
      </w:pPr>
      <w:r>
        <w:rPr>
          <w:sz w:val="22"/>
          <w:szCs w:val="22"/>
        </w:rPr>
        <w:t xml:space="preserve">Issue formal acknowledgment of resignation / notice of termination within 2 business days</w:t>
      </w:r>
    </w:p>
    <w:p>
      <w:pPr>
        <w:pStyle w:val="ListParagraph"/>
        <w:numPr>
          <w:ilvl w:val="0"/>
          <w:numId w:val="1"/>
        </w:numPr>
        <w:spacing w:after="80"/>
      </w:pPr>
      <w:r>
        <w:rPr>
          <w:sz w:val="22"/>
          <w:szCs w:val="22"/>
        </w:rPr>
        <w:t xml:space="preserve">Calculate final pay, unused leave encashment, and benefits continuation dates</w:t>
      </w:r>
    </w:p>
    <w:p>
      <w:pPr>
        <w:pStyle w:val="ListParagraph"/>
        <w:numPr>
          <w:ilvl w:val="0"/>
          <w:numId w:val="1"/>
        </w:numPr>
        <w:spacing w:after="80"/>
      </w:pPr>
      <w:r>
        <w:rPr>
          <w:sz w:val="22"/>
          <w:szCs w:val="22"/>
        </w:rPr>
        <w:t xml:space="preserve">Schedule exit interview (People Analytics team conducts these; voluntary but strongly encouraged)</w:t>
      </w:r>
    </w:p>
    <w:p>
      <w:pPr>
        <w:pStyle w:val="ListParagraph"/>
        <w:numPr>
          <w:ilvl w:val="0"/>
          <w:numId w:val="1"/>
        </w:numPr>
        <w:spacing w:after="80"/>
      </w:pPr>
      <w:r>
        <w:rPr>
          <w:sz w:val="22"/>
          <w:szCs w:val="22"/>
        </w:rPr>
        <w:t xml:space="preserve">Remove employee access on final day</w:t>
      </w:r>
    </w:p>
    <w:p>
      <w:pPr>
        <w:spacing w:after="100"/>
      </w:pPr>
      <w:r>
        <w:t xml:space="preserve"/>
      </w:r>
    </w:p>
    <w:p>
      <w:pPr>
        <w:spacing w:after="120"/>
      </w:pPr>
      <w:r>
        <w:rPr>
          <w:b/>
          <w:bCs/>
          <w:sz w:val="22"/>
          <w:szCs w:val="22"/>
        </w:rPr>
        <w:t xml:space="preserve">Manager Responsibilities:</w:t>
      </w:r>
    </w:p>
    <w:p>
      <w:pPr>
        <w:pStyle w:val="ListParagraph"/>
        <w:numPr>
          <w:ilvl w:val="0"/>
          <w:numId w:val="1"/>
        </w:numPr>
        <w:spacing w:after="80"/>
      </w:pPr>
      <w:r>
        <w:rPr>
          <w:sz w:val="22"/>
          <w:szCs w:val="22"/>
        </w:rPr>
        <w:t xml:space="preserve">Initiate knowledge transfer plan within 3 business days of notice</w:t>
      </w:r>
    </w:p>
    <w:p>
      <w:pPr>
        <w:pStyle w:val="ListParagraph"/>
        <w:numPr>
          <w:ilvl w:val="0"/>
          <w:numId w:val="1"/>
        </w:numPr>
        <w:spacing w:after="80"/>
      </w:pPr>
      <w:r>
        <w:rPr>
          <w:sz w:val="22"/>
          <w:szCs w:val="22"/>
        </w:rPr>
        <w:t xml:space="preserve">Reassign open tasks, projects, and approvals before departure date</w:t>
      </w:r>
    </w:p>
    <w:p>
      <w:pPr>
        <w:pStyle w:val="ListParagraph"/>
        <w:numPr>
          <w:ilvl w:val="0"/>
          <w:numId w:val="1"/>
        </w:numPr>
        <w:spacing w:after="80"/>
      </w:pPr>
      <w:r>
        <w:rPr>
          <w:sz w:val="22"/>
          <w:szCs w:val="22"/>
        </w:rPr>
        <w:t xml:space="preserve">Approve final time records and any outstanding expenses</w:t>
      </w:r>
    </w:p>
    <w:p>
      <w:pPr>
        <w:pStyle w:val="ListParagraph"/>
        <w:numPr>
          <w:ilvl w:val="0"/>
          <w:numId w:val="1"/>
        </w:numPr>
        <w:spacing w:after="80"/>
      </w:pPr>
      <w:r>
        <w:rPr>
          <w:sz w:val="22"/>
          <w:szCs w:val="22"/>
        </w:rPr>
        <w:t xml:space="preserve">Complete the Manager Exit Checklist in Workday</w:t>
      </w:r>
    </w:p>
    <w:p>
      <w:pPr>
        <w:spacing w:after="100"/>
      </w:pPr>
      <w:r>
        <w:t xml:space="preserve"/>
      </w:r>
    </w:p>
    <w:p>
      <w:pPr>
        <w:spacing w:after="120"/>
      </w:pPr>
      <w:r>
        <w:rPr>
          <w:b/>
          <w:bCs/>
          <w:sz w:val="22"/>
          <w:szCs w:val="22"/>
        </w:rPr>
        <w:t xml:space="preserve">Employee Responsibilities:</w:t>
      </w:r>
    </w:p>
    <w:p>
      <w:pPr>
        <w:pStyle w:val="ListParagraph"/>
        <w:numPr>
          <w:ilvl w:val="0"/>
          <w:numId w:val="1"/>
        </w:numPr>
        <w:spacing w:after="80"/>
      </w:pPr>
      <w:r>
        <w:rPr>
          <w:sz w:val="22"/>
          <w:szCs w:val="22"/>
        </w:rPr>
        <w:t xml:space="preserve">Return all company equipment by the last working day (laptop, phone, access badge, credit card)</w:t>
      </w:r>
    </w:p>
    <w:p>
      <w:pPr>
        <w:pStyle w:val="ListParagraph"/>
        <w:numPr>
          <w:ilvl w:val="0"/>
          <w:numId w:val="1"/>
        </w:numPr>
        <w:spacing w:after="80"/>
      </w:pPr>
      <w:r>
        <w:rPr>
          <w:sz w:val="22"/>
          <w:szCs w:val="22"/>
        </w:rPr>
        <w:t xml:space="preserve">Complete knowledge transfer activities as agreed with manager</w:t>
      </w:r>
    </w:p>
    <w:p>
      <w:pPr>
        <w:pStyle w:val="ListParagraph"/>
        <w:numPr>
          <w:ilvl w:val="0"/>
          <w:numId w:val="1"/>
        </w:numPr>
        <w:spacing w:after="80"/>
      </w:pPr>
      <w:r>
        <w:rPr>
          <w:sz w:val="22"/>
          <w:szCs w:val="22"/>
        </w:rPr>
        <w:t xml:space="preserve">Delete company data from personal devices</w:t>
      </w:r>
    </w:p>
    <w:p>
      <w:pPr>
        <w:pStyle w:val="ListParagraph"/>
        <w:numPr>
          <w:ilvl w:val="0"/>
          <w:numId w:val="1"/>
        </w:numPr>
        <w:spacing w:after="80"/>
      </w:pPr>
      <w:r>
        <w:rPr>
          <w:sz w:val="22"/>
          <w:szCs w:val="22"/>
        </w:rPr>
        <w:t xml:space="preserve">Provide accurate handover documentation for ongoing projects</w:t>
      </w:r>
    </w:p>
    <w:p>
      <w:pPr>
        <w:pStyle w:val="ListParagraph"/>
        <w:numPr>
          <w:ilvl w:val="0"/>
          <w:numId w:val="1"/>
        </w:numPr>
        <w:spacing w:after="80"/>
      </w:pPr>
      <w:r>
        <w:rPr>
          <w:sz w:val="22"/>
          <w:szCs w:val="22"/>
        </w:rPr>
        <w:t xml:space="preserve">Participate in exit interview if comfortable</w:t>
      </w:r>
    </w:p>
    <w:p>
      <w:pPr>
        <w:pStyle w:val="Heading2"/>
        <w:spacing w:after="150" w:before="300"/>
      </w:pPr>
      <w:r>
        <w:t xml:space="preserve">20.4 Reference Policy</w:t>
      </w:r>
    </w:p>
    <w:p>
      <w:pPr>
        <w:spacing w:after="120" w:line="276"/>
      </w:pPr>
      <w:r>
        <w:rPr>
          <w:sz w:val="22"/>
          <w:szCs w:val="22"/>
        </w:rPr>
        <w:t xml:space="preserve">OptiAgent Technologies provides employment references upon request. Standard references confirm employment dates, job title, and department only. Employees who wish to authorize a more detailed reference (including performance information) may do so via Workday &gt; My Profile &gt; References. All reference requests from external parties must be directed to references@optiagent.com.</w:t>
      </w:r>
    </w:p>
    <w:p>
      <w:r>
        <w:br w:type="page"/>
      </w:r>
    </w:p>
    <w:p>
      <w:pPr>
        <w:pStyle w:val="Heading1"/>
        <w:spacing w:after="200" w:before="400"/>
      </w:pPr>
      <w:r>
        <w:t xml:space="preserve">Chapter 21: Appendices &amp; Glossary</w:t>
      </w:r>
    </w:p>
    <w:p>
      <w:pPr>
        <w:pStyle w:val="Heading2"/>
        <w:spacing w:after="150" w:before="300"/>
      </w:pPr>
      <w:r>
        <w:t xml:space="preserve">Appendix A: Key Internal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sz w:val="20"/>
                <w:szCs w:val="20"/>
              </w:rPr>
              <w:t xml:space="preserve">Function</w:t>
            </w:r>
          </w:p>
        </w:tc>
        <w:tc>
          <w:tcPr>
            <w:tcW w:type="dxa" w:w="2340"/>
            <w:shd w:fill="1F4E79" w:color="1F4E79" w:val="clear"/>
          </w:tcPr>
          <w:p>
            <w:pPr>
              <w:spacing w:after="60"/>
            </w:pPr>
            <w:r>
              <w:rPr>
                <w:b/>
                <w:bCs/>
                <w:sz w:val="20"/>
                <w:szCs w:val="20"/>
              </w:rPr>
              <w:t xml:space="preserve">Email</w:t>
            </w:r>
          </w:p>
        </w:tc>
        <w:tc>
          <w:tcPr>
            <w:tcW w:type="dxa" w:w="2340"/>
            <w:shd w:fill="1F4E79" w:color="1F4E79" w:val="clear"/>
          </w:tcPr>
          <w:p>
            <w:pPr>
              <w:spacing w:after="60"/>
            </w:pPr>
            <w:r>
              <w:rPr>
                <w:b/>
                <w:bCs/>
                <w:sz w:val="20"/>
                <w:szCs w:val="20"/>
              </w:rPr>
              <w:t xml:space="preserve">Slack Channel</w:t>
            </w:r>
          </w:p>
        </w:tc>
        <w:tc>
          <w:tcPr>
            <w:tcW w:type="dxa" w:w="2340"/>
            <w:shd w:fill="1F4E79" w:color="1F4E79" w:val="clear"/>
          </w:tcPr>
          <w:p>
            <w:pPr>
              <w:spacing w:after="60"/>
            </w:pPr>
            <w:r>
              <w:rPr>
                <w:b/>
                <w:bCs/>
                <w:sz w:val="20"/>
                <w:szCs w:val="20"/>
              </w:rPr>
              <w:t xml:space="preserve">Phone (US)</w:t>
            </w:r>
          </w:p>
        </w:tc>
      </w:tr>
      <w:tr>
        <w:tc>
          <w:tcPr>
            <w:tcW w:type="dxa" w:w="2340"/>
          </w:tcPr>
          <w:p>
            <w:pPr>
              <w:spacing w:after="60"/>
            </w:pPr>
            <w:r>
              <w:rPr>
                <w:b w:val="false"/>
                <w:bCs w:val="false"/>
                <w:sz w:val="20"/>
                <w:szCs w:val="20"/>
              </w:rPr>
              <w:t xml:space="preserve">HR People Operations (Global)</w:t>
            </w:r>
          </w:p>
        </w:tc>
        <w:tc>
          <w:tcPr>
            <w:tcW w:type="dxa" w:w="2340"/>
          </w:tcPr>
          <w:p>
            <w:pPr>
              <w:spacing w:after="60"/>
            </w:pPr>
            <w:r>
              <w:rPr>
                <w:b w:val="false"/>
                <w:bCs w:val="false"/>
                <w:sz w:val="20"/>
                <w:szCs w:val="20"/>
              </w:rPr>
              <w:t xml:space="preserve">hr.global@optiagent.com</w:t>
            </w:r>
          </w:p>
        </w:tc>
        <w:tc>
          <w:tcPr>
            <w:tcW w:type="dxa" w:w="2340"/>
          </w:tcPr>
          <w:p>
            <w:pPr>
              <w:spacing w:after="60"/>
            </w:pPr>
            <w:r>
              <w:rPr>
                <w:b w:val="false"/>
                <w:bCs w:val="false"/>
                <w:sz w:val="20"/>
                <w:szCs w:val="20"/>
              </w:rPr>
              <w:t xml:space="preserve">#hr-help</w:t>
            </w:r>
          </w:p>
        </w:tc>
        <w:tc>
          <w:tcPr>
            <w:tcW w:type="dxa" w:w="2340"/>
          </w:tcPr>
          <w:p>
            <w:pPr>
              <w:spacing w:after="60"/>
            </w:pPr>
            <w:r>
              <w:rPr>
                <w:b w:val="false"/>
                <w:bCs w:val="false"/>
                <w:sz w:val="20"/>
                <w:szCs w:val="20"/>
              </w:rPr>
              <w:t xml:space="preserve">1-800-OAT-HRGP</w:t>
            </w:r>
          </w:p>
        </w:tc>
      </w:tr>
      <w:tr>
        <w:tc>
          <w:tcPr>
            <w:tcW w:type="dxa" w:w="2340"/>
          </w:tcPr>
          <w:p>
            <w:pPr>
              <w:spacing w:after="60"/>
            </w:pPr>
            <w:r>
              <w:rPr>
                <w:b w:val="false"/>
                <w:bCs w:val="false"/>
                <w:sz w:val="20"/>
                <w:szCs w:val="20"/>
              </w:rPr>
              <w:t xml:space="preserve">HR People Operations (US)</w:t>
            </w:r>
          </w:p>
        </w:tc>
        <w:tc>
          <w:tcPr>
            <w:tcW w:type="dxa" w:w="2340"/>
          </w:tcPr>
          <w:p>
            <w:pPr>
              <w:spacing w:after="60"/>
            </w:pPr>
            <w:r>
              <w:rPr>
                <w:b w:val="false"/>
                <w:bCs w:val="false"/>
                <w:sz w:val="20"/>
                <w:szCs w:val="20"/>
              </w:rPr>
              <w:t xml:space="preserve">ushr@optiagent.com</w:t>
            </w:r>
          </w:p>
        </w:tc>
        <w:tc>
          <w:tcPr>
            <w:tcW w:type="dxa" w:w="2340"/>
          </w:tcPr>
          <w:p>
            <w:pPr>
              <w:spacing w:after="60"/>
            </w:pPr>
            <w:r>
              <w:rPr>
                <w:b w:val="false"/>
                <w:bCs w:val="false"/>
                <w:sz w:val="20"/>
                <w:szCs w:val="20"/>
              </w:rPr>
              <w:t xml:space="preserve">#hr-us</w:t>
            </w:r>
          </w:p>
        </w:tc>
        <w:tc>
          <w:tcPr>
            <w:tcW w:type="dxa" w:w="2340"/>
          </w:tcPr>
          <w:p>
            <w:pPr>
              <w:spacing w:after="60"/>
            </w:pPr>
            <w:r>
              <w:rPr>
                <w:b w:val="false"/>
                <w:bCs w:val="false"/>
                <w:sz w:val="20"/>
                <w:szCs w:val="20"/>
              </w:rPr>
              <w:t xml:space="preserve">1-415-555-0100</w:t>
            </w:r>
          </w:p>
        </w:tc>
      </w:tr>
      <w:tr>
        <w:tc>
          <w:tcPr>
            <w:tcW w:type="dxa" w:w="2340"/>
          </w:tcPr>
          <w:p>
            <w:pPr>
              <w:spacing w:after="60"/>
            </w:pPr>
            <w:r>
              <w:rPr>
                <w:b w:val="false"/>
                <w:bCs w:val="false"/>
                <w:sz w:val="20"/>
                <w:szCs w:val="20"/>
              </w:rPr>
              <w:t xml:space="preserve">HR People Operations (UK)</w:t>
            </w:r>
          </w:p>
        </w:tc>
        <w:tc>
          <w:tcPr>
            <w:tcW w:type="dxa" w:w="2340"/>
          </w:tcPr>
          <w:p>
            <w:pPr>
              <w:spacing w:after="60"/>
            </w:pPr>
            <w:r>
              <w:rPr>
                <w:b w:val="false"/>
                <w:bCs w:val="false"/>
                <w:sz w:val="20"/>
                <w:szCs w:val="20"/>
              </w:rPr>
              <w:t xml:space="preserve">ukhr@optiagent.com</w:t>
            </w:r>
          </w:p>
        </w:tc>
        <w:tc>
          <w:tcPr>
            <w:tcW w:type="dxa" w:w="2340"/>
          </w:tcPr>
          <w:p>
            <w:pPr>
              <w:spacing w:after="60"/>
            </w:pPr>
            <w:r>
              <w:rPr>
                <w:b w:val="false"/>
                <w:bCs w:val="false"/>
                <w:sz w:val="20"/>
                <w:szCs w:val="20"/>
              </w:rPr>
              <w:t xml:space="preserve">#hr-uk</w:t>
            </w:r>
          </w:p>
        </w:tc>
        <w:tc>
          <w:tcPr>
            <w:tcW w:type="dxa" w:w="2340"/>
          </w:tcPr>
          <w:p>
            <w:pPr>
              <w:spacing w:after="60"/>
            </w:pPr>
            <w:r>
              <w:rPr>
                <w:b w:val="false"/>
                <w:bCs w:val="false"/>
                <w:sz w:val="20"/>
                <w:szCs w:val="20"/>
              </w:rPr>
              <w:t xml:space="preserve">+44-20-7946-0200</w:t>
            </w:r>
          </w:p>
        </w:tc>
      </w:tr>
      <w:tr>
        <w:tc>
          <w:tcPr>
            <w:tcW w:type="dxa" w:w="2340"/>
          </w:tcPr>
          <w:p>
            <w:pPr>
              <w:spacing w:after="60"/>
            </w:pPr>
            <w:r>
              <w:rPr>
                <w:b w:val="false"/>
                <w:bCs w:val="false"/>
                <w:sz w:val="20"/>
                <w:szCs w:val="20"/>
              </w:rPr>
              <w:t xml:space="preserve">HR People Operations (India)</w:t>
            </w:r>
          </w:p>
        </w:tc>
        <w:tc>
          <w:tcPr>
            <w:tcW w:type="dxa" w:w="2340"/>
          </w:tcPr>
          <w:p>
            <w:pPr>
              <w:spacing w:after="60"/>
            </w:pPr>
            <w:r>
              <w:rPr>
                <w:b w:val="false"/>
                <w:bCs w:val="false"/>
                <w:sz w:val="20"/>
                <w:szCs w:val="20"/>
              </w:rPr>
              <w:t xml:space="preserve">indhr@optiagent.com</w:t>
            </w:r>
          </w:p>
        </w:tc>
        <w:tc>
          <w:tcPr>
            <w:tcW w:type="dxa" w:w="2340"/>
          </w:tcPr>
          <w:p>
            <w:pPr>
              <w:spacing w:after="60"/>
            </w:pPr>
            <w:r>
              <w:rPr>
                <w:b w:val="false"/>
                <w:bCs w:val="false"/>
                <w:sz w:val="20"/>
                <w:szCs w:val="20"/>
              </w:rPr>
              <w:t xml:space="preserve">#hr-india</w:t>
            </w:r>
          </w:p>
        </w:tc>
        <w:tc>
          <w:tcPr>
            <w:tcW w:type="dxa" w:w="2340"/>
          </w:tcPr>
          <w:p>
            <w:pPr>
              <w:spacing w:after="60"/>
            </w:pPr>
            <w:r>
              <w:rPr>
                <w:b w:val="false"/>
                <w:bCs w:val="false"/>
                <w:sz w:val="20"/>
                <w:szCs w:val="20"/>
              </w:rPr>
              <w:t xml:space="preserve">+91-40-6677-8800</w:t>
            </w:r>
          </w:p>
        </w:tc>
      </w:tr>
      <w:tr>
        <w:tc>
          <w:tcPr>
            <w:tcW w:type="dxa" w:w="2340"/>
          </w:tcPr>
          <w:p>
            <w:pPr>
              <w:spacing w:after="60"/>
            </w:pPr>
            <w:r>
              <w:rPr>
                <w:b w:val="false"/>
                <w:bCs w:val="false"/>
                <w:sz w:val="20"/>
                <w:szCs w:val="20"/>
              </w:rPr>
              <w:t xml:space="preserve">HR People Operations (Germany)</w:t>
            </w:r>
          </w:p>
        </w:tc>
        <w:tc>
          <w:tcPr>
            <w:tcW w:type="dxa" w:w="2340"/>
          </w:tcPr>
          <w:p>
            <w:pPr>
              <w:spacing w:after="60"/>
            </w:pPr>
            <w:r>
              <w:rPr>
                <w:b w:val="false"/>
                <w:bCs w:val="false"/>
                <w:sz w:val="20"/>
                <w:szCs w:val="20"/>
              </w:rPr>
              <w:t xml:space="preserve">dehr@optiagent.com</w:t>
            </w:r>
          </w:p>
        </w:tc>
        <w:tc>
          <w:tcPr>
            <w:tcW w:type="dxa" w:w="2340"/>
          </w:tcPr>
          <w:p>
            <w:pPr>
              <w:spacing w:after="60"/>
            </w:pPr>
            <w:r>
              <w:rPr>
                <w:b w:val="false"/>
                <w:bCs w:val="false"/>
                <w:sz w:val="20"/>
                <w:szCs w:val="20"/>
              </w:rPr>
              <w:t xml:space="preserve">#hr-de</w:t>
            </w:r>
          </w:p>
        </w:tc>
        <w:tc>
          <w:tcPr>
            <w:tcW w:type="dxa" w:w="2340"/>
          </w:tcPr>
          <w:p>
            <w:pPr>
              <w:spacing w:after="60"/>
            </w:pPr>
            <w:r>
              <w:rPr>
                <w:b w:val="false"/>
                <w:bCs w:val="false"/>
                <w:sz w:val="20"/>
                <w:szCs w:val="20"/>
              </w:rPr>
              <w:t xml:space="preserve">+49-30-5566-7700</w:t>
            </w:r>
          </w:p>
        </w:tc>
      </w:tr>
      <w:tr>
        <w:tc>
          <w:tcPr>
            <w:tcW w:type="dxa" w:w="2340"/>
          </w:tcPr>
          <w:p>
            <w:pPr>
              <w:spacing w:after="60"/>
            </w:pPr>
            <w:r>
              <w:rPr>
                <w:b w:val="false"/>
                <w:bCs w:val="false"/>
                <w:sz w:val="20"/>
                <w:szCs w:val="20"/>
              </w:rPr>
              <w:t xml:space="preserve">HR People Operations (Singapore)</w:t>
            </w:r>
          </w:p>
        </w:tc>
        <w:tc>
          <w:tcPr>
            <w:tcW w:type="dxa" w:w="2340"/>
          </w:tcPr>
          <w:p>
            <w:pPr>
              <w:spacing w:after="60"/>
            </w:pPr>
            <w:r>
              <w:rPr>
                <w:b w:val="false"/>
                <w:bCs w:val="false"/>
                <w:sz w:val="20"/>
                <w:szCs w:val="20"/>
              </w:rPr>
              <w:t xml:space="preserve">sghr@optiagent.com</w:t>
            </w:r>
          </w:p>
        </w:tc>
        <w:tc>
          <w:tcPr>
            <w:tcW w:type="dxa" w:w="2340"/>
          </w:tcPr>
          <w:p>
            <w:pPr>
              <w:spacing w:after="60"/>
            </w:pPr>
            <w:r>
              <w:rPr>
                <w:b w:val="false"/>
                <w:bCs w:val="false"/>
                <w:sz w:val="20"/>
                <w:szCs w:val="20"/>
              </w:rPr>
              <w:t xml:space="preserve">#hr-sg</w:t>
            </w:r>
          </w:p>
        </w:tc>
        <w:tc>
          <w:tcPr>
            <w:tcW w:type="dxa" w:w="2340"/>
          </w:tcPr>
          <w:p>
            <w:pPr>
              <w:spacing w:after="60"/>
            </w:pPr>
            <w:r>
              <w:rPr>
                <w:b w:val="false"/>
                <w:bCs w:val="false"/>
                <w:sz w:val="20"/>
                <w:szCs w:val="20"/>
              </w:rPr>
              <w:t xml:space="preserve">+65-6812-3456</w:t>
            </w:r>
          </w:p>
        </w:tc>
      </w:tr>
      <w:tr>
        <w:tc>
          <w:tcPr>
            <w:tcW w:type="dxa" w:w="2340"/>
          </w:tcPr>
          <w:p>
            <w:pPr>
              <w:spacing w:after="60"/>
            </w:pPr>
            <w:r>
              <w:rPr>
                <w:b w:val="false"/>
                <w:bCs w:val="false"/>
                <w:sz w:val="20"/>
                <w:szCs w:val="20"/>
              </w:rPr>
              <w:t xml:space="preserve">Legal &amp; Compliance</w:t>
            </w:r>
          </w:p>
        </w:tc>
        <w:tc>
          <w:tcPr>
            <w:tcW w:type="dxa" w:w="2340"/>
          </w:tcPr>
          <w:p>
            <w:pPr>
              <w:spacing w:after="60"/>
            </w:pPr>
            <w:r>
              <w:rPr>
                <w:b w:val="false"/>
                <w:bCs w:val="false"/>
                <w:sz w:val="20"/>
                <w:szCs w:val="20"/>
              </w:rPr>
              <w:t xml:space="preserve">legal.compliance@optiagent.com</w:t>
            </w:r>
          </w:p>
        </w:tc>
        <w:tc>
          <w:tcPr>
            <w:tcW w:type="dxa" w:w="2340"/>
          </w:tcPr>
          <w:p>
            <w:pPr>
              <w:spacing w:after="60"/>
            </w:pPr>
            <w:r>
              <w:rPr>
                <w:b w:val="false"/>
                <w:bCs w:val="false"/>
                <w:sz w:val="20"/>
                <w:szCs w:val="20"/>
              </w:rPr>
              <w:t xml:space="preserve">#legal</w:t>
            </w:r>
          </w:p>
        </w:tc>
        <w:tc>
          <w:tcPr>
            <w:tcW w:type="dxa" w:w="2340"/>
          </w:tcPr>
          <w:p>
            <w:pPr>
              <w:spacing w:after="60"/>
            </w:pPr>
            <w:r>
              <w:rPr>
                <w:b w:val="false"/>
                <w:bCs w:val="false"/>
                <w:sz w:val="20"/>
                <w:szCs w:val="20"/>
              </w:rPr>
              <w:t xml:space="preserve">1-415-555-0199</w:t>
            </w:r>
          </w:p>
        </w:tc>
      </w:tr>
      <w:tr>
        <w:tc>
          <w:tcPr>
            <w:tcW w:type="dxa" w:w="2340"/>
          </w:tcPr>
          <w:p>
            <w:pPr>
              <w:spacing w:after="60"/>
            </w:pPr>
            <w:r>
              <w:rPr>
                <w:b w:val="false"/>
                <w:bCs w:val="false"/>
                <w:sz w:val="20"/>
                <w:szCs w:val="20"/>
              </w:rPr>
              <w:t xml:space="preserve">Security Operations</w:t>
            </w:r>
          </w:p>
        </w:tc>
        <w:tc>
          <w:tcPr>
            <w:tcW w:type="dxa" w:w="2340"/>
          </w:tcPr>
          <w:p>
            <w:pPr>
              <w:spacing w:after="60"/>
            </w:pPr>
            <w:r>
              <w:rPr>
                <w:b w:val="false"/>
                <w:bCs w:val="false"/>
                <w:sz w:val="20"/>
                <w:szCs w:val="20"/>
              </w:rPr>
              <w:t xml:space="preserve">security@optiagent.com</w:t>
            </w:r>
          </w:p>
        </w:tc>
        <w:tc>
          <w:tcPr>
            <w:tcW w:type="dxa" w:w="2340"/>
          </w:tcPr>
          <w:p>
            <w:pPr>
              <w:spacing w:after="60"/>
            </w:pPr>
            <w:r>
              <w:rPr>
                <w:b w:val="false"/>
                <w:bCs w:val="false"/>
                <w:sz w:val="20"/>
                <w:szCs w:val="20"/>
              </w:rPr>
              <w:t xml:space="preserve">#security-incidents</w:t>
            </w:r>
          </w:p>
        </w:tc>
        <w:tc>
          <w:tcPr>
            <w:tcW w:type="dxa" w:w="2340"/>
          </w:tcPr>
          <w:p>
            <w:pPr>
              <w:spacing w:after="60"/>
            </w:pPr>
            <w:r>
              <w:rPr>
                <w:b w:val="false"/>
                <w:bCs w:val="false"/>
                <w:sz w:val="20"/>
                <w:szCs w:val="20"/>
              </w:rPr>
              <w:t xml:space="preserve">1-415-OAT-SECU</w:t>
            </w:r>
          </w:p>
        </w:tc>
      </w:tr>
      <w:tr>
        <w:tc>
          <w:tcPr>
            <w:tcW w:type="dxa" w:w="2340"/>
          </w:tcPr>
          <w:p>
            <w:pPr>
              <w:spacing w:after="60"/>
            </w:pPr>
            <w:r>
              <w:rPr>
                <w:b w:val="false"/>
                <w:bCs w:val="false"/>
                <w:sz w:val="20"/>
                <w:szCs w:val="20"/>
              </w:rPr>
              <w:t xml:space="preserve">IT Helpdesk</w:t>
            </w:r>
          </w:p>
        </w:tc>
        <w:tc>
          <w:tcPr>
            <w:tcW w:type="dxa" w:w="2340"/>
          </w:tcPr>
          <w:p>
            <w:pPr>
              <w:spacing w:after="60"/>
            </w:pPr>
            <w:r>
              <w:rPr>
                <w:b w:val="false"/>
                <w:bCs w:val="false"/>
                <w:sz w:val="20"/>
                <w:szCs w:val="20"/>
              </w:rPr>
              <w:t xml:space="preserve">it.help@optiagent.com</w:t>
            </w:r>
          </w:p>
        </w:tc>
        <w:tc>
          <w:tcPr>
            <w:tcW w:type="dxa" w:w="2340"/>
          </w:tcPr>
          <w:p>
            <w:pPr>
              <w:spacing w:after="60"/>
            </w:pPr>
            <w:r>
              <w:rPr>
                <w:b w:val="false"/>
                <w:bCs w:val="false"/>
                <w:sz w:val="20"/>
                <w:szCs w:val="20"/>
              </w:rPr>
              <w:t xml:space="preserve">#it-help</w:t>
            </w:r>
          </w:p>
        </w:tc>
        <w:tc>
          <w:tcPr>
            <w:tcW w:type="dxa" w:w="2340"/>
          </w:tcPr>
          <w:p>
            <w:pPr>
              <w:spacing w:after="60"/>
            </w:pPr>
            <w:r>
              <w:rPr>
                <w:b w:val="false"/>
                <w:bCs w:val="false"/>
                <w:sz w:val="20"/>
                <w:szCs w:val="20"/>
              </w:rPr>
              <w:t xml:space="preserve">1-800-OAT-TECH</w:t>
            </w:r>
          </w:p>
        </w:tc>
      </w:tr>
      <w:tr>
        <w:tc>
          <w:tcPr>
            <w:tcW w:type="dxa" w:w="2340"/>
          </w:tcPr>
          <w:p>
            <w:pPr>
              <w:spacing w:after="60"/>
            </w:pPr>
            <w:r>
              <w:rPr>
                <w:b w:val="false"/>
                <w:bCs w:val="false"/>
                <w:sz w:val="20"/>
                <w:szCs w:val="20"/>
              </w:rPr>
              <w:t xml:space="preserve">Ethics Hotline</w:t>
            </w:r>
          </w:p>
        </w:tc>
        <w:tc>
          <w:tcPr>
            <w:tcW w:type="dxa" w:w="2340"/>
          </w:tcPr>
          <w:p>
            <w:pPr>
              <w:spacing w:after="60"/>
            </w:pPr>
            <w:r>
              <w:rPr>
                <w:b w:val="false"/>
                <w:bCs w:val="false"/>
                <w:sz w:val="20"/>
                <w:szCs w:val="20"/>
              </w:rPr>
              <w:t xml:space="preserve">ethics@optiagent.com</w:t>
            </w:r>
          </w:p>
        </w:tc>
        <w:tc>
          <w:tcPr>
            <w:tcW w:type="dxa" w:w="2340"/>
          </w:tcPr>
          <w:p>
            <w:pPr>
              <w:spacing w:after="60"/>
            </w:pPr>
            <w:r>
              <w:rPr>
                <w:b w:val="false"/>
                <w:bCs w:val="false"/>
                <w:sz w:val="20"/>
                <w:szCs w:val="20"/>
              </w:rPr>
              <w:t xml:space="preserve">N/A</w:t>
            </w:r>
          </w:p>
        </w:tc>
        <w:tc>
          <w:tcPr>
            <w:tcW w:type="dxa" w:w="2340"/>
          </w:tcPr>
          <w:p>
            <w:pPr>
              <w:spacing w:after="60"/>
            </w:pPr>
            <w:r>
              <w:rPr>
                <w:b w:val="false"/>
                <w:bCs w:val="false"/>
                <w:sz w:val="20"/>
                <w:szCs w:val="20"/>
              </w:rPr>
              <w:t xml:space="preserve">1-800-OAT-ETHX</w:t>
            </w:r>
          </w:p>
        </w:tc>
      </w:tr>
      <w:tr>
        <w:tc>
          <w:tcPr>
            <w:tcW w:type="dxa" w:w="2340"/>
          </w:tcPr>
          <w:p>
            <w:pPr>
              <w:spacing w:after="60"/>
            </w:pPr>
            <w:r>
              <w:rPr>
                <w:b w:val="false"/>
                <w:bCs w:val="false"/>
                <w:sz w:val="20"/>
                <w:szCs w:val="20"/>
              </w:rPr>
              <w:t xml:space="preserve">Travel &amp; Expenses</w:t>
            </w:r>
          </w:p>
        </w:tc>
        <w:tc>
          <w:tcPr>
            <w:tcW w:type="dxa" w:w="2340"/>
          </w:tcPr>
          <w:p>
            <w:pPr>
              <w:spacing w:after="60"/>
            </w:pPr>
            <w:r>
              <w:rPr>
                <w:b w:val="false"/>
                <w:bCs w:val="false"/>
                <w:sz w:val="20"/>
                <w:szCs w:val="20"/>
              </w:rPr>
              <w:t xml:space="preserve">travel@optiagent.com</w:t>
            </w:r>
          </w:p>
        </w:tc>
        <w:tc>
          <w:tcPr>
            <w:tcW w:type="dxa" w:w="2340"/>
          </w:tcPr>
          <w:p>
            <w:pPr>
              <w:spacing w:after="60"/>
            </w:pPr>
            <w:r>
              <w:rPr>
                <w:b w:val="false"/>
                <w:bCs w:val="false"/>
                <w:sz w:val="20"/>
                <w:szCs w:val="20"/>
              </w:rPr>
              <w:t xml:space="preserve">#travel-help</w:t>
            </w:r>
          </w:p>
        </w:tc>
        <w:tc>
          <w:tcPr>
            <w:tcW w:type="dxa" w:w="2340"/>
          </w:tcPr>
          <w:p>
            <w:pPr>
              <w:spacing w:after="60"/>
            </w:pPr>
            <w:r>
              <w:rPr>
                <w:b w:val="false"/>
                <w:bCs w:val="false"/>
                <w:sz w:val="20"/>
                <w:szCs w:val="20"/>
              </w:rPr>
              <w:t xml:space="preserve">1-415-555-0188</w:t>
            </w:r>
          </w:p>
        </w:tc>
      </w:tr>
      <w:tr>
        <w:tc>
          <w:tcPr>
            <w:tcW w:type="dxa" w:w="2340"/>
          </w:tcPr>
          <w:p>
            <w:pPr>
              <w:spacing w:after="60"/>
            </w:pPr>
            <w:r>
              <w:rPr>
                <w:b w:val="false"/>
                <w:bCs w:val="false"/>
                <w:sz w:val="20"/>
                <w:szCs w:val="20"/>
              </w:rPr>
              <w:t xml:space="preserve">Learning &amp; Development</w:t>
            </w:r>
          </w:p>
        </w:tc>
        <w:tc>
          <w:tcPr>
            <w:tcW w:type="dxa" w:w="2340"/>
          </w:tcPr>
          <w:p>
            <w:pPr>
              <w:spacing w:after="60"/>
            </w:pPr>
            <w:r>
              <w:rPr>
                <w:b w:val="false"/>
                <w:bCs w:val="false"/>
                <w:sz w:val="20"/>
                <w:szCs w:val="20"/>
              </w:rPr>
              <w:t xml:space="preserve">talent@optiagent.com</w:t>
            </w:r>
          </w:p>
        </w:tc>
        <w:tc>
          <w:tcPr>
            <w:tcW w:type="dxa" w:w="2340"/>
          </w:tcPr>
          <w:p>
            <w:pPr>
              <w:spacing w:after="60"/>
            </w:pPr>
            <w:r>
              <w:rPr>
                <w:b w:val="false"/>
                <w:bCs w:val="false"/>
                <w:sz w:val="20"/>
                <w:szCs w:val="20"/>
              </w:rPr>
              <w:t xml:space="preserve">#learning</w:t>
            </w:r>
          </w:p>
        </w:tc>
        <w:tc>
          <w:tcPr>
            <w:tcW w:type="dxa" w:w="2340"/>
          </w:tcPr>
          <w:p>
            <w:pPr>
              <w:spacing w:after="60"/>
            </w:pPr>
            <w:r>
              <w:rPr>
                <w:b w:val="false"/>
                <w:bCs w:val="false"/>
                <w:sz w:val="20"/>
                <w:szCs w:val="20"/>
              </w:rPr>
              <w:t xml:space="preserve">1-415-555-0177</w:t>
            </w:r>
          </w:p>
        </w:tc>
      </w:tr>
      <w:tr>
        <w:tc>
          <w:tcPr>
            <w:tcW w:type="dxa" w:w="2340"/>
          </w:tcPr>
          <w:p>
            <w:pPr>
              <w:spacing w:after="60"/>
            </w:pPr>
            <w:r>
              <w:rPr>
                <w:b w:val="false"/>
                <w:bCs w:val="false"/>
                <w:sz w:val="20"/>
                <w:szCs w:val="20"/>
              </w:rPr>
              <w:t xml:space="preserve">Payroll</w:t>
            </w:r>
          </w:p>
        </w:tc>
        <w:tc>
          <w:tcPr>
            <w:tcW w:type="dxa" w:w="2340"/>
          </w:tcPr>
          <w:p>
            <w:pPr>
              <w:spacing w:after="60"/>
            </w:pPr>
            <w:r>
              <w:rPr>
                <w:b w:val="false"/>
                <w:bCs w:val="false"/>
                <w:sz w:val="20"/>
                <w:szCs w:val="20"/>
              </w:rPr>
              <w:t xml:space="preserve">payroll@optiagent.com</w:t>
            </w:r>
          </w:p>
        </w:tc>
        <w:tc>
          <w:tcPr>
            <w:tcW w:type="dxa" w:w="2340"/>
          </w:tcPr>
          <w:p>
            <w:pPr>
              <w:spacing w:after="60"/>
            </w:pPr>
            <w:r>
              <w:rPr>
                <w:b w:val="false"/>
                <w:bCs w:val="false"/>
                <w:sz w:val="20"/>
                <w:szCs w:val="20"/>
              </w:rPr>
              <w:t xml:space="preserve">#payroll-help</w:t>
            </w:r>
          </w:p>
        </w:tc>
        <w:tc>
          <w:tcPr>
            <w:tcW w:type="dxa" w:w="2340"/>
          </w:tcPr>
          <w:p>
            <w:pPr>
              <w:spacing w:after="60"/>
            </w:pPr>
            <w:r>
              <w:rPr>
                <w:b w:val="false"/>
                <w:bCs w:val="false"/>
                <w:sz w:val="20"/>
                <w:szCs w:val="20"/>
              </w:rPr>
              <w:t xml:space="preserve">1-415-555-0166</w:t>
            </w:r>
          </w:p>
        </w:tc>
      </w:tr>
      <w:tr>
        <w:tc>
          <w:tcPr>
            <w:tcW w:type="dxa" w:w="2340"/>
          </w:tcPr>
          <w:p>
            <w:pPr>
              <w:spacing w:after="60"/>
            </w:pPr>
            <w:r>
              <w:rPr>
                <w:b w:val="false"/>
                <w:bCs w:val="false"/>
                <w:sz w:val="20"/>
                <w:szCs w:val="20"/>
              </w:rPr>
              <w:t xml:space="preserve">Facilities</w:t>
            </w:r>
          </w:p>
        </w:tc>
        <w:tc>
          <w:tcPr>
            <w:tcW w:type="dxa" w:w="2340"/>
          </w:tcPr>
          <w:p>
            <w:pPr>
              <w:spacing w:after="60"/>
            </w:pPr>
            <w:r>
              <w:rPr>
                <w:b w:val="false"/>
                <w:bCs w:val="false"/>
                <w:sz w:val="20"/>
                <w:szCs w:val="20"/>
              </w:rPr>
              <w:t xml:space="preserve">facilities@optiagent.com</w:t>
            </w:r>
          </w:p>
        </w:tc>
        <w:tc>
          <w:tcPr>
            <w:tcW w:type="dxa" w:w="2340"/>
          </w:tcPr>
          <w:p>
            <w:pPr>
              <w:spacing w:after="60"/>
            </w:pPr>
            <w:r>
              <w:rPr>
                <w:b w:val="false"/>
                <w:bCs w:val="false"/>
                <w:sz w:val="20"/>
                <w:szCs w:val="20"/>
              </w:rPr>
              <w:t xml:space="preserve">#facilities</w:t>
            </w:r>
          </w:p>
        </w:tc>
        <w:tc>
          <w:tcPr>
            <w:tcW w:type="dxa" w:w="2340"/>
          </w:tcPr>
          <w:p>
            <w:pPr>
              <w:spacing w:after="60"/>
            </w:pPr>
            <w:r>
              <w:rPr>
                <w:b w:val="false"/>
                <w:bCs w:val="false"/>
                <w:sz w:val="20"/>
                <w:szCs w:val="20"/>
              </w:rPr>
              <w:t xml:space="preserve">1-415-555-0155</w:t>
            </w:r>
          </w:p>
        </w:tc>
      </w:tr>
    </w:tbl>
    <w:p>
      <w:pPr>
        <w:spacing w:after="100"/>
      </w:pPr>
      <w:r>
        <w:t xml:space="preserve"/>
      </w:r>
    </w:p>
    <w:p>
      <w:pPr>
        <w:pStyle w:val="Heading2"/>
        <w:spacing w:after="150" w:before="300"/>
      </w:pPr>
      <w: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sz w:val="20"/>
                <w:szCs w:val="20"/>
              </w:rPr>
              <w:t xml:space="preserve">Term</w:t>
            </w:r>
          </w:p>
        </w:tc>
        <w:tc>
          <w:tcPr>
            <w:tcW w:type="dxa" w:w="4680"/>
            <w:shd w:fill="1F4E79" w:color="1F4E79" w:val="clear"/>
          </w:tcPr>
          <w:p>
            <w:pPr>
              <w:spacing w:after="60"/>
            </w:pPr>
            <w:r>
              <w:rPr>
                <w:b/>
                <w:bCs/>
                <w:sz w:val="20"/>
                <w:szCs w:val="20"/>
              </w:rPr>
              <w:t xml:space="preserve">Definition</w:t>
            </w:r>
          </w:p>
        </w:tc>
      </w:tr>
      <w:tr>
        <w:tc>
          <w:tcPr>
            <w:tcW w:type="dxa" w:w="4680"/>
          </w:tcPr>
          <w:p>
            <w:pPr>
              <w:spacing w:after="60"/>
            </w:pPr>
            <w:r>
              <w:rPr>
                <w:b w:val="false"/>
                <w:bCs w:val="false"/>
                <w:sz w:val="20"/>
                <w:szCs w:val="20"/>
              </w:rPr>
              <w:t xml:space="preserve">HRBP</w:t>
            </w:r>
          </w:p>
        </w:tc>
        <w:tc>
          <w:tcPr>
            <w:tcW w:type="dxa" w:w="4680"/>
          </w:tcPr>
          <w:p>
            <w:pPr>
              <w:spacing w:after="60"/>
            </w:pPr>
            <w:r>
              <w:rPr>
                <w:b w:val="false"/>
                <w:bCs w:val="false"/>
                <w:sz w:val="20"/>
                <w:szCs w:val="20"/>
              </w:rPr>
              <w:t xml:space="preserve">HR Business Partner — a senior HR professional embedded in a business unit who provides strategic HR support</w:t>
            </w:r>
          </w:p>
        </w:tc>
      </w:tr>
      <w:tr>
        <w:tc>
          <w:tcPr>
            <w:tcW w:type="dxa" w:w="4680"/>
          </w:tcPr>
          <w:p>
            <w:pPr>
              <w:spacing w:after="60"/>
            </w:pPr>
            <w:r>
              <w:rPr>
                <w:b w:val="false"/>
                <w:bCs w:val="false"/>
                <w:sz w:val="20"/>
                <w:szCs w:val="20"/>
              </w:rPr>
              <w:t xml:space="preserve">OKR</w:t>
            </w:r>
          </w:p>
        </w:tc>
        <w:tc>
          <w:tcPr>
            <w:tcW w:type="dxa" w:w="4680"/>
          </w:tcPr>
          <w:p>
            <w:pPr>
              <w:spacing w:after="60"/>
            </w:pPr>
            <w:r>
              <w:rPr>
                <w:b w:val="false"/>
                <w:bCs w:val="false"/>
                <w:sz w:val="20"/>
                <w:szCs w:val="20"/>
              </w:rPr>
              <w:t xml:space="preserve">Objectives and Key Results — a goal-setting framework used at OptiAgent</w:t>
            </w:r>
          </w:p>
        </w:tc>
      </w:tr>
      <w:tr>
        <w:tc>
          <w:tcPr>
            <w:tcW w:type="dxa" w:w="4680"/>
          </w:tcPr>
          <w:p>
            <w:pPr>
              <w:spacing w:after="60"/>
            </w:pPr>
            <w:r>
              <w:rPr>
                <w:b w:val="false"/>
                <w:bCs w:val="false"/>
                <w:sz w:val="20"/>
                <w:szCs w:val="20"/>
              </w:rPr>
              <w:t xml:space="preserve">RSU</w:t>
            </w:r>
          </w:p>
        </w:tc>
        <w:tc>
          <w:tcPr>
            <w:tcW w:type="dxa" w:w="4680"/>
          </w:tcPr>
          <w:p>
            <w:pPr>
              <w:spacing w:after="60"/>
            </w:pPr>
            <w:r>
              <w:rPr>
                <w:b w:val="false"/>
                <w:bCs w:val="false"/>
                <w:sz w:val="20"/>
                <w:szCs w:val="20"/>
              </w:rPr>
              <w:t xml:space="preserve">Restricted Stock Unit — equity compensation that vests over time based on continued employment and performance</w:t>
            </w:r>
          </w:p>
        </w:tc>
      </w:tr>
      <w:tr>
        <w:tc>
          <w:tcPr>
            <w:tcW w:type="dxa" w:w="4680"/>
          </w:tcPr>
          <w:p>
            <w:pPr>
              <w:spacing w:after="60"/>
            </w:pPr>
            <w:r>
              <w:rPr>
                <w:b w:val="false"/>
                <w:bCs w:val="false"/>
                <w:sz w:val="20"/>
                <w:szCs w:val="20"/>
              </w:rPr>
              <w:t xml:space="preserve">PIP</w:t>
            </w:r>
          </w:p>
        </w:tc>
        <w:tc>
          <w:tcPr>
            <w:tcW w:type="dxa" w:w="4680"/>
          </w:tcPr>
          <w:p>
            <w:pPr>
              <w:spacing w:after="60"/>
            </w:pPr>
            <w:r>
              <w:rPr>
                <w:b w:val="false"/>
                <w:bCs w:val="false"/>
                <w:sz w:val="20"/>
                <w:szCs w:val="20"/>
              </w:rPr>
              <w:t xml:space="preserve">Performance Improvement Plan — a structured plan for addressing underperformance</w:t>
            </w:r>
          </w:p>
        </w:tc>
      </w:tr>
      <w:tr>
        <w:tc>
          <w:tcPr>
            <w:tcW w:type="dxa" w:w="4680"/>
          </w:tcPr>
          <w:p>
            <w:pPr>
              <w:spacing w:after="60"/>
            </w:pPr>
            <w:r>
              <w:rPr>
                <w:b w:val="false"/>
                <w:bCs w:val="false"/>
                <w:sz w:val="20"/>
                <w:szCs w:val="20"/>
              </w:rPr>
              <w:t xml:space="preserve">PILON</w:t>
            </w:r>
          </w:p>
        </w:tc>
        <w:tc>
          <w:tcPr>
            <w:tcW w:type="dxa" w:w="4680"/>
          </w:tcPr>
          <w:p>
            <w:pPr>
              <w:spacing w:after="60"/>
            </w:pPr>
            <w:r>
              <w:rPr>
                <w:b w:val="false"/>
                <w:bCs w:val="false"/>
                <w:sz w:val="20"/>
                <w:szCs w:val="20"/>
              </w:rPr>
              <w:t xml:space="preserve">Payment in Lieu of Notice — a cash payment substituting the required notice period</w:t>
            </w:r>
          </w:p>
        </w:tc>
      </w:tr>
      <w:tr>
        <w:tc>
          <w:tcPr>
            <w:tcW w:type="dxa" w:w="4680"/>
          </w:tcPr>
          <w:p>
            <w:pPr>
              <w:spacing w:after="60"/>
            </w:pPr>
            <w:r>
              <w:rPr>
                <w:b w:val="false"/>
                <w:bCs w:val="false"/>
                <w:sz w:val="20"/>
                <w:szCs w:val="20"/>
              </w:rPr>
              <w:t xml:space="preserve">MNPI</w:t>
            </w:r>
          </w:p>
        </w:tc>
        <w:tc>
          <w:tcPr>
            <w:tcW w:type="dxa" w:w="4680"/>
          </w:tcPr>
          <w:p>
            <w:pPr>
              <w:spacing w:after="60"/>
            </w:pPr>
            <w:r>
              <w:rPr>
                <w:b w:val="false"/>
                <w:bCs w:val="false"/>
                <w:sz w:val="20"/>
                <w:szCs w:val="20"/>
              </w:rPr>
              <w:t xml:space="preserve">Material Non-Public Information — information that has not been publicly disclosed and could affect stock price</w:t>
            </w:r>
          </w:p>
        </w:tc>
      </w:tr>
      <w:tr>
        <w:tc>
          <w:tcPr>
            <w:tcW w:type="dxa" w:w="4680"/>
          </w:tcPr>
          <w:p>
            <w:pPr>
              <w:spacing w:after="60"/>
            </w:pPr>
            <w:r>
              <w:rPr>
                <w:b w:val="false"/>
                <w:bCs w:val="false"/>
                <w:sz w:val="20"/>
                <w:szCs w:val="20"/>
              </w:rPr>
              <w:t xml:space="preserve">MFA</w:t>
            </w:r>
          </w:p>
        </w:tc>
        <w:tc>
          <w:tcPr>
            <w:tcW w:type="dxa" w:w="4680"/>
          </w:tcPr>
          <w:p>
            <w:pPr>
              <w:spacing w:after="60"/>
            </w:pPr>
            <w:r>
              <w:rPr>
                <w:b w:val="false"/>
                <w:bCs w:val="false"/>
                <w:sz w:val="20"/>
                <w:szCs w:val="20"/>
              </w:rPr>
              <w:t xml:space="preserve">Multi-Factor Authentication — a security method requiring two or more verification factors</w:t>
            </w:r>
          </w:p>
        </w:tc>
      </w:tr>
      <w:tr>
        <w:tc>
          <w:tcPr>
            <w:tcW w:type="dxa" w:w="4680"/>
          </w:tcPr>
          <w:p>
            <w:pPr>
              <w:spacing w:after="60"/>
            </w:pPr>
            <w:r>
              <w:rPr>
                <w:b w:val="false"/>
                <w:bCs w:val="false"/>
                <w:sz w:val="20"/>
                <w:szCs w:val="20"/>
              </w:rPr>
              <w:t xml:space="preserve">POSH</w:t>
            </w:r>
          </w:p>
        </w:tc>
        <w:tc>
          <w:tcPr>
            <w:tcW w:type="dxa" w:w="4680"/>
          </w:tcPr>
          <w:p>
            <w:pPr>
              <w:spacing w:after="60"/>
            </w:pPr>
            <w:r>
              <w:rPr>
                <w:b w:val="false"/>
                <w:bCs w:val="false"/>
                <w:sz w:val="20"/>
                <w:szCs w:val="20"/>
              </w:rPr>
              <w:t xml:space="preserve">Prevention of Sexual Harassment — India-specific legislation (POSH Act 2013)</w:t>
            </w:r>
          </w:p>
        </w:tc>
      </w:tr>
      <w:tr>
        <w:tc>
          <w:tcPr>
            <w:tcW w:type="dxa" w:w="4680"/>
          </w:tcPr>
          <w:p>
            <w:pPr>
              <w:spacing w:after="60"/>
            </w:pPr>
            <w:r>
              <w:rPr>
                <w:b w:val="false"/>
                <w:bCs w:val="false"/>
                <w:sz w:val="20"/>
                <w:szCs w:val="20"/>
              </w:rPr>
              <w:t xml:space="preserve">ICC</w:t>
            </w:r>
          </w:p>
        </w:tc>
        <w:tc>
          <w:tcPr>
            <w:tcW w:type="dxa" w:w="4680"/>
          </w:tcPr>
          <w:p>
            <w:pPr>
              <w:spacing w:after="60"/>
            </w:pPr>
            <w:r>
              <w:rPr>
                <w:b w:val="false"/>
                <w:bCs w:val="false"/>
                <w:sz w:val="20"/>
                <w:szCs w:val="20"/>
              </w:rPr>
              <w:t xml:space="preserve">Internal Complaints Committee — mandatory committee under India's POSH Act</w:t>
            </w:r>
          </w:p>
        </w:tc>
      </w:tr>
      <w:tr>
        <w:tc>
          <w:tcPr>
            <w:tcW w:type="dxa" w:w="4680"/>
          </w:tcPr>
          <w:p>
            <w:pPr>
              <w:spacing w:after="60"/>
            </w:pPr>
            <w:r>
              <w:rPr>
                <w:b w:val="false"/>
                <w:bCs w:val="false"/>
                <w:sz w:val="20"/>
                <w:szCs w:val="20"/>
              </w:rPr>
              <w:t xml:space="preserve">FTM</w:t>
            </w:r>
          </w:p>
        </w:tc>
        <w:tc>
          <w:tcPr>
            <w:tcW w:type="dxa" w:w="4680"/>
          </w:tcPr>
          <w:p>
            <w:pPr>
              <w:spacing w:after="60"/>
            </w:pPr>
            <w:r>
              <w:rPr>
                <w:b w:val="false"/>
                <w:bCs w:val="false"/>
                <w:sz w:val="20"/>
                <w:szCs w:val="20"/>
              </w:rPr>
              <w:t xml:space="preserve">First-Time Manager — the internal program for employees transitioning to management</w:t>
            </w:r>
          </w:p>
        </w:tc>
      </w:tr>
      <w:tr>
        <w:tc>
          <w:tcPr>
            <w:tcW w:type="dxa" w:w="4680"/>
          </w:tcPr>
          <w:p>
            <w:pPr>
              <w:spacing w:after="60"/>
            </w:pPr>
            <w:r>
              <w:rPr>
                <w:b w:val="false"/>
                <w:bCs w:val="false"/>
                <w:sz w:val="20"/>
                <w:szCs w:val="20"/>
              </w:rPr>
              <w:t xml:space="preserve">CTC</w:t>
            </w:r>
          </w:p>
        </w:tc>
        <w:tc>
          <w:tcPr>
            <w:tcW w:type="dxa" w:w="4680"/>
          </w:tcPr>
          <w:p>
            <w:pPr>
              <w:spacing w:after="60"/>
            </w:pPr>
            <w:r>
              <w:rPr>
                <w:b w:val="false"/>
                <w:bCs w:val="false"/>
                <w:sz w:val="20"/>
                <w:szCs w:val="20"/>
              </w:rPr>
              <w:t xml:space="preserve">Cost to Company — Indian compensation term covering total employer cost</w:t>
            </w:r>
          </w:p>
        </w:tc>
      </w:tr>
      <w:tr>
        <w:tc>
          <w:tcPr>
            <w:tcW w:type="dxa" w:w="4680"/>
          </w:tcPr>
          <w:p>
            <w:pPr>
              <w:spacing w:after="60"/>
            </w:pPr>
            <w:r>
              <w:rPr>
                <w:b w:val="false"/>
                <w:bCs w:val="false"/>
                <w:sz w:val="20"/>
                <w:szCs w:val="20"/>
              </w:rPr>
              <w:t xml:space="preserve">EAP</w:t>
            </w:r>
          </w:p>
        </w:tc>
        <w:tc>
          <w:tcPr>
            <w:tcW w:type="dxa" w:w="4680"/>
          </w:tcPr>
          <w:p>
            <w:pPr>
              <w:spacing w:after="60"/>
            </w:pPr>
            <w:r>
              <w:rPr>
                <w:b w:val="false"/>
                <w:bCs w:val="false"/>
                <w:sz w:val="20"/>
                <w:szCs w:val="20"/>
              </w:rPr>
              <w:t xml:space="preserve">Employee Assistance Program — confidential counseling and support service</w:t>
            </w:r>
          </w:p>
        </w:tc>
      </w:tr>
      <w:tr>
        <w:tc>
          <w:tcPr>
            <w:tcW w:type="dxa" w:w="4680"/>
          </w:tcPr>
          <w:p>
            <w:pPr>
              <w:spacing w:after="60"/>
            </w:pPr>
            <w:r>
              <w:rPr>
                <w:b w:val="false"/>
                <w:bCs w:val="false"/>
                <w:sz w:val="20"/>
                <w:szCs w:val="20"/>
              </w:rPr>
              <w:t xml:space="preserve">ESPP</w:t>
            </w:r>
          </w:p>
        </w:tc>
        <w:tc>
          <w:tcPr>
            <w:tcW w:type="dxa" w:w="4680"/>
          </w:tcPr>
          <w:p>
            <w:pPr>
              <w:spacing w:after="60"/>
            </w:pPr>
            <w:r>
              <w:rPr>
                <w:b w:val="false"/>
                <w:bCs w:val="false"/>
                <w:sz w:val="20"/>
                <w:szCs w:val="20"/>
              </w:rPr>
              <w:t xml:space="preserve">Employee Stock Purchase Plan — plan allowing employees to buy company stock at a discount</w:t>
            </w:r>
          </w:p>
        </w:tc>
      </w:tr>
      <w:tr>
        <w:tc>
          <w:tcPr>
            <w:tcW w:type="dxa" w:w="4680"/>
          </w:tcPr>
          <w:p>
            <w:pPr>
              <w:spacing w:after="60"/>
            </w:pPr>
            <w:r>
              <w:rPr>
                <w:b w:val="false"/>
                <w:bCs w:val="false"/>
                <w:sz w:val="20"/>
                <w:szCs w:val="20"/>
              </w:rPr>
              <w:t xml:space="preserve">GDPR</w:t>
            </w:r>
          </w:p>
        </w:tc>
        <w:tc>
          <w:tcPr>
            <w:tcW w:type="dxa" w:w="4680"/>
          </w:tcPr>
          <w:p>
            <w:pPr>
              <w:spacing w:after="60"/>
            </w:pPr>
            <w:r>
              <w:rPr>
                <w:b w:val="false"/>
                <w:bCs w:val="false"/>
                <w:sz w:val="20"/>
                <w:szCs w:val="20"/>
              </w:rPr>
              <w:t xml:space="preserve">General Data Protection Regulation — EU/UK data protection regulation</w:t>
            </w:r>
          </w:p>
        </w:tc>
      </w:tr>
      <w:tr>
        <w:tc>
          <w:tcPr>
            <w:tcW w:type="dxa" w:w="4680"/>
          </w:tcPr>
          <w:p>
            <w:pPr>
              <w:spacing w:after="60"/>
            </w:pPr>
            <w:r>
              <w:rPr>
                <w:b w:val="false"/>
                <w:bCs w:val="false"/>
                <w:sz w:val="20"/>
                <w:szCs w:val="20"/>
              </w:rPr>
              <w:t xml:space="preserve">SOC 2</w:t>
            </w:r>
          </w:p>
        </w:tc>
        <w:tc>
          <w:tcPr>
            <w:tcW w:type="dxa" w:w="4680"/>
          </w:tcPr>
          <w:p>
            <w:pPr>
              <w:spacing w:after="60"/>
            </w:pPr>
            <w:r>
              <w:rPr>
                <w:b w:val="false"/>
                <w:bCs w:val="false"/>
                <w:sz w:val="20"/>
                <w:szCs w:val="20"/>
              </w:rPr>
              <w:t xml:space="preserve">Service Organization Control 2 — security compliance framework</w:t>
            </w:r>
          </w:p>
        </w:tc>
      </w:tr>
      <w:tr>
        <w:tc>
          <w:tcPr>
            <w:tcW w:type="dxa" w:w="4680"/>
          </w:tcPr>
          <w:p>
            <w:pPr>
              <w:spacing w:after="60"/>
            </w:pPr>
            <w:r>
              <w:rPr>
                <w:b w:val="false"/>
                <w:bCs w:val="false"/>
                <w:sz w:val="20"/>
                <w:szCs w:val="20"/>
              </w:rPr>
              <w:t xml:space="preserve">CPF</w:t>
            </w:r>
          </w:p>
        </w:tc>
        <w:tc>
          <w:tcPr>
            <w:tcW w:type="dxa" w:w="4680"/>
          </w:tcPr>
          <w:p>
            <w:pPr>
              <w:spacing w:after="60"/>
            </w:pPr>
            <w:r>
              <w:rPr>
                <w:b w:val="false"/>
                <w:bCs w:val="false"/>
                <w:sz w:val="20"/>
                <w:szCs w:val="20"/>
              </w:rPr>
              <w:t xml:space="preserve">Central Provident Fund — Singapore's mandatory savings scheme</w:t>
            </w:r>
          </w:p>
        </w:tc>
      </w:tr>
      <w:tr>
        <w:tc>
          <w:tcPr>
            <w:tcW w:type="dxa" w:w="4680"/>
          </w:tcPr>
          <w:p>
            <w:pPr>
              <w:spacing w:after="60"/>
            </w:pPr>
            <w:r>
              <w:rPr>
                <w:b w:val="false"/>
                <w:bCs w:val="false"/>
                <w:sz w:val="20"/>
                <w:szCs w:val="20"/>
              </w:rPr>
              <w:t xml:space="preserve">EPF</w:t>
            </w:r>
          </w:p>
        </w:tc>
        <w:tc>
          <w:tcPr>
            <w:tcW w:type="dxa" w:w="4680"/>
          </w:tcPr>
          <w:p>
            <w:pPr>
              <w:spacing w:after="60"/>
            </w:pPr>
            <w:r>
              <w:rPr>
                <w:b w:val="false"/>
                <w:bCs w:val="false"/>
                <w:sz w:val="20"/>
                <w:szCs w:val="20"/>
              </w:rPr>
              <w:t xml:space="preserve">Employees' Provident Fund — India's mandatory retirement savings scheme</w:t>
            </w:r>
          </w:p>
        </w:tc>
      </w:tr>
      <w:tr>
        <w:tc>
          <w:tcPr>
            <w:tcW w:type="dxa" w:w="4680"/>
          </w:tcPr>
          <w:p>
            <w:pPr>
              <w:spacing w:after="60"/>
            </w:pPr>
            <w:r>
              <w:rPr>
                <w:b w:val="false"/>
                <w:bCs w:val="false"/>
                <w:sz w:val="20"/>
                <w:szCs w:val="20"/>
              </w:rPr>
              <w:t xml:space="preserve">bAV</w:t>
            </w:r>
          </w:p>
        </w:tc>
        <w:tc>
          <w:tcPr>
            <w:tcW w:type="dxa" w:w="4680"/>
          </w:tcPr>
          <w:p>
            <w:pPr>
              <w:spacing w:after="60"/>
            </w:pPr>
            <w:r>
              <w:rPr>
                <w:b w:val="false"/>
                <w:bCs w:val="false"/>
                <w:sz w:val="20"/>
                <w:szCs w:val="20"/>
              </w:rPr>
              <w:t xml:space="preserve">Betriebliche Altersversorgung — Germany's company pension scheme</w:t>
            </w:r>
          </w:p>
        </w:tc>
      </w:tr>
      <w:tr>
        <w:tc>
          <w:tcPr>
            <w:tcW w:type="dxa" w:w="4680"/>
          </w:tcPr>
          <w:p>
            <w:pPr>
              <w:spacing w:after="60"/>
            </w:pPr>
            <w:r>
              <w:rPr>
                <w:b w:val="false"/>
                <w:bCs w:val="false"/>
                <w:sz w:val="20"/>
                <w:szCs w:val="20"/>
              </w:rPr>
              <w:t xml:space="preserve">GKV</w:t>
            </w:r>
          </w:p>
        </w:tc>
        <w:tc>
          <w:tcPr>
            <w:tcW w:type="dxa" w:w="4680"/>
          </w:tcPr>
          <w:p>
            <w:pPr>
              <w:spacing w:after="60"/>
            </w:pPr>
            <w:r>
              <w:rPr>
                <w:b w:val="false"/>
                <w:bCs w:val="false"/>
                <w:sz w:val="20"/>
                <w:szCs w:val="20"/>
              </w:rPr>
              <w:t xml:space="preserve">Gesetzliche Krankenversicherung — Germany's statutory health insurance</w:t>
            </w:r>
          </w:p>
        </w:tc>
      </w:tr>
      <w:tr>
        <w:tc>
          <w:tcPr>
            <w:tcW w:type="dxa" w:w="4680"/>
          </w:tcPr>
          <w:p>
            <w:pPr>
              <w:spacing w:after="60"/>
            </w:pPr>
            <w:r>
              <w:rPr>
                <w:b w:val="false"/>
                <w:bCs w:val="false"/>
                <w:sz w:val="20"/>
                <w:szCs w:val="20"/>
              </w:rPr>
              <w:t xml:space="preserve">TAFEP</w:t>
            </w:r>
          </w:p>
        </w:tc>
        <w:tc>
          <w:tcPr>
            <w:tcW w:type="dxa" w:w="4680"/>
          </w:tcPr>
          <w:p>
            <w:pPr>
              <w:spacing w:after="60"/>
            </w:pPr>
            <w:r>
              <w:rPr>
                <w:b w:val="false"/>
                <w:bCs w:val="false"/>
                <w:sz w:val="20"/>
                <w:szCs w:val="20"/>
              </w:rPr>
              <w:t xml:space="preserve">Tripartite Alliance for Fair and Progressive Employment Practices — Singapore</w:t>
            </w:r>
          </w:p>
        </w:tc>
      </w:tr>
      <w:tr>
        <w:tc>
          <w:tcPr>
            <w:tcW w:type="dxa" w:w="4680"/>
          </w:tcPr>
          <w:p>
            <w:pPr>
              <w:spacing w:after="60"/>
            </w:pPr>
            <w:r>
              <w:rPr>
                <w:b w:val="false"/>
                <w:bCs w:val="false"/>
                <w:sz w:val="20"/>
                <w:szCs w:val="20"/>
              </w:rPr>
              <w:t xml:space="preserve">AGG</w:t>
            </w:r>
          </w:p>
        </w:tc>
        <w:tc>
          <w:tcPr>
            <w:tcW w:type="dxa" w:w="4680"/>
          </w:tcPr>
          <w:p>
            <w:pPr>
              <w:spacing w:after="60"/>
            </w:pPr>
            <w:r>
              <w:rPr>
                <w:b w:val="false"/>
                <w:bCs w:val="false"/>
                <w:sz w:val="20"/>
                <w:szCs w:val="20"/>
              </w:rPr>
              <w:t xml:space="preserve">Allgemeines Gleichbehandlungsgesetz — Germany's General Equal Treatment Act</w:t>
            </w:r>
          </w:p>
        </w:tc>
      </w:tr>
    </w:tbl>
    <w:p>
      <w:pPr>
        <w:spacing w:after="100"/>
      </w:pPr>
      <w:r>
        <w:t xml:space="preserve"/>
      </w:r>
    </w:p>
    <w:p>
      <w:pPr>
        <w:pStyle w:val="Heading2"/>
        <w:spacing w:after="150" w:before="300"/>
      </w:pPr>
      <w:r>
        <w:t xml:space="preserve">Appendix C: Cross-Reference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sz w:val="20"/>
                <w:szCs w:val="20"/>
              </w:rPr>
              <w:t xml:space="preserve">If you need information about...</w:t>
            </w:r>
          </w:p>
        </w:tc>
        <w:tc>
          <w:tcPr>
            <w:tcW w:type="dxa" w:w="3120"/>
            <w:shd w:fill="1F4E79" w:color="1F4E79" w:val="clear"/>
          </w:tcPr>
          <w:p>
            <w:pPr>
              <w:spacing w:after="60"/>
            </w:pPr>
            <w:r>
              <w:rPr>
                <w:b/>
                <w:bCs/>
                <w:sz w:val="20"/>
                <w:szCs w:val="20"/>
              </w:rPr>
              <w:t xml:space="preserve">Refer to...</w:t>
            </w:r>
          </w:p>
        </w:tc>
        <w:tc>
          <w:tcPr>
            <w:tcW w:type="dxa" w:w="3120"/>
            <w:shd w:fill="1F4E79" w:color="1F4E79" w:val="clear"/>
          </w:tcPr>
          <w:p>
            <w:pPr>
              <w:spacing w:after="60"/>
            </w:pPr>
            <w:r>
              <w:rPr>
                <w:b/>
                <w:bCs/>
                <w:sz w:val="20"/>
                <w:szCs w:val="20"/>
              </w:rPr>
              <w:t xml:space="preserve">Document ID</w:t>
            </w:r>
          </w:p>
        </w:tc>
      </w:tr>
      <w:tr>
        <w:tc>
          <w:tcPr>
            <w:tcW w:type="dxa" w:w="3120"/>
          </w:tcPr>
          <w:p>
            <w:pPr>
              <w:spacing w:after="60"/>
            </w:pPr>
            <w:r>
              <w:rPr>
                <w:b w:val="false"/>
                <w:bCs w:val="false"/>
                <w:sz w:val="20"/>
                <w:szCs w:val="20"/>
              </w:rPr>
              <w:t xml:space="preserve">Annual leave, sick leave, maternity/paternity leave</w:t>
            </w:r>
          </w:p>
        </w:tc>
        <w:tc>
          <w:tcPr>
            <w:tcW w:type="dxa" w:w="3120"/>
          </w:tcPr>
          <w:p>
            <w:pPr>
              <w:spacing w:after="60"/>
            </w:pPr>
            <w:r>
              <w:rPr>
                <w:b w:val="false"/>
                <w:bCs w:val="false"/>
                <w:sz w:val="20"/>
                <w:szCs w:val="20"/>
              </w:rPr>
              <w:t xml:space="preserve">Leave Policy</w:t>
            </w:r>
          </w:p>
        </w:tc>
        <w:tc>
          <w:tcPr>
            <w:tcW w:type="dxa" w:w="3120"/>
          </w:tcPr>
          <w:p>
            <w:pPr>
              <w:spacing w:after="60"/>
            </w:pPr>
            <w:r>
              <w:rPr>
                <w:b w:val="false"/>
                <w:bCs w:val="false"/>
                <w:sz w:val="20"/>
                <w:szCs w:val="20"/>
              </w:rPr>
              <w:t xml:space="preserve">HR-LP-001</w:t>
            </w:r>
          </w:p>
        </w:tc>
      </w:tr>
      <w:tr>
        <w:tc>
          <w:tcPr>
            <w:tcW w:type="dxa" w:w="3120"/>
          </w:tcPr>
          <w:p>
            <w:pPr>
              <w:spacing w:after="60"/>
            </w:pPr>
            <w:r>
              <w:rPr>
                <w:b w:val="false"/>
                <w:bCs w:val="false"/>
                <w:sz w:val="20"/>
                <w:szCs w:val="20"/>
              </w:rPr>
              <w:t xml:space="preserve">Public holidays by country</w:t>
            </w:r>
          </w:p>
        </w:tc>
        <w:tc>
          <w:tcPr>
            <w:tcW w:type="dxa" w:w="3120"/>
          </w:tcPr>
          <w:p>
            <w:pPr>
              <w:spacing w:after="60"/>
            </w:pPr>
            <w:r>
              <w:rPr>
                <w:b w:val="false"/>
                <w:bCs w:val="false"/>
                <w:sz w:val="20"/>
                <w:szCs w:val="20"/>
              </w:rPr>
              <w:t xml:space="preserve">Holiday Calendar</w:t>
            </w:r>
          </w:p>
        </w:tc>
        <w:tc>
          <w:tcPr>
            <w:tcW w:type="dxa" w:w="3120"/>
          </w:tcPr>
          <w:p>
            <w:pPr>
              <w:spacing w:after="60"/>
            </w:pPr>
            <w:r>
              <w:rPr>
                <w:b w:val="false"/>
                <w:bCs w:val="false"/>
                <w:sz w:val="20"/>
                <w:szCs w:val="20"/>
              </w:rPr>
              <w:t xml:space="preserve">HR-HC-001</w:t>
            </w:r>
          </w:p>
        </w:tc>
      </w:tr>
      <w:tr>
        <w:tc>
          <w:tcPr>
            <w:tcW w:type="dxa" w:w="3120"/>
          </w:tcPr>
          <w:p>
            <w:pPr>
              <w:spacing w:after="60"/>
            </w:pPr>
            <w:r>
              <w:rPr>
                <w:b w:val="false"/>
                <w:bCs w:val="false"/>
                <w:sz w:val="20"/>
                <w:szCs w:val="20"/>
              </w:rPr>
              <w:t xml:space="preserve">Salary bands, job levels, bonuses, equity</w:t>
            </w:r>
          </w:p>
        </w:tc>
        <w:tc>
          <w:tcPr>
            <w:tcW w:type="dxa" w:w="3120"/>
          </w:tcPr>
          <w:p>
            <w:pPr>
              <w:spacing w:after="60"/>
            </w:pPr>
            <w:r>
              <w:rPr>
                <w:b w:val="false"/>
                <w:bCs w:val="false"/>
                <w:sz w:val="20"/>
                <w:szCs w:val="20"/>
              </w:rPr>
              <w:t xml:space="preserve">Salary Grades</w:t>
            </w:r>
          </w:p>
        </w:tc>
        <w:tc>
          <w:tcPr>
            <w:tcW w:type="dxa" w:w="3120"/>
          </w:tcPr>
          <w:p>
            <w:pPr>
              <w:spacing w:after="60"/>
            </w:pPr>
            <w:r>
              <w:rPr>
                <w:b w:val="false"/>
                <w:bCs w:val="false"/>
                <w:sz w:val="20"/>
                <w:szCs w:val="20"/>
              </w:rPr>
              <w:t xml:space="preserve">HR-SG-001</w:t>
            </w:r>
          </w:p>
        </w:tc>
      </w:tr>
      <w:tr>
        <w:tc>
          <w:tcPr>
            <w:tcW w:type="dxa" w:w="3120"/>
          </w:tcPr>
          <w:p>
            <w:pPr>
              <w:spacing w:after="60"/>
            </w:pPr>
            <w:r>
              <w:rPr>
                <w:b w:val="false"/>
                <w:bCs w:val="false"/>
                <w:sz w:val="20"/>
                <w:szCs w:val="20"/>
              </w:rPr>
              <w:t xml:space="preserve">Onboarding steps, 30/60/90-day plan</w:t>
            </w:r>
          </w:p>
        </w:tc>
        <w:tc>
          <w:tcPr>
            <w:tcW w:type="dxa" w:w="3120"/>
          </w:tcPr>
          <w:p>
            <w:pPr>
              <w:spacing w:after="60"/>
            </w:pPr>
            <w:r>
              <w:rPr>
                <w:b w:val="false"/>
                <w:bCs w:val="false"/>
                <w:sz w:val="20"/>
                <w:szCs w:val="20"/>
              </w:rPr>
              <w:t xml:space="preserve">Onboarding Process</w:t>
            </w:r>
          </w:p>
        </w:tc>
        <w:tc>
          <w:tcPr>
            <w:tcW w:type="dxa" w:w="3120"/>
          </w:tcPr>
          <w:p>
            <w:pPr>
              <w:spacing w:after="60"/>
            </w:pPr>
            <w:r>
              <w:rPr>
                <w:b w:val="false"/>
                <w:bCs w:val="false"/>
                <w:sz w:val="20"/>
                <w:szCs w:val="20"/>
              </w:rPr>
              <w:t xml:space="preserve">HR-OP-001</w:t>
            </w:r>
          </w:p>
        </w:tc>
      </w:tr>
      <w:tr>
        <w:tc>
          <w:tcPr>
            <w:tcW w:type="dxa" w:w="3120"/>
          </w:tcPr>
          <w:p>
            <w:pPr>
              <w:spacing w:after="60"/>
            </w:pPr>
            <w:r>
              <w:rPr>
                <w:b w:val="false"/>
                <w:bCs w:val="false"/>
                <w:sz w:val="20"/>
                <w:szCs w:val="20"/>
              </w:rPr>
              <w:t xml:space="preserve">IT security, password policy, BYOD, AI usage</w:t>
            </w:r>
          </w:p>
        </w:tc>
        <w:tc>
          <w:tcPr>
            <w:tcW w:type="dxa" w:w="3120"/>
          </w:tcPr>
          <w:p>
            <w:pPr>
              <w:spacing w:after="60"/>
            </w:pPr>
            <w:r>
              <w:rPr>
                <w:b w:val="false"/>
                <w:bCs w:val="false"/>
                <w:sz w:val="20"/>
                <w:szCs w:val="20"/>
              </w:rPr>
              <w:t xml:space="preserve">Company Policy</w:t>
            </w:r>
          </w:p>
        </w:tc>
        <w:tc>
          <w:tcPr>
            <w:tcW w:type="dxa" w:w="3120"/>
          </w:tcPr>
          <w:p>
            <w:pPr>
              <w:spacing w:after="60"/>
            </w:pPr>
            <w:r>
              <w:rPr>
                <w:b w:val="false"/>
                <w:bCs w:val="false"/>
                <w:sz w:val="20"/>
                <w:szCs w:val="20"/>
              </w:rPr>
              <w:t xml:space="preserve">OAT-CP-001</w:t>
            </w:r>
          </w:p>
        </w:tc>
      </w:tr>
      <w:tr>
        <w:tc>
          <w:tcPr>
            <w:tcW w:type="dxa" w:w="3120"/>
          </w:tcPr>
          <w:p>
            <w:pPr>
              <w:spacing w:after="60"/>
            </w:pPr>
            <w:r>
              <w:rPr>
                <w:b w:val="false"/>
                <w:bCs w:val="false"/>
                <w:sz w:val="20"/>
                <w:szCs w:val="20"/>
              </w:rPr>
              <w:t xml:space="preserve">Common HR questions and quick answers</w:t>
            </w:r>
          </w:p>
        </w:tc>
        <w:tc>
          <w:tcPr>
            <w:tcW w:type="dxa" w:w="3120"/>
          </w:tcPr>
          <w:p>
            <w:pPr>
              <w:spacing w:after="60"/>
            </w:pPr>
            <w:r>
              <w:rPr>
                <w:b w:val="false"/>
                <w:bCs w:val="false"/>
                <w:sz w:val="20"/>
                <w:szCs w:val="20"/>
              </w:rPr>
              <w:t xml:space="preserve">HR FAQs</w:t>
            </w:r>
          </w:p>
        </w:tc>
        <w:tc>
          <w:tcPr>
            <w:tcW w:type="dxa" w:w="3120"/>
          </w:tcPr>
          <w:p>
            <w:pPr>
              <w:spacing w:after="60"/>
            </w:pPr>
            <w:r>
              <w:rPr>
                <w:b w:val="false"/>
                <w:bCs w:val="false"/>
                <w:sz w:val="20"/>
                <w:szCs w:val="20"/>
              </w:rPr>
              <w:t xml:space="preserve">HR-FAQ-001</w:t>
            </w:r>
          </w:p>
        </w:tc>
      </w:tr>
      <w:tr>
        <w:tc>
          <w:tcPr>
            <w:tcW w:type="dxa" w:w="3120"/>
          </w:tcPr>
          <w:p>
            <w:pPr>
              <w:spacing w:after="60"/>
            </w:pPr>
            <w:r>
              <w:rPr>
                <w:b w:val="false"/>
                <w:bCs w:val="false"/>
                <w:sz w:val="20"/>
                <w:szCs w:val="20"/>
              </w:rPr>
              <w:t xml:space="preserve">Promotion criteria by level</w:t>
            </w:r>
          </w:p>
        </w:tc>
        <w:tc>
          <w:tcPr>
            <w:tcW w:type="dxa" w:w="3120"/>
          </w:tcPr>
          <w:p>
            <w:pPr>
              <w:spacing w:after="60"/>
            </w:pPr>
            <w:r>
              <w:rPr>
                <w:b w:val="false"/>
                <w:bCs w:val="false"/>
                <w:sz w:val="20"/>
                <w:szCs w:val="20"/>
              </w:rPr>
              <w:t xml:space="preserve">Salary Grades, Sheet 3 — Promotion Matrix</w:t>
            </w:r>
          </w:p>
        </w:tc>
        <w:tc>
          <w:tcPr>
            <w:tcW w:type="dxa" w:w="3120"/>
          </w:tcPr>
          <w:p>
            <w:pPr>
              <w:spacing w:after="60"/>
            </w:pPr>
            <w:r>
              <w:rPr>
                <w:b w:val="false"/>
                <w:bCs w:val="false"/>
                <w:sz w:val="20"/>
                <w:szCs w:val="20"/>
              </w:rPr>
              <w:t xml:space="preserve">HR-SG-001</w:t>
            </w:r>
          </w:p>
        </w:tc>
      </w:tr>
      <w:tr>
        <w:tc>
          <w:tcPr>
            <w:tcW w:type="dxa" w:w="3120"/>
          </w:tcPr>
          <w:p>
            <w:pPr>
              <w:spacing w:after="60"/>
            </w:pPr>
            <w:r>
              <w:rPr>
                <w:b w:val="false"/>
                <w:bCs w:val="false"/>
                <w:sz w:val="20"/>
                <w:szCs w:val="20"/>
              </w:rPr>
              <w:t xml:space="preserve">Bonus eligibility and structure</w:t>
            </w:r>
          </w:p>
        </w:tc>
        <w:tc>
          <w:tcPr>
            <w:tcW w:type="dxa" w:w="3120"/>
          </w:tcPr>
          <w:p>
            <w:pPr>
              <w:spacing w:after="60"/>
            </w:pPr>
            <w:r>
              <w:rPr>
                <w:b w:val="false"/>
                <w:bCs w:val="false"/>
                <w:sz w:val="20"/>
                <w:szCs w:val="20"/>
              </w:rPr>
              <w:t xml:space="preserve">Salary Grades, Sheet 4 — Bonus Structure</w:t>
            </w:r>
          </w:p>
        </w:tc>
        <w:tc>
          <w:tcPr>
            <w:tcW w:type="dxa" w:w="3120"/>
          </w:tcPr>
          <w:p>
            <w:pPr>
              <w:spacing w:after="60"/>
            </w:pPr>
            <w:r>
              <w:rPr>
                <w:b w:val="false"/>
                <w:bCs w:val="false"/>
                <w:sz w:val="20"/>
                <w:szCs w:val="20"/>
              </w:rPr>
              <w:t xml:space="preserve">HR-SG-001</w:t>
            </w:r>
          </w:p>
        </w:tc>
      </w:tr>
      <w:tr>
        <w:tc>
          <w:tcPr>
            <w:tcW w:type="dxa" w:w="3120"/>
          </w:tcPr>
          <w:p>
            <w:pPr>
              <w:spacing w:after="60"/>
            </w:pPr>
            <w:r>
              <w:rPr>
                <w:b w:val="false"/>
                <w:bCs w:val="false"/>
                <w:sz w:val="20"/>
                <w:szCs w:val="20"/>
              </w:rPr>
              <w:t xml:space="preserve">Allowances and perks by grade</w:t>
            </w:r>
          </w:p>
        </w:tc>
        <w:tc>
          <w:tcPr>
            <w:tcW w:type="dxa" w:w="3120"/>
          </w:tcPr>
          <w:p>
            <w:pPr>
              <w:spacing w:after="60"/>
            </w:pPr>
            <w:r>
              <w:rPr>
                <w:b w:val="false"/>
                <w:bCs w:val="false"/>
                <w:sz w:val="20"/>
                <w:szCs w:val="20"/>
              </w:rPr>
              <w:t xml:space="preserve">Salary Grades, Sheet 5 — Allowance Policy</w:t>
            </w:r>
          </w:p>
        </w:tc>
        <w:tc>
          <w:tcPr>
            <w:tcW w:type="dxa" w:w="3120"/>
          </w:tcPr>
          <w:p>
            <w:pPr>
              <w:spacing w:after="60"/>
            </w:pPr>
            <w:r>
              <w:rPr>
                <w:b w:val="false"/>
                <w:bCs w:val="false"/>
                <w:sz w:val="20"/>
                <w:szCs w:val="20"/>
              </w:rPr>
              <w:t xml:space="preserve">HR-SG-001</w:t>
            </w:r>
          </w:p>
        </w:tc>
      </w:tr>
    </w:tbl>
    <w:p>
      <w:pPr>
        <w:spacing w:after="100"/>
      </w:pPr>
      <w:r>
        <w:t xml:space="preserve"/>
      </w:r>
    </w:p>
    <w:p>
      <w:pPr>
        <w:pStyle w:val="Heading2"/>
        <w:spacing w:after="150" w:before="300"/>
      </w:pPr>
      <w:r>
        <w:t xml:space="preserve">Appendix D: Acknowledgment of Receipt</w:t>
      </w:r>
    </w:p>
    <w:p>
      <w:pPr>
        <w:spacing w:after="120" w:line="276"/>
      </w:pPr>
      <w:r>
        <w:rPr>
          <w:sz w:val="22"/>
          <w:szCs w:val="22"/>
        </w:rPr>
        <w:t xml:space="preserve">By continuing employment with OptiAgent Technologies after receiving this handbook, you acknowledge that you have read, understood, and agree to comply with the policies, standards, and expectations described herein. You understand that this handbook may be updated from time to time, and that updated versions will be communicated via email and the HR Portal.</w:t>
      </w:r>
    </w:p>
    <w:p>
      <w:pPr>
        <w:spacing w:after="120" w:line="276"/>
      </w:pPr>
      <w:r>
        <w:rPr>
          <w:sz w:val="22"/>
          <w:szCs w:val="22"/>
        </w:rPr>
        <w:t xml:space="preserve">For formal acknowledgment, please complete the Handbook Receipt form in Workday &gt; My Tasks &gt; Acknowledgments within 7 business days of receiving this document.</w:t>
      </w:r>
    </w:p>
    <w:p>
      <w:pPr>
        <w:spacing w:after="100"/>
      </w:pPr>
      <w:r>
        <w:t xml:space="preserve"/>
      </w:r>
    </w:p>
    <w:p>
      <w:pPr>
        <w:spacing w:after="120" w:line="276"/>
      </w:pPr>
      <w:r>
        <w:rPr>
          <w:sz w:val="22"/>
          <w:szCs w:val="22"/>
        </w:rPr>
        <w:t xml:space="preserve">This handbook was last reviewed and approved by:</w:t>
      </w:r>
    </w:p>
    <w:p>
      <w:pPr>
        <w:spacing w:after="120" w:line="276"/>
      </w:pPr>
      <w:r>
        <w:rPr>
          <w:sz w:val="22"/>
          <w:szCs w:val="22"/>
        </w:rPr>
        <w:t xml:space="preserve">Chief People Officer: Priya Sharma</w:t>
      </w:r>
    </w:p>
    <w:p>
      <w:pPr>
        <w:spacing w:after="120" w:line="276"/>
      </w:pPr>
      <w:r>
        <w:rPr>
          <w:sz w:val="22"/>
          <w:szCs w:val="22"/>
        </w:rPr>
        <w:t xml:space="preserve">General Counsel: Marcus Webb</w:t>
      </w:r>
    </w:p>
    <w:p>
      <w:pPr>
        <w:spacing w:after="120" w:line="276"/>
      </w:pPr>
      <w:r>
        <w:rPr>
          <w:sz w:val="22"/>
          <w:szCs w:val="22"/>
        </w:rPr>
        <w:t xml:space="preserve">Chief Executive Officer: Aditya Menon</w:t>
      </w:r>
    </w:p>
    <w:p>
      <w:pPr>
        <w:spacing w:after="120" w:line="276"/>
      </w:pPr>
      <w:r>
        <w:rPr>
          <w:sz w:val="22"/>
          <w:szCs w:val="22"/>
        </w:rPr>
        <w:t xml:space="preserve">Effective Date: January 1, 2025 | Document ID: HR-EH-001 | Version: 4.2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2"/>
      <w:szCs w:val="32"/>
    </w:rPr>
  </w:style>
  <w:style w:type="paragraph" w:styleId="Heading2">
    <w:name w:val="Heading 2"/>
    <w:basedOn w:val="Normal"/>
    <w:next w:val="Normal"/>
    <w:qFormat/>
    <w:pPr>
      <w:spacing w:after="150" w:before="300"/>
    </w:pPr>
    <w:rPr>
      <w:b/>
      <w:bCs/>
      <w:color w:val="2E75B6"/>
      <w:sz w:val="26"/>
      <w:szCs w:val="26"/>
    </w:rPr>
  </w:style>
  <w:style w:type="paragraph" w:styleId="Heading3">
    <w:name w:val="Heading 3"/>
    <w:basedOn w:val="Normal"/>
    <w:next w:val="Normal"/>
    <w:qFormat/>
    <w:pPr>
      <w:spacing w:after="100" w:before="200"/>
    </w:pPr>
    <w:rPr>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creator>OptiAgent Technologies HR</dc:creator>
  <dc:description>OptiAgent Technologies Employee Handbook v4.2</dc:description>
  <cp:lastModifiedBy>Un-named</cp:lastModifiedBy>
  <cp:revision>1</cp:revision>
  <dcterms:created xsi:type="dcterms:W3CDTF">2026-07-10T04:25:47.585Z</dcterms:created>
  <dcterms:modified xsi:type="dcterms:W3CDTF">2026-07-10T04:25:47.603Z</dcterms:modified>
</cp:coreProperties>
</file>

<file path=docProps/custom.xml><?xml version="1.0" encoding="utf-8"?>
<Properties xmlns="http://schemas.openxmlformats.org/officeDocument/2006/custom-properties" xmlns:vt="http://schemas.openxmlformats.org/officeDocument/2006/docPropsVTypes"/>
</file>