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00" w:after="100"/>
        <w:rPr/>
      </w:pPr>
      <w:r>
        <w:rPr/>
      </w:r>
    </w:p>
    <w:p>
      <w:pPr>
        <w:pStyle w:val="Normal"/>
        <w:spacing w:before="0" w:after="200"/>
        <w:jc w:val="center"/>
        <w:rPr/>
      </w:pPr>
      <w:r>
        <w:rPr>
          <w:rFonts w:eastAsia="Arial" w:cs="Arial"/>
          <w:b/>
          <w:bCs/>
          <w:color w:val="1A3C6B"/>
          <w:sz w:val="52"/>
          <w:szCs w:val="52"/>
        </w:rPr>
        <w:t>NTI Academic Success &amp; Intervention</w:t>
      </w:r>
    </w:p>
    <w:p>
      <w:pPr>
        <w:pStyle w:val="Normal"/>
        <w:spacing w:before="0" w:after="160"/>
        <w:jc w:val="center"/>
        <w:rPr/>
      </w:pPr>
      <w:r>
        <w:rPr>
          <w:rFonts w:eastAsia="Arial" w:cs="Arial"/>
          <w:color w:val="2E75B6"/>
          <w:sz w:val="28"/>
          <w:szCs w:val="28"/>
        </w:rPr>
        <w:t>Student Academic Health Analysis — Project Report</w:t>
      </w:r>
    </w:p>
    <w:p>
      <w:pPr>
        <w:pStyle w:val="Normal"/>
        <w:pBdr>
          <w:bottom w:val="single" w:sz="4" w:space="1" w:color="2E75B6"/>
        </w:pBdr>
        <w:spacing w:before="200" w:after="200"/>
        <w:rPr/>
      </w:pPr>
      <w:r>
        <w:rPr/>
      </w:r>
    </w:p>
    <w:p>
      <w:pPr>
        <w:pStyle w:val="Normal"/>
        <w:spacing w:before="160" w:after="100"/>
        <w:rPr/>
      </w:pPr>
      <w:r>
        <w:rPr/>
      </w:r>
    </w:p>
    <w:tbl>
      <w:tblPr>
        <w:tblW w:w="9360" w:type="dxa"/>
        <w:jc w:val="left"/>
        <w:tblInd w:w="0" w:type="dxa"/>
        <w:tblLayout w:type="fixed"/>
        <w:tblCellMar>
          <w:top w:w="80" w:type="dxa"/>
          <w:left w:w="0" w:type="dxa"/>
          <w:bottom w:w="80" w:type="dxa"/>
          <w:right w:w="120" w:type="dxa"/>
        </w:tblCellMar>
      </w:tblPr>
      <w:tblGrid>
        <w:gridCol w:w="2340"/>
        <w:gridCol w:w="7019"/>
      </w:tblGrid>
      <w:tr>
        <w:trPr/>
        <w:tc>
          <w:tcPr>
            <w:tcW w:w="2340" w:type="dxa"/>
            <w:tcBorders/>
          </w:tcPr>
          <w:p>
            <w:pPr>
              <w:pStyle w:val="Normal"/>
              <w:rPr/>
            </w:pPr>
            <w:r>
              <w:rPr>
                <w:rFonts w:eastAsia="Arial" w:cs="Arial"/>
                <w:b/>
                <w:bCs/>
                <w:color w:val="888888"/>
                <w:sz w:val="20"/>
                <w:szCs w:val="20"/>
              </w:rPr>
              <w:t>Prepared by</w:t>
            </w:r>
          </w:p>
        </w:tc>
        <w:tc>
          <w:tcPr>
            <w:tcW w:w="7019" w:type="dxa"/>
            <w:tcBorders/>
            <w:tcMar>
              <w:left w:w="120" w:type="dxa"/>
              <w:right w:w="0" w:type="dxa"/>
            </w:tcMar>
          </w:tcPr>
          <w:p>
            <w:pPr>
              <w:pStyle w:val="Normal"/>
              <w:rPr/>
            </w:pPr>
            <w:r>
              <w:rPr>
                <w:rFonts w:eastAsia="Arial" w:cs="Arial"/>
                <w:color w:val="1A1A1A"/>
                <w:sz w:val="20"/>
                <w:szCs w:val="20"/>
              </w:rPr>
              <w:t>Nour Hatem</w:t>
            </w:r>
          </w:p>
        </w:tc>
      </w:tr>
      <w:tr>
        <w:trPr/>
        <w:tc>
          <w:tcPr>
            <w:tcW w:w="2340" w:type="dxa"/>
            <w:tcBorders/>
          </w:tcPr>
          <w:p>
            <w:pPr>
              <w:pStyle w:val="Normal"/>
              <w:rPr/>
            </w:pPr>
            <w:r>
              <w:rPr>
                <w:rFonts w:eastAsia="Arial" w:cs="Arial"/>
                <w:b/>
                <w:bCs/>
                <w:color w:val="888888"/>
                <w:sz w:val="20"/>
                <w:szCs w:val="20"/>
              </w:rPr>
              <w:t>Program</w:t>
            </w:r>
          </w:p>
        </w:tc>
        <w:tc>
          <w:tcPr>
            <w:tcW w:w="7019" w:type="dxa"/>
            <w:tcBorders/>
            <w:tcMar>
              <w:left w:w="120" w:type="dxa"/>
              <w:right w:w="0" w:type="dxa"/>
            </w:tcMar>
          </w:tcPr>
          <w:p>
            <w:pPr>
              <w:pStyle w:val="Normal"/>
              <w:rPr/>
            </w:pPr>
            <w:r>
              <w:rPr>
                <w:rFonts w:eastAsia="Arial" w:cs="Arial"/>
                <w:color w:val="1A1A1A"/>
                <w:sz w:val="20"/>
                <w:szCs w:val="20"/>
              </w:rPr>
              <w:t>NTI — Data Analysis Track</w:t>
            </w:r>
          </w:p>
        </w:tc>
      </w:tr>
      <w:tr>
        <w:trPr/>
        <w:tc>
          <w:tcPr>
            <w:tcW w:w="2340" w:type="dxa"/>
            <w:tcBorders/>
          </w:tcPr>
          <w:p>
            <w:pPr>
              <w:pStyle w:val="Normal"/>
              <w:rPr/>
            </w:pPr>
            <w:r>
              <w:rPr>
                <w:rFonts w:eastAsia="Arial" w:cs="Arial"/>
                <w:b/>
                <w:bCs/>
                <w:color w:val="888888"/>
                <w:sz w:val="20"/>
                <w:szCs w:val="20"/>
              </w:rPr>
              <w:t>Audience</w:t>
            </w:r>
          </w:p>
        </w:tc>
        <w:tc>
          <w:tcPr>
            <w:tcW w:w="7019" w:type="dxa"/>
            <w:tcBorders/>
            <w:tcMar>
              <w:left w:w="120" w:type="dxa"/>
              <w:right w:w="0" w:type="dxa"/>
            </w:tcMar>
          </w:tcPr>
          <w:p>
            <w:pPr>
              <w:pStyle w:val="Normal"/>
              <w:rPr/>
            </w:pPr>
            <w:r>
              <w:rPr>
                <w:rFonts w:eastAsia="Arial" w:cs="Arial"/>
                <w:color w:val="1A1A1A"/>
                <w:sz w:val="20"/>
                <w:szCs w:val="20"/>
              </w:rPr>
              <w:t>ENG. DONIA — Data Analysis Evaluation Committee</w:t>
            </w:r>
          </w:p>
        </w:tc>
      </w:tr>
      <w:tr>
        <w:trPr/>
        <w:tc>
          <w:tcPr>
            <w:tcW w:w="2340" w:type="dxa"/>
            <w:tcBorders/>
          </w:tcPr>
          <w:p>
            <w:pPr>
              <w:pStyle w:val="Normal"/>
              <w:rPr/>
            </w:pPr>
            <w:r>
              <w:rPr>
                <w:rFonts w:eastAsia="Arial" w:cs="Arial"/>
                <w:b/>
                <w:bCs/>
                <w:color w:val="888888"/>
                <w:sz w:val="20"/>
                <w:szCs w:val="20"/>
              </w:rPr>
              <w:t>Period</w:t>
            </w:r>
          </w:p>
        </w:tc>
        <w:tc>
          <w:tcPr>
            <w:tcW w:w="7019" w:type="dxa"/>
            <w:tcBorders/>
            <w:tcMar>
              <w:left w:w="120" w:type="dxa"/>
              <w:right w:w="0" w:type="dxa"/>
            </w:tcMar>
          </w:tcPr>
          <w:p>
            <w:pPr>
              <w:pStyle w:val="Normal"/>
              <w:rPr/>
            </w:pPr>
            <w:r>
              <w:rPr>
                <w:rFonts w:eastAsia="Arial" w:cs="Arial"/>
                <w:color w:val="1A1A1A"/>
                <w:sz w:val="20"/>
                <w:szCs w:val="20"/>
              </w:rPr>
              <w:t>March 2024 – March 2025</w:t>
            </w:r>
          </w:p>
        </w:tc>
      </w:tr>
      <w:tr>
        <w:trPr/>
        <w:tc>
          <w:tcPr>
            <w:tcW w:w="2340" w:type="dxa"/>
            <w:tcBorders/>
          </w:tcPr>
          <w:p>
            <w:pPr>
              <w:pStyle w:val="Normal"/>
              <w:rPr/>
            </w:pPr>
            <w:r>
              <w:rPr>
                <w:rFonts w:eastAsia="Arial" w:cs="Arial"/>
                <w:b/>
                <w:bCs/>
                <w:color w:val="888888"/>
                <w:sz w:val="20"/>
                <w:szCs w:val="20"/>
              </w:rPr>
              <w:t>Stack</w:t>
            </w:r>
          </w:p>
        </w:tc>
        <w:tc>
          <w:tcPr>
            <w:tcW w:w="7019" w:type="dxa"/>
            <w:tcBorders/>
            <w:tcMar>
              <w:left w:w="120" w:type="dxa"/>
              <w:right w:w="0" w:type="dxa"/>
            </w:tcMar>
          </w:tcPr>
          <w:p>
            <w:pPr>
              <w:pStyle w:val="Normal"/>
              <w:rPr/>
            </w:pPr>
            <w:r>
              <w:rPr>
                <w:rFonts w:eastAsia="Arial" w:cs="Arial"/>
                <w:color w:val="1A1A1A"/>
                <w:sz w:val="20"/>
                <w:szCs w:val="20"/>
              </w:rPr>
              <w:t xml:space="preserve">SQL Server </w:t>
            </w:r>
            <w:r>
              <w:rPr>
                <w:rFonts w:eastAsia="Arial" w:cs="Arial"/>
                <w:color w:val="1A1A1A"/>
                <w:sz w:val="20"/>
                <w:szCs w:val="20"/>
              </w:rPr>
              <w:t>2025</w:t>
            </w:r>
            <w:r>
              <w:rPr>
                <w:rFonts w:eastAsia="Arial" w:cs="Arial"/>
                <w:color w:val="1A1A1A"/>
                <w:sz w:val="20"/>
                <w:szCs w:val="20"/>
              </w:rPr>
              <w:t xml:space="preserve">  →  Python 3.12  →  Power BI</w:t>
            </w:r>
          </w:p>
        </w:tc>
      </w:tr>
    </w:tbl>
    <w:p>
      <w:pPr>
        <w:pStyle w:val="Normal"/>
        <w:spacing w:before="400" w:after="100"/>
        <w:rPr/>
      </w:pPr>
      <w:r>
        <w:rPr/>
      </w:r>
    </w:p>
    <w:p>
      <w:pPr>
        <w:pStyle w:val="Normal"/>
        <w:rPr/>
      </w:pPr>
      <w:r>
        <w:rPr/>
      </w:r>
      <w:r>
        <w:br w:type="page"/>
      </w:r>
    </w:p>
    <w:p>
      <w:pPr>
        <w:pStyle w:val="Heading1"/>
        <w:spacing w:before="0" w:after="200"/>
        <w:rPr/>
      </w:pPr>
      <w:r>
        <w:rPr>
          <w:rFonts w:eastAsia="Arial" w:cs="Arial" w:ascii="Arial" w:hAnsi="Arial"/>
          <w:b/>
          <w:bCs/>
          <w:color w:val="1A3C6B"/>
          <w:sz w:val="32"/>
          <w:szCs w:val="32"/>
        </w:rPr>
        <w:t>1. Executive Summary</w:t>
      </w:r>
    </w:p>
    <w:p>
      <w:pPr>
        <w:pStyle w:val="Normal"/>
        <w:spacing w:before="80" w:after="80"/>
        <w:rPr/>
      </w:pPr>
      <w:r>
        <w:rPr>
          <w:rFonts w:eastAsia="Arial" w:cs="Arial"/>
          <w:b w:val="false"/>
          <w:bCs w:val="false"/>
          <w:color w:val="1A1A1A"/>
          <w:sz w:val="22"/>
          <w:szCs w:val="22"/>
        </w:rPr>
        <w:t>This report documents a full end-to-end data analysis project examining the academic health of 12,156 students across five grade levels over a full academic year. The project follows a structured three-phase pipeline: SQL storytelling to explore and document the raw data, Python cleaning and feature engineering to prepare it for analysis, and a six-page Power BI dashboard to surface actionable insights for school leadership.</w:t>
      </w:r>
    </w:p>
    <w:p>
      <w:pPr>
        <w:pStyle w:val="Normal"/>
        <w:spacing w:before="100" w:after="100"/>
        <w:rPr/>
      </w:pPr>
      <w:r>
        <w:rPr/>
      </w:r>
    </w:p>
    <w:p>
      <w:pPr>
        <w:pStyle w:val="Normal"/>
        <w:spacing w:before="80" w:after="80"/>
        <w:rPr/>
      </w:pPr>
      <w:r>
        <w:rPr>
          <w:rFonts w:eastAsia="Arial" w:cs="Arial"/>
          <w:b w:val="false"/>
          <w:bCs w:val="false"/>
          <w:color w:val="1A1A1A"/>
          <w:sz w:val="22"/>
          <w:szCs w:val="22"/>
        </w:rPr>
        <w:t>The central question driving every phase of this project is simple: which students are at risk of academic failure, and what combination of behavioral signals identifies them earliest. The answer required integrating five separate data sources — attendance, homework, performance, student profiles, and parent communication — into a unified analytical view.</w:t>
      </w:r>
    </w:p>
    <w:p>
      <w:pPr>
        <w:pStyle w:val="Normal"/>
        <w:spacing w:before="100" w:after="100"/>
        <w:rPr/>
      </w:pPr>
      <w:r>
        <w:rPr/>
      </w:r>
    </w:p>
    <w:p>
      <w:pPr>
        <w:pStyle w:val="Heading2"/>
        <w:spacing w:before="280" w:after="140"/>
        <w:rPr/>
      </w:pPr>
      <w:r>
        <w:rPr>
          <w:rFonts w:eastAsia="Arial" w:cs="Arial" w:ascii="Arial" w:hAnsi="Arial"/>
          <w:b/>
          <w:bCs/>
          <w:color w:val="2E75B6"/>
          <w:sz w:val="26"/>
          <w:szCs w:val="26"/>
        </w:rPr>
        <w:t>Key Metrics at a Glance</w:t>
      </w:r>
    </w:p>
    <w:tbl>
      <w:tblPr>
        <w:tblW w:w="9360" w:type="dxa"/>
        <w:jc w:val="left"/>
        <w:tblInd w:w="0" w:type="dxa"/>
        <w:tblLayout w:type="fixed"/>
        <w:tblCellMar>
          <w:top w:w="80" w:type="dxa"/>
          <w:left w:w="120" w:type="dxa"/>
          <w:bottom w:w="80" w:type="dxa"/>
          <w:right w:w="120" w:type="dxa"/>
        </w:tblCellMar>
      </w:tblPr>
      <w:tblGrid>
        <w:gridCol w:w="4680"/>
        <w:gridCol w:w="4679"/>
      </w:tblGrid>
      <w:tr>
        <w:trPr/>
        <w:tc>
          <w:tcPr>
            <w:tcW w:w="4680" w:type="dxa"/>
            <w:tcBorders>
              <w:top w:val="single" w:sz="2" w:space="0" w:color="CCCCCC"/>
              <w:left w:val="single" w:sz="2" w:space="0" w:color="CCCCCC"/>
              <w:bottom w:val="single" w:sz="2" w:space="0" w:color="CCCCCC"/>
              <w:right w:val="single" w:sz="2" w:space="0" w:color="CCCCCC"/>
            </w:tcBorders>
            <w:shd w:fill="1A3C6B" w:val="clear"/>
            <w:vAlign w:val="center"/>
          </w:tcPr>
          <w:p>
            <w:pPr>
              <w:pStyle w:val="Normal"/>
              <w:jc w:val="left"/>
              <w:rPr/>
            </w:pPr>
            <w:r>
              <w:rPr>
                <w:rFonts w:eastAsia="Arial" w:cs="Arial"/>
                <w:b/>
                <w:bCs/>
                <w:color w:val="FFFFFF"/>
                <w:sz w:val="20"/>
                <w:szCs w:val="20"/>
              </w:rPr>
              <w:t>Metric</w:t>
            </w:r>
          </w:p>
        </w:tc>
        <w:tc>
          <w:tcPr>
            <w:tcW w:w="4679" w:type="dxa"/>
            <w:tcBorders>
              <w:top w:val="single" w:sz="2" w:space="0" w:color="CCCCCC"/>
              <w:left w:val="single" w:sz="2" w:space="0" w:color="CCCCCC"/>
              <w:bottom w:val="single" w:sz="2" w:space="0" w:color="CCCCCC"/>
              <w:right w:val="single" w:sz="2" w:space="0" w:color="CCCCCC"/>
            </w:tcBorders>
            <w:shd w:fill="1A3C6B" w:val="clear"/>
            <w:vAlign w:val="center"/>
          </w:tcPr>
          <w:p>
            <w:pPr>
              <w:pStyle w:val="Normal"/>
              <w:jc w:val="left"/>
              <w:rPr/>
            </w:pPr>
            <w:r>
              <w:rPr>
                <w:rFonts w:eastAsia="Arial" w:cs="Arial"/>
                <w:b/>
                <w:bCs/>
                <w:color w:val="FFFFFF"/>
                <w:sz w:val="20"/>
                <w:szCs w:val="20"/>
              </w:rPr>
              <w:t>Value</w:t>
            </w:r>
          </w:p>
        </w:tc>
      </w:tr>
      <w:tr>
        <w:trPr/>
        <w:tc>
          <w:tcPr>
            <w:tcW w:w="4680"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left"/>
              <w:rPr/>
            </w:pPr>
            <w:r>
              <w:rPr>
                <w:rFonts w:eastAsia="Arial" w:cs="Arial"/>
                <w:b w:val="false"/>
                <w:bCs w:val="false"/>
                <w:color w:val="1A1A1A"/>
                <w:sz w:val="20"/>
                <w:szCs w:val="20"/>
              </w:rPr>
              <w:t>Total students</w:t>
            </w:r>
          </w:p>
        </w:tc>
        <w:tc>
          <w:tcPr>
            <w:tcW w:w="467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1A1A1A"/>
                <w:sz w:val="20"/>
                <w:szCs w:val="20"/>
              </w:rPr>
              <w:t>12,156 across Grade 1–5</w:t>
            </w:r>
          </w:p>
        </w:tc>
      </w:tr>
      <w:tr>
        <w:trPr/>
        <w:tc>
          <w:tcPr>
            <w:tcW w:w="4680"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left"/>
              <w:rPr/>
            </w:pPr>
            <w:r>
              <w:rPr>
                <w:rFonts w:eastAsia="Arial" w:cs="Arial"/>
                <w:b w:val="false"/>
                <w:bCs w:val="false"/>
                <w:color w:val="1A1A1A"/>
                <w:sz w:val="20"/>
                <w:szCs w:val="20"/>
              </w:rPr>
              <w:t>School average exam score</w:t>
            </w:r>
          </w:p>
        </w:tc>
        <w:tc>
          <w:tcPr>
            <w:tcW w:w="467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1A1A1A"/>
                <w:sz w:val="20"/>
                <w:szCs w:val="20"/>
              </w:rPr>
              <w:t>74.96</w:t>
            </w:r>
          </w:p>
        </w:tc>
      </w:tr>
      <w:tr>
        <w:trPr/>
        <w:tc>
          <w:tcPr>
            <w:tcW w:w="4680"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left"/>
              <w:rPr/>
            </w:pPr>
            <w:r>
              <w:rPr>
                <w:rFonts w:eastAsia="Arial" w:cs="Arial"/>
                <w:b w:val="false"/>
                <w:bCs w:val="false"/>
                <w:color w:val="1A1A1A"/>
                <w:sz w:val="20"/>
                <w:szCs w:val="20"/>
              </w:rPr>
              <w:t>At-risk students identified</w:t>
            </w:r>
          </w:p>
        </w:tc>
        <w:tc>
          <w:tcPr>
            <w:tcW w:w="467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1A1A1A"/>
                <w:sz w:val="20"/>
                <w:szCs w:val="20"/>
              </w:rPr>
              <w:t>~2,000 (12.41%)</w:t>
            </w:r>
          </w:p>
        </w:tc>
      </w:tr>
      <w:tr>
        <w:trPr/>
        <w:tc>
          <w:tcPr>
            <w:tcW w:w="4680"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left"/>
              <w:rPr/>
            </w:pPr>
            <w:r>
              <w:rPr>
                <w:rFonts w:eastAsia="Arial" w:cs="Arial"/>
                <w:b w:val="false"/>
                <w:bCs w:val="false"/>
                <w:color w:val="1A1A1A"/>
                <w:sz w:val="20"/>
                <w:szCs w:val="20"/>
              </w:rPr>
              <w:t>Overall attendance rate</w:t>
            </w:r>
          </w:p>
        </w:tc>
        <w:tc>
          <w:tcPr>
            <w:tcW w:w="467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1A1A1A"/>
                <w:sz w:val="20"/>
                <w:szCs w:val="20"/>
              </w:rPr>
              <w:t>25.12% (present only)</w:t>
            </w:r>
          </w:p>
        </w:tc>
      </w:tr>
      <w:tr>
        <w:trPr/>
        <w:tc>
          <w:tcPr>
            <w:tcW w:w="4680"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left"/>
              <w:rPr/>
            </w:pPr>
            <w:r>
              <w:rPr>
                <w:rFonts w:eastAsia="Arial" w:cs="Arial"/>
                <w:b w:val="false"/>
                <w:bCs w:val="false"/>
                <w:color w:val="1A1A1A"/>
                <w:sz w:val="20"/>
                <w:szCs w:val="20"/>
              </w:rPr>
              <w:t>Homework completion rate</w:t>
            </w:r>
          </w:p>
        </w:tc>
        <w:tc>
          <w:tcPr>
            <w:tcW w:w="467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1A1A1A"/>
                <w:sz w:val="20"/>
                <w:szCs w:val="20"/>
              </w:rPr>
              <w:t>49.99%</w:t>
            </w:r>
          </w:p>
        </w:tc>
      </w:tr>
      <w:tr>
        <w:trPr/>
        <w:tc>
          <w:tcPr>
            <w:tcW w:w="4680"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left"/>
              <w:rPr/>
            </w:pPr>
            <w:r>
              <w:rPr>
                <w:rFonts w:eastAsia="Arial" w:cs="Arial"/>
                <w:b w:val="false"/>
                <w:bCs w:val="false"/>
                <w:color w:val="1A1A1A"/>
                <w:sz w:val="20"/>
                <w:szCs w:val="20"/>
              </w:rPr>
              <w:t>Silent students (no communication)</w:t>
            </w:r>
          </w:p>
        </w:tc>
        <w:tc>
          <w:tcPr>
            <w:tcW w:w="467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1A1A1A"/>
                <w:sz w:val="20"/>
                <w:szCs w:val="20"/>
              </w:rPr>
              <w:t>1,644 (13.5%)</w:t>
            </w:r>
          </w:p>
        </w:tc>
      </w:tr>
      <w:tr>
        <w:trPr/>
        <w:tc>
          <w:tcPr>
            <w:tcW w:w="4680"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left"/>
              <w:rPr/>
            </w:pPr>
            <w:r>
              <w:rPr>
                <w:rFonts w:eastAsia="Arial" w:cs="Arial"/>
                <w:b w:val="false"/>
                <w:bCs w:val="false"/>
                <w:color w:val="1A1A1A"/>
                <w:sz w:val="20"/>
                <w:szCs w:val="20"/>
              </w:rPr>
              <w:t>Exam score range</w:t>
            </w:r>
          </w:p>
        </w:tc>
        <w:tc>
          <w:tcPr>
            <w:tcW w:w="467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1A1A1A"/>
                <w:sz w:val="20"/>
                <w:szCs w:val="20"/>
              </w:rPr>
              <w:t>40 – 110</w:t>
            </w:r>
          </w:p>
        </w:tc>
      </w:tr>
      <w:tr>
        <w:trPr/>
        <w:tc>
          <w:tcPr>
            <w:tcW w:w="4680"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left"/>
              <w:rPr/>
            </w:pPr>
            <w:r>
              <w:rPr>
                <w:rFonts w:eastAsia="Arial" w:cs="Arial"/>
                <w:b w:val="false"/>
                <w:bCs w:val="false"/>
                <w:color w:val="1A1A1A"/>
                <w:sz w:val="20"/>
                <w:szCs w:val="20"/>
              </w:rPr>
              <w:t>Data period</w:t>
            </w:r>
          </w:p>
        </w:tc>
        <w:tc>
          <w:tcPr>
            <w:tcW w:w="467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1A1A1A"/>
                <w:sz w:val="20"/>
                <w:szCs w:val="20"/>
              </w:rPr>
              <w:t>March 2024 – March 2025</w:t>
            </w:r>
          </w:p>
        </w:tc>
      </w:tr>
    </w:tbl>
    <w:p>
      <w:pPr>
        <w:pStyle w:val="Normal"/>
        <w:spacing w:before="100" w:after="100"/>
        <w:rPr/>
      </w:pPr>
      <w:r>
        <w:rPr/>
      </w:r>
    </w:p>
    <w:p>
      <w:pPr>
        <w:pStyle w:val="Normal"/>
        <w:rPr/>
      </w:pPr>
      <w:r>
        <w:rPr/>
      </w:r>
      <w:r>
        <w:br w:type="page"/>
      </w:r>
    </w:p>
    <w:p>
      <w:pPr>
        <w:pStyle w:val="Heading1"/>
        <w:spacing w:before="0" w:after="200"/>
        <w:rPr/>
      </w:pPr>
      <w:r>
        <w:rPr>
          <w:rFonts w:eastAsia="Arial" w:cs="Arial" w:ascii="Arial" w:hAnsi="Arial"/>
          <w:b/>
          <w:bCs/>
          <w:color w:val="1A3C6B"/>
          <w:sz w:val="32"/>
          <w:szCs w:val="32"/>
        </w:rPr>
        <w:t>2. Project Overview</w:t>
      </w:r>
    </w:p>
    <w:p>
      <w:pPr>
        <w:pStyle w:val="Heading2"/>
        <w:spacing w:before="280" w:after="140"/>
        <w:rPr/>
      </w:pPr>
      <w:r>
        <w:rPr>
          <w:rFonts w:eastAsia="Arial" w:cs="Arial" w:ascii="Arial" w:hAnsi="Arial"/>
          <w:b/>
          <w:bCs/>
          <w:color w:val="2E75B6"/>
          <w:sz w:val="26"/>
          <w:szCs w:val="26"/>
        </w:rPr>
        <w:t>2.1 Objective</w:t>
      </w:r>
    </w:p>
    <w:p>
      <w:pPr>
        <w:pStyle w:val="Normal"/>
        <w:spacing w:before="80" w:after="80"/>
        <w:rPr/>
      </w:pPr>
      <w:r>
        <w:rPr>
          <w:rFonts w:eastAsia="Arial" w:cs="Arial"/>
          <w:b w:val="false"/>
          <w:bCs w:val="false"/>
          <w:color w:val="1A1A1A"/>
          <w:sz w:val="22"/>
          <w:szCs w:val="22"/>
        </w:rPr>
        <w:t>Design and deliver a complete data analysis pipeline for a school dataset — from raw CSV files to an interactive Power BI dashboard — that enables school administrators to identify at-risk students, monitor attendance and engagement trends, and evaluate the effectiveness of parent communication.</w:t>
      </w:r>
    </w:p>
    <w:p>
      <w:pPr>
        <w:pStyle w:val="Normal"/>
        <w:spacing w:before="100" w:after="100"/>
        <w:rPr/>
      </w:pPr>
      <w:r>
        <w:rPr/>
      </w:r>
    </w:p>
    <w:p>
      <w:pPr>
        <w:pStyle w:val="Heading2"/>
        <w:spacing w:before="280" w:after="140"/>
        <w:rPr/>
      </w:pPr>
      <w:r>
        <w:rPr>
          <w:rFonts w:eastAsia="Arial" w:cs="Arial" w:ascii="Arial" w:hAnsi="Arial"/>
          <w:b/>
          <w:bCs/>
          <w:color w:val="2E75B6"/>
          <w:sz w:val="26"/>
          <w:szCs w:val="26"/>
        </w:rPr>
        <w:t>2.2 Pipeline Architecture</w:t>
      </w:r>
    </w:p>
    <w:p>
      <w:pPr>
        <w:pStyle w:val="Normal"/>
        <w:spacing w:before="80" w:after="80"/>
        <w:rPr/>
      </w:pPr>
      <w:r>
        <w:rPr>
          <w:rFonts w:eastAsia="Arial" w:cs="Arial"/>
          <w:b w:val="false"/>
          <w:bCs w:val="false"/>
          <w:color w:val="1A1A1A"/>
          <w:sz w:val="22"/>
          <w:szCs w:val="22"/>
        </w:rPr>
        <w:t>The project is organized into three sequential phases, each building on the output of the previous one.</w:t>
      </w:r>
    </w:p>
    <w:p>
      <w:pPr>
        <w:pStyle w:val="Normal"/>
        <w:spacing w:before="100" w:after="100"/>
        <w:rPr/>
      </w:pPr>
      <w:r>
        <w:rPr/>
      </w:r>
    </w:p>
    <w:tbl>
      <w:tblPr>
        <w:tblW w:w="9352" w:type="dxa"/>
        <w:jc w:val="left"/>
        <w:tblInd w:w="0" w:type="dxa"/>
        <w:tblLayout w:type="fixed"/>
        <w:tblCellMar>
          <w:top w:w="80" w:type="dxa"/>
          <w:left w:w="120" w:type="dxa"/>
          <w:bottom w:w="80" w:type="dxa"/>
          <w:right w:w="120" w:type="dxa"/>
        </w:tblCellMar>
      </w:tblPr>
      <w:tblGrid>
        <w:gridCol w:w="1872"/>
        <w:gridCol w:w="2340"/>
        <w:gridCol w:w="2340"/>
        <w:gridCol w:w="2800"/>
      </w:tblGrid>
      <w:tr>
        <w:trPr/>
        <w:tc>
          <w:tcPr>
            <w:tcW w:w="1872" w:type="dxa"/>
            <w:tcBorders>
              <w:top w:val="single" w:sz="2" w:space="0" w:color="CCCCCC"/>
              <w:left w:val="single" w:sz="2" w:space="0" w:color="CCCCCC"/>
              <w:bottom w:val="single" w:sz="2" w:space="0" w:color="CCCCCC"/>
              <w:right w:val="single" w:sz="2" w:space="0" w:color="CCCCCC"/>
            </w:tcBorders>
            <w:shd w:fill="1A3C6B" w:val="clear"/>
            <w:vAlign w:val="center"/>
          </w:tcPr>
          <w:p>
            <w:pPr>
              <w:pStyle w:val="Normal"/>
              <w:jc w:val="left"/>
              <w:rPr/>
            </w:pPr>
            <w:r>
              <w:rPr>
                <w:rFonts w:eastAsia="Arial" w:cs="Arial"/>
                <w:b/>
                <w:bCs/>
                <w:color w:val="FFFFFF"/>
                <w:sz w:val="20"/>
                <w:szCs w:val="20"/>
              </w:rPr>
              <w:t>Phase</w:t>
            </w:r>
          </w:p>
        </w:tc>
        <w:tc>
          <w:tcPr>
            <w:tcW w:w="2340" w:type="dxa"/>
            <w:tcBorders>
              <w:top w:val="single" w:sz="2" w:space="0" w:color="CCCCCC"/>
              <w:left w:val="single" w:sz="2" w:space="0" w:color="CCCCCC"/>
              <w:bottom w:val="single" w:sz="2" w:space="0" w:color="CCCCCC"/>
              <w:right w:val="single" w:sz="2" w:space="0" w:color="CCCCCC"/>
            </w:tcBorders>
            <w:shd w:fill="1A3C6B" w:val="clear"/>
            <w:vAlign w:val="center"/>
          </w:tcPr>
          <w:p>
            <w:pPr>
              <w:pStyle w:val="Normal"/>
              <w:jc w:val="left"/>
              <w:rPr/>
            </w:pPr>
            <w:r>
              <w:rPr>
                <w:rFonts w:eastAsia="Arial" w:cs="Arial"/>
                <w:b/>
                <w:bCs/>
                <w:color w:val="FFFFFF"/>
                <w:sz w:val="20"/>
                <w:szCs w:val="20"/>
              </w:rPr>
              <w:t>Tool</w:t>
            </w:r>
          </w:p>
        </w:tc>
        <w:tc>
          <w:tcPr>
            <w:tcW w:w="2340" w:type="dxa"/>
            <w:tcBorders>
              <w:top w:val="single" w:sz="2" w:space="0" w:color="CCCCCC"/>
              <w:left w:val="single" w:sz="2" w:space="0" w:color="CCCCCC"/>
              <w:bottom w:val="single" w:sz="2" w:space="0" w:color="CCCCCC"/>
              <w:right w:val="single" w:sz="2" w:space="0" w:color="CCCCCC"/>
            </w:tcBorders>
            <w:shd w:fill="1A3C6B" w:val="clear"/>
            <w:vAlign w:val="center"/>
          </w:tcPr>
          <w:p>
            <w:pPr>
              <w:pStyle w:val="Normal"/>
              <w:jc w:val="left"/>
              <w:rPr/>
            </w:pPr>
            <w:r>
              <w:rPr>
                <w:rFonts w:eastAsia="Arial" w:cs="Arial"/>
                <w:b/>
                <w:bCs/>
                <w:color w:val="FFFFFF"/>
                <w:sz w:val="20"/>
                <w:szCs w:val="20"/>
              </w:rPr>
              <w:t>File</w:t>
            </w:r>
          </w:p>
        </w:tc>
        <w:tc>
          <w:tcPr>
            <w:tcW w:w="2800" w:type="dxa"/>
            <w:tcBorders>
              <w:top w:val="single" w:sz="2" w:space="0" w:color="CCCCCC"/>
              <w:left w:val="single" w:sz="2" w:space="0" w:color="CCCCCC"/>
              <w:bottom w:val="single" w:sz="2" w:space="0" w:color="CCCCCC"/>
              <w:right w:val="single" w:sz="2" w:space="0" w:color="CCCCCC"/>
            </w:tcBorders>
            <w:shd w:fill="1A3C6B" w:val="clear"/>
            <w:vAlign w:val="center"/>
          </w:tcPr>
          <w:p>
            <w:pPr>
              <w:pStyle w:val="Normal"/>
              <w:jc w:val="left"/>
              <w:rPr/>
            </w:pPr>
            <w:r>
              <w:rPr>
                <w:rFonts w:eastAsia="Arial" w:cs="Arial"/>
                <w:b/>
                <w:bCs/>
                <w:color w:val="FFFFFF"/>
                <w:sz w:val="20"/>
                <w:szCs w:val="20"/>
              </w:rPr>
              <w:t>Output</w:t>
            </w:r>
          </w:p>
        </w:tc>
      </w:tr>
      <w:tr>
        <w:trPr/>
        <w:tc>
          <w:tcPr>
            <w:tcW w:w="1872"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left"/>
              <w:rPr/>
            </w:pPr>
            <w:r>
              <w:rPr>
                <w:rFonts w:eastAsia="Arial" w:cs="Arial"/>
                <w:b w:val="false"/>
                <w:bCs w:val="false"/>
                <w:color w:val="1A1A1A"/>
                <w:sz w:val="20"/>
                <w:szCs w:val="20"/>
              </w:rPr>
              <w:t>1</w:t>
            </w:r>
          </w:p>
        </w:tc>
        <w:tc>
          <w:tcPr>
            <w:tcW w:w="234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1A1A1A"/>
                <w:sz w:val="20"/>
                <w:szCs w:val="20"/>
              </w:rPr>
              <w:t xml:space="preserve">SQL Server </w:t>
            </w:r>
            <w:r>
              <w:rPr>
                <w:rFonts w:eastAsia="Arial" w:cs="Arial"/>
                <w:b w:val="false"/>
                <w:bCs w:val="false"/>
                <w:color w:val="1A1A1A"/>
                <w:sz w:val="20"/>
                <w:szCs w:val="20"/>
              </w:rPr>
              <w:t>2025</w:t>
            </w:r>
          </w:p>
        </w:tc>
        <w:tc>
          <w:tcPr>
            <w:tcW w:w="234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1A1A1A"/>
                <w:sz w:val="20"/>
                <w:szCs w:val="20"/>
              </w:rPr>
              <w:t>storytelling.sql</w:t>
            </w:r>
          </w:p>
        </w:tc>
        <w:tc>
          <w:tcPr>
            <w:tcW w:w="2800"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left"/>
              <w:rPr/>
            </w:pPr>
            <w:r>
              <w:rPr>
                <w:rFonts w:eastAsia="Arial" w:cs="Arial"/>
                <w:b w:val="false"/>
                <w:bCs w:val="false"/>
                <w:color w:val="1A1A1A"/>
                <w:sz w:val="20"/>
                <w:szCs w:val="20"/>
              </w:rPr>
              <w:t>Documented insights + quality flags</w:t>
            </w:r>
          </w:p>
        </w:tc>
      </w:tr>
      <w:tr>
        <w:trPr/>
        <w:tc>
          <w:tcPr>
            <w:tcW w:w="1872"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left"/>
              <w:rPr/>
            </w:pPr>
            <w:r>
              <w:rPr>
                <w:rFonts w:eastAsia="Arial" w:cs="Arial"/>
                <w:b w:val="false"/>
                <w:bCs w:val="false"/>
                <w:color w:val="1A1A1A"/>
                <w:sz w:val="20"/>
                <w:szCs w:val="20"/>
              </w:rPr>
              <w:t>2</w:t>
            </w:r>
          </w:p>
        </w:tc>
        <w:tc>
          <w:tcPr>
            <w:tcW w:w="234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1A1A1A"/>
                <w:sz w:val="20"/>
                <w:szCs w:val="20"/>
              </w:rPr>
              <w:t>Python 3.12</w:t>
            </w:r>
          </w:p>
        </w:tc>
        <w:tc>
          <w:tcPr>
            <w:tcW w:w="234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1A1A1A"/>
                <w:sz w:val="20"/>
                <w:szCs w:val="20"/>
              </w:rPr>
              <w:t>education_cleaning.ipynb</w:t>
            </w:r>
          </w:p>
        </w:tc>
        <w:tc>
          <w:tcPr>
            <w:tcW w:w="2800"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left"/>
              <w:rPr/>
            </w:pPr>
            <w:r>
              <w:rPr>
                <w:rFonts w:eastAsia="Arial" w:cs="Arial"/>
                <w:b w:val="false"/>
                <w:bCs w:val="false"/>
                <w:color w:val="1A1A1A"/>
                <w:sz w:val="20"/>
                <w:szCs w:val="20"/>
              </w:rPr>
              <w:t>5 clean CSVs + student_summary.csv</w:t>
            </w:r>
          </w:p>
        </w:tc>
      </w:tr>
      <w:tr>
        <w:trPr/>
        <w:tc>
          <w:tcPr>
            <w:tcW w:w="1872"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left"/>
              <w:rPr/>
            </w:pPr>
            <w:r>
              <w:rPr>
                <w:rFonts w:eastAsia="Arial" w:cs="Arial"/>
                <w:b w:val="false"/>
                <w:bCs w:val="false"/>
                <w:color w:val="1A1A1A"/>
                <w:sz w:val="20"/>
                <w:szCs w:val="20"/>
              </w:rPr>
              <w:t>3</w:t>
            </w:r>
          </w:p>
        </w:tc>
        <w:tc>
          <w:tcPr>
            <w:tcW w:w="234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1A1A1A"/>
                <w:sz w:val="20"/>
                <w:szCs w:val="20"/>
              </w:rPr>
              <w:t>Power BI</w:t>
            </w:r>
          </w:p>
        </w:tc>
        <w:tc>
          <w:tcPr>
            <w:tcW w:w="234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1A1A1A"/>
                <w:sz w:val="20"/>
                <w:szCs w:val="20"/>
              </w:rPr>
              <w:t>Final Education.pbix</w:t>
            </w:r>
          </w:p>
        </w:tc>
        <w:tc>
          <w:tcPr>
            <w:tcW w:w="2800"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left"/>
              <w:rPr/>
            </w:pPr>
            <w:r>
              <w:rPr>
                <w:rFonts w:eastAsia="Arial" w:cs="Arial"/>
                <w:b w:val="false"/>
                <w:bCs w:val="false"/>
                <w:color w:val="1A1A1A"/>
                <w:sz w:val="20"/>
                <w:szCs w:val="20"/>
              </w:rPr>
              <w:t>6-page interactive dashboard</w:t>
            </w:r>
          </w:p>
        </w:tc>
      </w:tr>
    </w:tbl>
    <w:p>
      <w:pPr>
        <w:pStyle w:val="Normal"/>
        <w:spacing w:before="100" w:after="100"/>
        <w:rPr/>
      </w:pPr>
      <w:r>
        <w:rPr/>
      </w:r>
    </w:p>
    <w:p>
      <w:pPr>
        <w:pStyle w:val="Heading2"/>
        <w:spacing w:before="280" w:after="140"/>
        <w:rPr/>
      </w:pPr>
      <w:r>
        <w:rPr>
          <w:rFonts w:eastAsia="Arial" w:cs="Arial" w:ascii="Arial" w:hAnsi="Arial"/>
          <w:b/>
          <w:bCs/>
          <w:color w:val="2E75B6"/>
          <w:sz w:val="26"/>
          <w:szCs w:val="26"/>
        </w:rPr>
        <w:t>2.3 Dataset</w:t>
      </w:r>
    </w:p>
    <w:tbl>
      <w:tblPr>
        <w:tblW w:w="9360" w:type="dxa"/>
        <w:jc w:val="left"/>
        <w:tblInd w:w="0" w:type="dxa"/>
        <w:tblLayout w:type="fixed"/>
        <w:tblCellMar>
          <w:top w:w="80" w:type="dxa"/>
          <w:left w:w="120" w:type="dxa"/>
          <w:bottom w:w="80" w:type="dxa"/>
          <w:right w:w="120" w:type="dxa"/>
        </w:tblCellMar>
      </w:tblPr>
      <w:tblGrid>
        <w:gridCol w:w="3744"/>
        <w:gridCol w:w="1872"/>
        <w:gridCol w:w="3744"/>
      </w:tblGrid>
      <w:tr>
        <w:trPr/>
        <w:tc>
          <w:tcPr>
            <w:tcW w:w="3744" w:type="dxa"/>
            <w:tcBorders>
              <w:top w:val="single" w:sz="2" w:space="0" w:color="CCCCCC"/>
              <w:left w:val="single" w:sz="2" w:space="0" w:color="CCCCCC"/>
              <w:bottom w:val="single" w:sz="2" w:space="0" w:color="CCCCCC"/>
              <w:right w:val="single" w:sz="2" w:space="0" w:color="CCCCCC"/>
            </w:tcBorders>
            <w:shd w:fill="1A3C6B" w:val="clear"/>
            <w:vAlign w:val="center"/>
          </w:tcPr>
          <w:p>
            <w:pPr>
              <w:pStyle w:val="Normal"/>
              <w:jc w:val="left"/>
              <w:rPr/>
            </w:pPr>
            <w:r>
              <w:rPr>
                <w:rFonts w:eastAsia="Arial" w:cs="Arial"/>
                <w:b/>
                <w:bCs/>
                <w:color w:val="FFFFFF"/>
                <w:sz w:val="20"/>
                <w:szCs w:val="20"/>
              </w:rPr>
              <w:t>Table</w:t>
            </w:r>
          </w:p>
        </w:tc>
        <w:tc>
          <w:tcPr>
            <w:tcW w:w="1872" w:type="dxa"/>
            <w:tcBorders>
              <w:top w:val="single" w:sz="2" w:space="0" w:color="CCCCCC"/>
              <w:left w:val="single" w:sz="2" w:space="0" w:color="CCCCCC"/>
              <w:bottom w:val="single" w:sz="2" w:space="0" w:color="CCCCCC"/>
              <w:right w:val="single" w:sz="2" w:space="0" w:color="CCCCCC"/>
            </w:tcBorders>
            <w:shd w:fill="1A3C6B" w:val="clear"/>
            <w:vAlign w:val="center"/>
          </w:tcPr>
          <w:p>
            <w:pPr>
              <w:pStyle w:val="Normal"/>
              <w:jc w:val="left"/>
              <w:rPr/>
            </w:pPr>
            <w:r>
              <w:rPr>
                <w:rFonts w:eastAsia="Arial" w:cs="Arial"/>
                <w:b/>
                <w:bCs/>
                <w:color w:val="FFFFFF"/>
                <w:sz w:val="20"/>
                <w:szCs w:val="20"/>
              </w:rPr>
              <w:t>Rows</w:t>
            </w:r>
          </w:p>
        </w:tc>
        <w:tc>
          <w:tcPr>
            <w:tcW w:w="3744" w:type="dxa"/>
            <w:tcBorders>
              <w:top w:val="single" w:sz="2" w:space="0" w:color="CCCCCC"/>
              <w:left w:val="single" w:sz="2" w:space="0" w:color="CCCCCC"/>
              <w:bottom w:val="single" w:sz="2" w:space="0" w:color="CCCCCC"/>
              <w:right w:val="single" w:sz="2" w:space="0" w:color="CCCCCC"/>
            </w:tcBorders>
            <w:shd w:fill="1A3C6B" w:val="clear"/>
            <w:vAlign w:val="center"/>
          </w:tcPr>
          <w:p>
            <w:pPr>
              <w:pStyle w:val="Normal"/>
              <w:jc w:val="left"/>
              <w:rPr/>
            </w:pPr>
            <w:r>
              <w:rPr>
                <w:rFonts w:eastAsia="Arial" w:cs="Arial"/>
                <w:b/>
                <w:bCs/>
                <w:color w:val="FFFFFF"/>
                <w:sz w:val="20"/>
                <w:szCs w:val="20"/>
              </w:rPr>
              <w:t>Description</w:t>
            </w:r>
          </w:p>
        </w:tc>
      </w:tr>
      <w:tr>
        <w:trPr/>
        <w:tc>
          <w:tcPr>
            <w:tcW w:w="3744"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left"/>
              <w:rPr/>
            </w:pPr>
            <w:r>
              <w:rPr>
                <w:rFonts w:eastAsia="Arial" w:cs="Arial"/>
                <w:b w:val="false"/>
                <w:bCs w:val="false"/>
                <w:color w:val="1A1A1A"/>
                <w:sz w:val="20"/>
                <w:szCs w:val="20"/>
              </w:rPr>
              <w:t>students.csv</w:t>
            </w:r>
          </w:p>
        </w:tc>
        <w:tc>
          <w:tcPr>
            <w:tcW w:w="1872"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1A1A1A"/>
                <w:sz w:val="20"/>
                <w:szCs w:val="20"/>
              </w:rPr>
              <w:t>12,156</w:t>
            </w:r>
          </w:p>
        </w:tc>
        <w:tc>
          <w:tcPr>
            <w:tcW w:w="3744"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1A1A1A"/>
                <w:sz w:val="20"/>
                <w:szCs w:val="20"/>
              </w:rPr>
              <w:t>Student profiles — Grade 1 to 5</w:t>
            </w:r>
          </w:p>
        </w:tc>
      </w:tr>
      <w:tr>
        <w:trPr/>
        <w:tc>
          <w:tcPr>
            <w:tcW w:w="3744"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left"/>
              <w:rPr/>
            </w:pPr>
            <w:r>
              <w:rPr>
                <w:rFonts w:eastAsia="Arial" w:cs="Arial"/>
                <w:b w:val="false"/>
                <w:bCs w:val="false"/>
                <w:color w:val="1A1A1A"/>
                <w:sz w:val="20"/>
                <w:szCs w:val="20"/>
              </w:rPr>
              <w:t>attendance.csv</w:t>
            </w:r>
          </w:p>
        </w:tc>
        <w:tc>
          <w:tcPr>
            <w:tcW w:w="1872"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1A1A1A"/>
                <w:sz w:val="20"/>
                <w:szCs w:val="20"/>
              </w:rPr>
              <w:t>364,680</w:t>
            </w:r>
          </w:p>
        </w:tc>
        <w:tc>
          <w:tcPr>
            <w:tcW w:w="3744"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1A1A1A"/>
                <w:sz w:val="20"/>
                <w:szCs w:val="20"/>
              </w:rPr>
              <w:t>Daily attendance per subject</w:t>
            </w:r>
          </w:p>
        </w:tc>
      </w:tr>
      <w:tr>
        <w:trPr/>
        <w:tc>
          <w:tcPr>
            <w:tcW w:w="3744"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left"/>
              <w:rPr/>
            </w:pPr>
            <w:r>
              <w:rPr>
                <w:rFonts w:eastAsia="Arial" w:cs="Arial"/>
                <w:b w:val="false"/>
                <w:bCs w:val="false"/>
                <w:color w:val="1A1A1A"/>
                <w:sz w:val="20"/>
                <w:szCs w:val="20"/>
              </w:rPr>
              <w:t>homework.csv</w:t>
            </w:r>
          </w:p>
        </w:tc>
        <w:tc>
          <w:tcPr>
            <w:tcW w:w="1872"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1A1A1A"/>
                <w:sz w:val="20"/>
                <w:szCs w:val="20"/>
              </w:rPr>
              <w:t>60,780</w:t>
            </w:r>
          </w:p>
        </w:tc>
        <w:tc>
          <w:tcPr>
            <w:tcW w:w="3744"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1A1A1A"/>
                <w:sz w:val="20"/>
                <w:szCs w:val="20"/>
              </w:rPr>
              <w:t>Assignment status and guardian signatures</w:t>
            </w:r>
          </w:p>
        </w:tc>
      </w:tr>
      <w:tr>
        <w:trPr/>
        <w:tc>
          <w:tcPr>
            <w:tcW w:w="3744"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left"/>
              <w:rPr/>
            </w:pPr>
            <w:r>
              <w:rPr>
                <w:rFonts w:eastAsia="Arial" w:cs="Arial"/>
                <w:b w:val="false"/>
                <w:bCs w:val="false"/>
                <w:color w:val="1A1A1A"/>
                <w:sz w:val="20"/>
                <w:szCs w:val="20"/>
              </w:rPr>
              <w:t>performance.csv</w:t>
            </w:r>
          </w:p>
        </w:tc>
        <w:tc>
          <w:tcPr>
            <w:tcW w:w="1872"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1A1A1A"/>
                <w:sz w:val="20"/>
                <w:szCs w:val="20"/>
              </w:rPr>
              <w:t>36,468</w:t>
            </w:r>
          </w:p>
        </w:tc>
        <w:tc>
          <w:tcPr>
            <w:tcW w:w="3744"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1A1A1A"/>
                <w:sz w:val="20"/>
                <w:szCs w:val="20"/>
              </w:rPr>
              <w:t>Exam scores and homework completion rates</w:t>
            </w:r>
          </w:p>
        </w:tc>
      </w:tr>
      <w:tr>
        <w:trPr/>
        <w:tc>
          <w:tcPr>
            <w:tcW w:w="3744"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left"/>
              <w:rPr/>
            </w:pPr>
            <w:r>
              <w:rPr>
                <w:rFonts w:eastAsia="Arial" w:cs="Arial"/>
                <w:b w:val="false"/>
                <w:bCs w:val="false"/>
                <w:color w:val="1A1A1A"/>
                <w:sz w:val="20"/>
                <w:szCs w:val="20"/>
              </w:rPr>
              <w:t>teacher_parent_communication.csv</w:t>
            </w:r>
          </w:p>
        </w:tc>
        <w:tc>
          <w:tcPr>
            <w:tcW w:w="1872"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1A1A1A"/>
                <w:sz w:val="20"/>
                <w:szCs w:val="20"/>
              </w:rPr>
              <w:t>24,312</w:t>
            </w:r>
          </w:p>
        </w:tc>
        <w:tc>
          <w:tcPr>
            <w:tcW w:w="3744"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1A1A1A"/>
                <w:sz w:val="20"/>
                <w:szCs w:val="20"/>
              </w:rPr>
              <w:t>Parent-teacher message logs</w:t>
            </w:r>
          </w:p>
        </w:tc>
      </w:tr>
    </w:tbl>
    <w:p>
      <w:pPr>
        <w:pStyle w:val="Normal"/>
        <w:spacing w:before="100" w:after="100"/>
        <w:rPr/>
      </w:pPr>
      <w:r>
        <w:rPr/>
      </w:r>
    </w:p>
    <w:p>
      <w:pPr>
        <w:pStyle w:val="Normal"/>
        <w:rPr/>
      </w:pPr>
      <w:r>
        <w:rPr/>
      </w:r>
      <w:r>
        <w:br w:type="page"/>
      </w:r>
    </w:p>
    <w:p>
      <w:pPr>
        <w:pStyle w:val="Heading1"/>
        <w:spacing w:before="0" w:after="200"/>
        <w:rPr/>
      </w:pPr>
      <w:r>
        <w:rPr>
          <w:rFonts w:eastAsia="Arial" w:cs="Arial" w:ascii="Arial" w:hAnsi="Arial"/>
          <w:b/>
          <w:bCs/>
          <w:color w:val="1A3C6B"/>
          <w:sz w:val="32"/>
          <w:szCs w:val="32"/>
        </w:rPr>
        <w:t>3. Phase 1 — SQL Storytelling</w:t>
      </w:r>
    </w:p>
    <w:p>
      <w:pPr>
        <w:pStyle w:val="Normal"/>
        <w:spacing w:before="80" w:after="80"/>
        <w:rPr/>
      </w:pPr>
      <w:r>
        <w:rPr>
          <w:rFonts w:eastAsia="Arial" w:cs="Arial"/>
          <w:b w:val="false"/>
          <w:bCs w:val="false"/>
          <w:color w:val="1A1A1A"/>
          <w:sz w:val="22"/>
          <w:szCs w:val="22"/>
        </w:rPr>
        <w:t>The SQL phase is structured as a narrative of six analytical chapters. Each chapter answers a specific business question rather than performing generic data exploration. All findings and data quality issues discovered during this phase were documented as comments directly inside the script for full traceability.</w:t>
      </w:r>
    </w:p>
    <w:p>
      <w:pPr>
        <w:pStyle w:val="Normal"/>
        <w:spacing w:before="100" w:after="100"/>
        <w:rPr/>
      </w:pPr>
      <w:r>
        <w:rPr/>
      </w:r>
    </w:p>
    <w:p>
      <w:pPr>
        <w:pStyle w:val="Heading2"/>
        <w:spacing w:before="280" w:after="140"/>
        <w:rPr/>
      </w:pPr>
      <w:r>
        <w:rPr>
          <w:rFonts w:eastAsia="Arial" w:cs="Arial" w:ascii="Arial" w:hAnsi="Arial"/>
          <w:b/>
          <w:bCs/>
          <w:color w:val="2E75B6"/>
          <w:sz w:val="26"/>
          <w:szCs w:val="26"/>
        </w:rPr>
        <w:t>3.1 Chapter Structure</w:t>
      </w:r>
    </w:p>
    <w:tbl>
      <w:tblPr>
        <w:tblW w:w="9360" w:type="dxa"/>
        <w:jc w:val="left"/>
        <w:tblInd w:w="0" w:type="dxa"/>
        <w:tblLayout w:type="fixed"/>
        <w:tblCellMar>
          <w:top w:w="80" w:type="dxa"/>
          <w:left w:w="120" w:type="dxa"/>
          <w:bottom w:w="80" w:type="dxa"/>
          <w:right w:w="120" w:type="dxa"/>
        </w:tblCellMar>
      </w:tblPr>
      <w:tblGrid>
        <w:gridCol w:w="936"/>
        <w:gridCol w:w="3276"/>
        <w:gridCol w:w="5148"/>
      </w:tblGrid>
      <w:tr>
        <w:trPr/>
        <w:tc>
          <w:tcPr>
            <w:tcW w:w="936" w:type="dxa"/>
            <w:tcBorders>
              <w:top w:val="single" w:sz="2" w:space="0" w:color="CCCCCC"/>
              <w:left w:val="single" w:sz="2" w:space="0" w:color="CCCCCC"/>
              <w:bottom w:val="single" w:sz="2" w:space="0" w:color="CCCCCC"/>
              <w:right w:val="single" w:sz="2" w:space="0" w:color="CCCCCC"/>
            </w:tcBorders>
            <w:shd w:fill="1A3C6B" w:val="clear"/>
            <w:vAlign w:val="center"/>
          </w:tcPr>
          <w:p>
            <w:pPr>
              <w:pStyle w:val="Normal"/>
              <w:jc w:val="left"/>
              <w:rPr/>
            </w:pPr>
            <w:r>
              <w:rPr>
                <w:rFonts w:eastAsia="Arial" w:cs="Arial"/>
                <w:b/>
                <w:bCs/>
                <w:color w:val="FFFFFF"/>
                <w:sz w:val="20"/>
                <w:szCs w:val="20"/>
              </w:rPr>
              <w:t>#</w:t>
            </w:r>
          </w:p>
        </w:tc>
        <w:tc>
          <w:tcPr>
            <w:tcW w:w="3276" w:type="dxa"/>
            <w:tcBorders>
              <w:top w:val="single" w:sz="2" w:space="0" w:color="CCCCCC"/>
              <w:left w:val="single" w:sz="2" w:space="0" w:color="CCCCCC"/>
              <w:bottom w:val="single" w:sz="2" w:space="0" w:color="CCCCCC"/>
              <w:right w:val="single" w:sz="2" w:space="0" w:color="CCCCCC"/>
            </w:tcBorders>
            <w:shd w:fill="1A3C6B" w:val="clear"/>
            <w:vAlign w:val="center"/>
          </w:tcPr>
          <w:p>
            <w:pPr>
              <w:pStyle w:val="Normal"/>
              <w:jc w:val="left"/>
              <w:rPr/>
            </w:pPr>
            <w:r>
              <w:rPr>
                <w:rFonts w:eastAsia="Arial" w:cs="Arial"/>
                <w:b/>
                <w:bCs/>
                <w:color w:val="FFFFFF"/>
                <w:sz w:val="20"/>
                <w:szCs w:val="20"/>
              </w:rPr>
              <w:t>Chapter</w:t>
            </w:r>
          </w:p>
        </w:tc>
        <w:tc>
          <w:tcPr>
            <w:tcW w:w="5148" w:type="dxa"/>
            <w:tcBorders>
              <w:top w:val="single" w:sz="2" w:space="0" w:color="CCCCCC"/>
              <w:left w:val="single" w:sz="2" w:space="0" w:color="CCCCCC"/>
              <w:bottom w:val="single" w:sz="2" w:space="0" w:color="CCCCCC"/>
              <w:right w:val="single" w:sz="2" w:space="0" w:color="CCCCCC"/>
            </w:tcBorders>
            <w:shd w:fill="1A3C6B" w:val="clear"/>
            <w:vAlign w:val="center"/>
          </w:tcPr>
          <w:p>
            <w:pPr>
              <w:pStyle w:val="Normal"/>
              <w:jc w:val="left"/>
              <w:rPr/>
            </w:pPr>
            <w:r>
              <w:rPr>
                <w:rFonts w:eastAsia="Arial" w:cs="Arial"/>
                <w:b/>
                <w:bCs/>
                <w:color w:val="FFFFFF"/>
                <w:sz w:val="20"/>
                <w:szCs w:val="20"/>
              </w:rPr>
              <w:t>Analytical Focus</w:t>
            </w:r>
          </w:p>
        </w:tc>
      </w:tr>
      <w:tr>
        <w:trPr/>
        <w:tc>
          <w:tcPr>
            <w:tcW w:w="936"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left"/>
              <w:rPr/>
            </w:pPr>
            <w:r>
              <w:rPr>
                <w:rFonts w:eastAsia="Arial" w:cs="Arial"/>
                <w:b w:val="false"/>
                <w:bCs w:val="false"/>
                <w:color w:val="1A1A1A"/>
                <w:sz w:val="20"/>
                <w:szCs w:val="20"/>
              </w:rPr>
              <w:t>1</w:t>
            </w:r>
          </w:p>
        </w:tc>
        <w:tc>
          <w:tcPr>
            <w:tcW w:w="3276"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1A1A1A"/>
                <w:sz w:val="20"/>
                <w:szCs w:val="20"/>
              </w:rPr>
              <w:t>Who are the students?</w:t>
            </w:r>
          </w:p>
        </w:tc>
        <w:tc>
          <w:tcPr>
            <w:tcW w:w="5148"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1A1A1A"/>
                <w:sz w:val="20"/>
                <w:szCs w:val="20"/>
              </w:rPr>
              <w:t>Population and grade-level distribution</w:t>
            </w:r>
          </w:p>
        </w:tc>
      </w:tr>
      <w:tr>
        <w:trPr/>
        <w:tc>
          <w:tcPr>
            <w:tcW w:w="936"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left"/>
              <w:rPr/>
            </w:pPr>
            <w:r>
              <w:rPr>
                <w:rFonts w:eastAsia="Arial" w:cs="Arial"/>
                <w:b w:val="false"/>
                <w:bCs w:val="false"/>
                <w:color w:val="1A1A1A"/>
                <w:sz w:val="20"/>
                <w:szCs w:val="20"/>
              </w:rPr>
              <w:t>2</w:t>
            </w:r>
          </w:p>
        </w:tc>
        <w:tc>
          <w:tcPr>
            <w:tcW w:w="3276"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1A1A1A"/>
                <w:sz w:val="20"/>
                <w:szCs w:val="20"/>
              </w:rPr>
              <w:t>Are they showing up?</w:t>
            </w:r>
          </w:p>
        </w:tc>
        <w:tc>
          <w:tcPr>
            <w:tcW w:w="5148"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1A1A1A"/>
                <w:sz w:val="20"/>
                <w:szCs w:val="20"/>
              </w:rPr>
              <w:t>Attendance patterns, monthly trends, subject breakdown</w:t>
            </w:r>
          </w:p>
        </w:tc>
      </w:tr>
      <w:tr>
        <w:trPr/>
        <w:tc>
          <w:tcPr>
            <w:tcW w:w="936"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left"/>
              <w:rPr/>
            </w:pPr>
            <w:r>
              <w:rPr>
                <w:rFonts w:eastAsia="Arial" w:cs="Arial"/>
                <w:b w:val="false"/>
                <w:bCs w:val="false"/>
                <w:color w:val="1A1A1A"/>
                <w:sz w:val="20"/>
                <w:szCs w:val="20"/>
              </w:rPr>
              <w:t>3</w:t>
            </w:r>
          </w:p>
        </w:tc>
        <w:tc>
          <w:tcPr>
            <w:tcW w:w="3276"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1A1A1A"/>
                <w:sz w:val="20"/>
                <w:szCs w:val="20"/>
              </w:rPr>
              <w:t>Are they doing their work?</w:t>
            </w:r>
          </w:p>
        </w:tc>
        <w:tc>
          <w:tcPr>
            <w:tcW w:w="5148"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1A1A1A"/>
                <w:sz w:val="20"/>
                <w:szCs w:val="20"/>
              </w:rPr>
              <w:t>Homework compliance, guardian signature correlation, grade feedback</w:t>
            </w:r>
          </w:p>
        </w:tc>
      </w:tr>
      <w:tr>
        <w:trPr/>
        <w:tc>
          <w:tcPr>
            <w:tcW w:w="936"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left"/>
              <w:rPr/>
            </w:pPr>
            <w:r>
              <w:rPr>
                <w:rFonts w:eastAsia="Arial" w:cs="Arial"/>
                <w:b w:val="false"/>
                <w:bCs w:val="false"/>
                <w:color w:val="1A1A1A"/>
                <w:sz w:val="20"/>
                <w:szCs w:val="20"/>
              </w:rPr>
              <w:t>4</w:t>
            </w:r>
          </w:p>
        </w:tc>
        <w:tc>
          <w:tcPr>
            <w:tcW w:w="3276"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1A1A1A"/>
                <w:sz w:val="20"/>
                <w:szCs w:val="20"/>
              </w:rPr>
              <w:t>Are they performing?</w:t>
            </w:r>
          </w:p>
        </w:tc>
        <w:tc>
          <w:tcPr>
            <w:tcW w:w="5148"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1A1A1A"/>
                <w:sz w:val="20"/>
                <w:szCs w:val="20"/>
              </w:rPr>
              <w:t>Exam score distribution, subject and grade-level averages</w:t>
            </w:r>
          </w:p>
        </w:tc>
      </w:tr>
      <w:tr>
        <w:trPr/>
        <w:tc>
          <w:tcPr>
            <w:tcW w:w="936"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left"/>
              <w:rPr/>
            </w:pPr>
            <w:r>
              <w:rPr>
                <w:rFonts w:eastAsia="Arial" w:cs="Arial"/>
                <w:b w:val="false"/>
                <w:bCs w:val="false"/>
                <w:color w:val="1A1A1A"/>
                <w:sz w:val="20"/>
                <w:szCs w:val="20"/>
              </w:rPr>
              <w:t>5</w:t>
            </w:r>
          </w:p>
        </w:tc>
        <w:tc>
          <w:tcPr>
            <w:tcW w:w="3276"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1A1A1A"/>
                <w:sz w:val="20"/>
                <w:szCs w:val="20"/>
              </w:rPr>
              <w:t>Are parents in the loop?</w:t>
            </w:r>
          </w:p>
        </w:tc>
        <w:tc>
          <w:tcPr>
            <w:tcW w:w="5148"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1A1A1A"/>
                <w:sz w:val="20"/>
                <w:szCs w:val="20"/>
              </w:rPr>
              <w:t>Communication volume, message type split, silent students</w:t>
            </w:r>
          </w:p>
        </w:tc>
      </w:tr>
      <w:tr>
        <w:trPr/>
        <w:tc>
          <w:tcPr>
            <w:tcW w:w="936"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left"/>
              <w:rPr/>
            </w:pPr>
            <w:r>
              <w:rPr>
                <w:rFonts w:eastAsia="Arial" w:cs="Arial"/>
                <w:b w:val="false"/>
                <w:bCs w:val="false"/>
                <w:color w:val="1A1A1A"/>
                <w:sz w:val="20"/>
                <w:szCs w:val="20"/>
              </w:rPr>
              <w:t>6</w:t>
            </w:r>
          </w:p>
        </w:tc>
        <w:tc>
          <w:tcPr>
            <w:tcW w:w="3276"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1A1A1A"/>
                <w:sz w:val="20"/>
                <w:szCs w:val="20"/>
              </w:rPr>
              <w:t>At-risk student profile</w:t>
            </w:r>
          </w:p>
        </w:tc>
        <w:tc>
          <w:tcPr>
            <w:tcW w:w="5148"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1A1A1A"/>
                <w:sz w:val="20"/>
                <w:szCs w:val="20"/>
              </w:rPr>
              <w:t>Cross-table query: attendance &lt; 20%, score &lt; 60, missed HW &gt; 3</w:t>
            </w:r>
          </w:p>
        </w:tc>
      </w:tr>
    </w:tbl>
    <w:p>
      <w:pPr>
        <w:pStyle w:val="Normal"/>
        <w:spacing w:before="100" w:after="100"/>
        <w:rPr/>
      </w:pPr>
      <w:r>
        <w:rPr/>
      </w:r>
    </w:p>
    <w:p>
      <w:pPr>
        <w:pStyle w:val="Heading2"/>
        <w:spacing w:before="280" w:after="140"/>
        <w:rPr/>
      </w:pPr>
      <w:r>
        <w:rPr>
          <w:rFonts w:eastAsia="Arial" w:cs="Arial" w:ascii="Arial" w:hAnsi="Arial"/>
          <w:b/>
          <w:bCs/>
          <w:color w:val="2E75B6"/>
          <w:sz w:val="26"/>
          <w:szCs w:val="26"/>
        </w:rPr>
        <w:t>3.2 Data Quality Issues Identified</w:t>
      </w:r>
    </w:p>
    <w:p>
      <w:pPr>
        <w:pStyle w:val="Normal"/>
        <w:spacing w:before="80" w:after="80"/>
        <w:rPr/>
      </w:pPr>
      <w:r>
        <w:rPr>
          <w:rFonts w:eastAsia="Arial" w:cs="Arial"/>
          <w:b w:val="false"/>
          <w:bCs w:val="false"/>
          <w:color w:val="1A1A1A"/>
          <w:sz w:val="22"/>
          <w:szCs w:val="22"/>
        </w:rPr>
        <w:t>All issues discovered were flagged in SQL comments and resolved in the Python phase. UPPER() and TRIM() were applied inline during SQL analysis only to ensure query accuracy — no permanent changes were made at this stage.</w:t>
      </w:r>
    </w:p>
    <w:p>
      <w:pPr>
        <w:pStyle w:val="Normal"/>
        <w:spacing w:before="100" w:after="100"/>
        <w:rPr/>
      </w:pPr>
      <w:r>
        <w:rPr/>
      </w:r>
    </w:p>
    <w:tbl>
      <w:tblPr>
        <w:tblW w:w="9360" w:type="dxa"/>
        <w:jc w:val="left"/>
        <w:tblInd w:w="0" w:type="dxa"/>
        <w:tblLayout w:type="fixed"/>
        <w:tblCellMar>
          <w:top w:w="80" w:type="dxa"/>
          <w:left w:w="120" w:type="dxa"/>
          <w:bottom w:w="80" w:type="dxa"/>
          <w:right w:w="120" w:type="dxa"/>
        </w:tblCellMar>
      </w:tblPr>
      <w:tblGrid>
        <w:gridCol w:w="3119"/>
        <w:gridCol w:w="6240"/>
      </w:tblGrid>
      <w:tr>
        <w:trPr/>
        <w:tc>
          <w:tcPr>
            <w:tcW w:w="3119" w:type="dxa"/>
            <w:tcBorders>
              <w:top w:val="single" w:sz="2" w:space="0" w:color="CCCCCC"/>
              <w:left w:val="single" w:sz="2" w:space="0" w:color="CCCCCC"/>
              <w:bottom w:val="single" w:sz="2" w:space="0" w:color="CCCCCC"/>
              <w:right w:val="single" w:sz="2" w:space="0" w:color="CCCCCC"/>
            </w:tcBorders>
            <w:shd w:fill="1A3C6B" w:val="clear"/>
            <w:vAlign w:val="center"/>
          </w:tcPr>
          <w:p>
            <w:pPr>
              <w:pStyle w:val="Normal"/>
              <w:jc w:val="left"/>
              <w:rPr/>
            </w:pPr>
            <w:r>
              <w:rPr>
                <w:rFonts w:eastAsia="Arial" w:cs="Arial"/>
                <w:b/>
                <w:bCs/>
                <w:color w:val="FFFFFF"/>
                <w:sz w:val="20"/>
                <w:szCs w:val="20"/>
              </w:rPr>
              <w:t>Column</w:t>
            </w:r>
          </w:p>
        </w:tc>
        <w:tc>
          <w:tcPr>
            <w:tcW w:w="6240" w:type="dxa"/>
            <w:tcBorders>
              <w:top w:val="single" w:sz="2" w:space="0" w:color="CCCCCC"/>
              <w:left w:val="single" w:sz="2" w:space="0" w:color="CCCCCC"/>
              <w:bottom w:val="single" w:sz="2" w:space="0" w:color="CCCCCC"/>
              <w:right w:val="single" w:sz="2" w:space="0" w:color="CCCCCC"/>
            </w:tcBorders>
            <w:shd w:fill="1A3C6B" w:val="clear"/>
            <w:vAlign w:val="center"/>
          </w:tcPr>
          <w:p>
            <w:pPr>
              <w:pStyle w:val="Normal"/>
              <w:jc w:val="left"/>
              <w:rPr/>
            </w:pPr>
            <w:r>
              <w:rPr>
                <w:rFonts w:eastAsia="Arial" w:cs="Arial"/>
                <w:b/>
                <w:bCs/>
                <w:color w:val="FFFFFF"/>
                <w:sz w:val="20"/>
                <w:szCs w:val="20"/>
              </w:rPr>
              <w:t>Issue</w:t>
            </w:r>
          </w:p>
        </w:tc>
      </w:tr>
      <w:tr>
        <w:trPr/>
        <w:tc>
          <w:tcPr>
            <w:tcW w:w="3119"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left"/>
              <w:rPr/>
            </w:pPr>
            <w:r>
              <w:rPr>
                <w:rFonts w:eastAsia="Arial" w:cs="Arial"/>
                <w:b w:val="false"/>
                <w:bCs w:val="false"/>
                <w:color w:val="1A1A1A"/>
                <w:sz w:val="20"/>
                <w:szCs w:val="20"/>
              </w:rPr>
              <w:t>students.Date_of_Birth</w:t>
            </w:r>
          </w:p>
        </w:tc>
        <w:tc>
          <w:tcPr>
            <w:tcW w:w="624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1A1A1A"/>
                <w:sz w:val="20"/>
                <w:szCs w:val="20"/>
              </w:rPr>
              <w:t>Two coexisting formats: YYYY-MM-DD (10,951 rows) and MM-DD-YYYY (1,205 rows)</w:t>
            </w:r>
          </w:p>
        </w:tc>
      </w:tr>
      <w:tr>
        <w:trPr/>
        <w:tc>
          <w:tcPr>
            <w:tcW w:w="3119"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left"/>
              <w:rPr/>
            </w:pPr>
            <w:r>
              <w:rPr>
                <w:rFonts w:eastAsia="Arial" w:cs="Arial"/>
                <w:b w:val="false"/>
                <w:bCs w:val="false"/>
                <w:color w:val="1A1A1A"/>
                <w:sz w:val="20"/>
                <w:szCs w:val="20"/>
              </w:rPr>
              <w:t>attendance.Attendance_Status</w:t>
            </w:r>
          </w:p>
        </w:tc>
        <w:tc>
          <w:tcPr>
            <w:tcW w:w="624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1A1A1A"/>
                <w:sz w:val="20"/>
                <w:szCs w:val="20"/>
              </w:rPr>
              <w:t>Inconsistent casing across values, leading whitespace, and typo 'absnt' for 'Absent'</w:t>
            </w:r>
          </w:p>
        </w:tc>
      </w:tr>
      <w:tr>
        <w:trPr/>
        <w:tc>
          <w:tcPr>
            <w:tcW w:w="3119"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left"/>
              <w:rPr/>
            </w:pPr>
            <w:r>
              <w:rPr>
                <w:rFonts w:eastAsia="Arial" w:cs="Arial"/>
                <w:b w:val="false"/>
                <w:bCs w:val="false"/>
                <w:color w:val="1A1A1A"/>
                <w:sz w:val="20"/>
                <w:szCs w:val="20"/>
              </w:rPr>
              <w:t>homework.Status</w:t>
            </w:r>
          </w:p>
        </w:tc>
        <w:tc>
          <w:tcPr>
            <w:tcW w:w="624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1A1A1A"/>
                <w:sz w:val="20"/>
                <w:szCs w:val="20"/>
              </w:rPr>
              <w:t>Six variant representations mixing emojis (checkmark, X) with text labels</w:t>
            </w:r>
          </w:p>
        </w:tc>
      </w:tr>
      <w:tr>
        <w:trPr/>
        <w:tc>
          <w:tcPr>
            <w:tcW w:w="3119"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left"/>
              <w:rPr/>
            </w:pPr>
            <w:r>
              <w:rPr>
                <w:rFonts w:eastAsia="Arial" w:cs="Arial"/>
                <w:b w:val="false"/>
                <w:bCs w:val="false"/>
                <w:color w:val="1A1A1A"/>
                <w:sz w:val="20"/>
                <w:szCs w:val="20"/>
              </w:rPr>
              <w:t>homework.Guardian_Signature</w:t>
            </w:r>
          </w:p>
        </w:tc>
        <w:tc>
          <w:tcPr>
            <w:tcW w:w="624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1A1A1A"/>
                <w:sz w:val="20"/>
                <w:szCs w:val="20"/>
              </w:rPr>
              <w:t>Imported as BIT type by SSMS; blank strings treated as a third category instead of NULL</w:t>
            </w:r>
          </w:p>
        </w:tc>
      </w:tr>
      <w:tr>
        <w:trPr/>
        <w:tc>
          <w:tcPr>
            <w:tcW w:w="3119"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left"/>
              <w:rPr/>
            </w:pPr>
            <w:r>
              <w:rPr>
                <w:rFonts w:eastAsia="Arial" w:cs="Arial"/>
                <w:b w:val="false"/>
                <w:bCs w:val="false"/>
                <w:color w:val="1A1A1A"/>
                <w:sz w:val="20"/>
                <w:szCs w:val="20"/>
              </w:rPr>
              <w:t>performance.Homework_Completion_%</w:t>
            </w:r>
          </w:p>
        </w:tc>
        <w:tc>
          <w:tcPr>
            <w:tcW w:w="624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1A1A1A"/>
                <w:sz w:val="20"/>
                <w:szCs w:val="20"/>
              </w:rPr>
              <w:t>7,376 records contain -5 (logically invalid) and inconsistent % suffix across values</w:t>
            </w:r>
          </w:p>
        </w:tc>
      </w:tr>
    </w:tbl>
    <w:p>
      <w:pPr>
        <w:pStyle w:val="Normal"/>
        <w:spacing w:before="100" w:after="100"/>
        <w:rPr/>
      </w:pPr>
      <w:r>
        <w:rPr/>
      </w:r>
    </w:p>
    <w:p>
      <w:pPr>
        <w:pStyle w:val="Heading1"/>
        <w:spacing w:before="0" w:after="200"/>
        <w:rPr/>
      </w:pPr>
      <w:r>
        <w:rPr>
          <w:rFonts w:eastAsia="Arial" w:cs="Arial" w:ascii="Arial" w:hAnsi="Arial"/>
          <w:b/>
          <w:bCs/>
          <w:color w:val="1A3C6B"/>
          <w:sz w:val="32"/>
          <w:szCs w:val="32"/>
        </w:rPr>
        <w:t>4. Phase 2 — Python Cleaning &amp; Feature Engineering</w:t>
      </w:r>
    </w:p>
    <w:p>
      <w:pPr>
        <w:pStyle w:val="Normal"/>
        <w:spacing w:before="80" w:after="80"/>
        <w:rPr/>
      </w:pPr>
      <w:r>
        <w:rPr>
          <w:rFonts w:eastAsia="Arial" w:cs="Arial"/>
          <w:b w:val="false"/>
          <w:bCs w:val="false"/>
          <w:color w:val="1A1A1A"/>
          <w:sz w:val="22"/>
          <w:szCs w:val="22"/>
        </w:rPr>
        <w:t>The Jupyter Notebook processes all five tables in sequence, resolves every data quality issue flagged in the SQL phase, validates referential integrity across all tables, engineers the features needed for the Power BI dashboard, removes unused columns, and exports five clean CSV files.</w:t>
      </w:r>
    </w:p>
    <w:p>
      <w:pPr>
        <w:pStyle w:val="Normal"/>
        <w:spacing w:before="100" w:after="100"/>
        <w:rPr/>
      </w:pPr>
      <w:r>
        <w:rPr/>
      </w:r>
    </w:p>
    <w:p>
      <w:pPr>
        <w:pStyle w:val="Heading2"/>
        <w:spacing w:before="280" w:after="140"/>
        <w:rPr/>
      </w:pPr>
      <w:r>
        <w:rPr>
          <w:rFonts w:eastAsia="Arial" w:cs="Arial" w:ascii="Arial" w:hAnsi="Arial"/>
          <w:b/>
          <w:bCs/>
          <w:color w:val="2E75B6"/>
          <w:sz w:val="26"/>
          <w:szCs w:val="26"/>
        </w:rPr>
        <w:t>4.1 Cleaning Decisions</w:t>
      </w:r>
    </w:p>
    <w:tbl>
      <w:tblPr>
        <w:tblW w:w="9360" w:type="dxa"/>
        <w:jc w:val="left"/>
        <w:tblInd w:w="0" w:type="dxa"/>
        <w:tblLayout w:type="fixed"/>
        <w:tblCellMar>
          <w:top w:w="80" w:type="dxa"/>
          <w:left w:w="120" w:type="dxa"/>
          <w:bottom w:w="80" w:type="dxa"/>
          <w:right w:w="120" w:type="dxa"/>
        </w:tblCellMar>
      </w:tblPr>
      <w:tblGrid>
        <w:gridCol w:w="3120"/>
        <w:gridCol w:w="2807"/>
        <w:gridCol w:w="3433"/>
      </w:tblGrid>
      <w:tr>
        <w:trPr/>
        <w:tc>
          <w:tcPr>
            <w:tcW w:w="3120" w:type="dxa"/>
            <w:tcBorders>
              <w:top w:val="single" w:sz="2" w:space="0" w:color="CCCCCC"/>
              <w:left w:val="single" w:sz="2" w:space="0" w:color="CCCCCC"/>
              <w:bottom w:val="single" w:sz="2" w:space="0" w:color="CCCCCC"/>
              <w:right w:val="single" w:sz="2" w:space="0" w:color="CCCCCC"/>
            </w:tcBorders>
            <w:shd w:fill="1A3C6B" w:val="clear"/>
            <w:vAlign w:val="center"/>
          </w:tcPr>
          <w:p>
            <w:pPr>
              <w:pStyle w:val="Normal"/>
              <w:jc w:val="left"/>
              <w:rPr/>
            </w:pPr>
            <w:r>
              <w:rPr>
                <w:rFonts w:eastAsia="Arial" w:cs="Arial"/>
                <w:b/>
                <w:bCs/>
                <w:color w:val="FFFFFF"/>
                <w:sz w:val="20"/>
                <w:szCs w:val="20"/>
              </w:rPr>
              <w:t>Issue</w:t>
            </w:r>
          </w:p>
        </w:tc>
        <w:tc>
          <w:tcPr>
            <w:tcW w:w="2807" w:type="dxa"/>
            <w:tcBorders>
              <w:top w:val="single" w:sz="2" w:space="0" w:color="CCCCCC"/>
              <w:left w:val="single" w:sz="2" w:space="0" w:color="CCCCCC"/>
              <w:bottom w:val="single" w:sz="2" w:space="0" w:color="CCCCCC"/>
              <w:right w:val="single" w:sz="2" w:space="0" w:color="CCCCCC"/>
            </w:tcBorders>
            <w:shd w:fill="1A3C6B" w:val="clear"/>
            <w:vAlign w:val="center"/>
          </w:tcPr>
          <w:p>
            <w:pPr>
              <w:pStyle w:val="Normal"/>
              <w:jc w:val="left"/>
              <w:rPr/>
            </w:pPr>
            <w:r>
              <w:rPr>
                <w:rFonts w:eastAsia="Arial" w:cs="Arial"/>
                <w:b/>
                <w:bCs/>
                <w:color w:val="FFFFFF"/>
                <w:sz w:val="20"/>
                <w:szCs w:val="20"/>
              </w:rPr>
              <w:t>Decision</w:t>
            </w:r>
          </w:p>
        </w:tc>
        <w:tc>
          <w:tcPr>
            <w:tcW w:w="3433" w:type="dxa"/>
            <w:tcBorders>
              <w:top w:val="single" w:sz="2" w:space="0" w:color="CCCCCC"/>
              <w:left w:val="single" w:sz="2" w:space="0" w:color="CCCCCC"/>
              <w:bottom w:val="single" w:sz="2" w:space="0" w:color="CCCCCC"/>
              <w:right w:val="single" w:sz="2" w:space="0" w:color="CCCCCC"/>
            </w:tcBorders>
            <w:shd w:fill="1A3C6B" w:val="clear"/>
            <w:vAlign w:val="center"/>
          </w:tcPr>
          <w:p>
            <w:pPr>
              <w:pStyle w:val="Normal"/>
              <w:jc w:val="left"/>
              <w:rPr/>
            </w:pPr>
            <w:r>
              <w:rPr>
                <w:rFonts w:eastAsia="Arial" w:cs="Arial"/>
                <w:b/>
                <w:bCs/>
                <w:color w:val="FFFFFF"/>
                <w:sz w:val="20"/>
                <w:szCs w:val="20"/>
              </w:rPr>
              <w:t>Justification</w:t>
            </w:r>
          </w:p>
        </w:tc>
      </w:tr>
      <w:tr>
        <w:trPr/>
        <w:tc>
          <w:tcPr>
            <w:tcW w:w="3120"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left"/>
              <w:rPr/>
            </w:pPr>
            <w:r>
              <w:rPr>
                <w:rFonts w:eastAsia="Arial" w:cs="Arial"/>
                <w:b w:val="false"/>
                <w:bCs w:val="false"/>
                <w:color w:val="1A1A1A"/>
                <w:sz w:val="20"/>
                <w:szCs w:val="20"/>
              </w:rPr>
              <w:t>Mixed date formats</w:t>
            </w:r>
          </w:p>
        </w:tc>
        <w:tc>
          <w:tcPr>
            <w:tcW w:w="2807"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1A1A1A"/>
                <w:sz w:val="20"/>
                <w:szCs w:val="20"/>
              </w:rPr>
              <w:t>pd.to_datetime(format='mixed')</w:t>
            </w:r>
          </w:p>
        </w:tc>
        <w:tc>
          <w:tcPr>
            <w:tcW w:w="3433"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1A1A1A"/>
                <w:sz w:val="20"/>
                <w:szCs w:val="20"/>
              </w:rPr>
              <w:t>Handles both formats without ambiguity</w:t>
            </w:r>
          </w:p>
        </w:tc>
      </w:tr>
      <w:tr>
        <w:trPr/>
        <w:tc>
          <w:tcPr>
            <w:tcW w:w="3120"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left"/>
              <w:rPr/>
            </w:pPr>
            <w:r>
              <w:rPr>
                <w:rFonts w:eastAsia="Arial" w:cs="Arial"/>
                <w:b w:val="false"/>
                <w:bCs w:val="false"/>
                <w:color w:val="1A1A1A"/>
                <w:sz w:val="20"/>
                <w:szCs w:val="20"/>
              </w:rPr>
              <w:t>Attendance casing + typos</w:t>
            </w:r>
          </w:p>
        </w:tc>
        <w:tc>
          <w:tcPr>
            <w:tcW w:w="2807"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1A1A1A"/>
                <w:sz w:val="20"/>
                <w:szCs w:val="20"/>
              </w:rPr>
              <w:t>str.strip().str.upper() + map</w:t>
            </w:r>
          </w:p>
        </w:tc>
        <w:tc>
          <w:tcPr>
            <w:tcW w:w="3433"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1A1A1A"/>
                <w:sz w:val="20"/>
                <w:szCs w:val="20"/>
              </w:rPr>
              <w:t>ABSNT merged into ABSENT</w:t>
            </w:r>
          </w:p>
        </w:tc>
      </w:tr>
      <w:tr>
        <w:trPr/>
        <w:tc>
          <w:tcPr>
            <w:tcW w:w="3120"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left"/>
              <w:rPr/>
            </w:pPr>
            <w:r>
              <w:rPr>
                <w:rFonts w:eastAsia="Arial" w:cs="Arial"/>
                <w:b w:val="false"/>
                <w:bCs w:val="false"/>
                <w:color w:val="1A1A1A"/>
                <w:sz w:val="20"/>
                <w:szCs w:val="20"/>
              </w:rPr>
              <w:t>Homework status variants</w:t>
            </w:r>
          </w:p>
        </w:tc>
        <w:tc>
          <w:tcPr>
            <w:tcW w:w="2807"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1A1A1A"/>
                <w:sz w:val="20"/>
                <w:szCs w:val="20"/>
              </w:rPr>
              <w:t>Set-based function mapping</w:t>
            </w:r>
          </w:p>
        </w:tc>
        <w:tc>
          <w:tcPr>
            <w:tcW w:w="3433"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1A1A1A"/>
                <w:sz w:val="20"/>
                <w:szCs w:val="20"/>
              </w:rPr>
              <w:t>Done | Not Done | Pending — clean 3-label taxonomy</w:t>
            </w:r>
          </w:p>
        </w:tc>
      </w:tr>
      <w:tr>
        <w:trPr/>
        <w:tc>
          <w:tcPr>
            <w:tcW w:w="3120"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left"/>
              <w:rPr/>
            </w:pPr>
            <w:r>
              <w:rPr>
                <w:rFonts w:eastAsia="Arial" w:cs="Arial"/>
                <w:b w:val="false"/>
                <w:bCs w:val="false"/>
                <w:color w:val="1A1A1A"/>
                <w:sz w:val="20"/>
                <w:szCs w:val="20"/>
              </w:rPr>
              <w:t>Guardian_Signature nulls</w:t>
            </w:r>
          </w:p>
        </w:tc>
        <w:tc>
          <w:tcPr>
            <w:tcW w:w="2807"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1A1A1A"/>
                <w:sz w:val="20"/>
                <w:szCs w:val="20"/>
              </w:rPr>
              <w:t>fillna(False)</w:t>
            </w:r>
          </w:p>
        </w:tc>
        <w:tc>
          <w:tcPr>
            <w:tcW w:w="3433"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1A1A1A"/>
                <w:sz w:val="20"/>
                <w:szCs w:val="20"/>
              </w:rPr>
              <w:t>No evidence of sign-off = treat as unsigned (conservative)</w:t>
            </w:r>
          </w:p>
        </w:tc>
      </w:tr>
      <w:tr>
        <w:trPr/>
        <w:tc>
          <w:tcPr>
            <w:tcW w:w="3120"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left"/>
              <w:rPr/>
            </w:pPr>
            <w:r>
              <w:rPr>
                <w:rFonts w:eastAsia="Arial" w:cs="Arial"/>
                <w:b w:val="false"/>
                <w:bCs w:val="false"/>
                <w:color w:val="1A1A1A"/>
                <w:sz w:val="20"/>
                <w:szCs w:val="20"/>
              </w:rPr>
              <w:t>Homework_Completion_% nulls</w:t>
            </w:r>
          </w:p>
        </w:tc>
        <w:tc>
          <w:tcPr>
            <w:tcW w:w="2807"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1A1A1A"/>
                <w:sz w:val="20"/>
                <w:szCs w:val="20"/>
              </w:rPr>
              <w:t>Per-subject median imputation</w:t>
            </w:r>
          </w:p>
        </w:tc>
        <w:tc>
          <w:tcPr>
            <w:tcW w:w="3433"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1A1A1A"/>
                <w:sz w:val="20"/>
                <w:szCs w:val="20"/>
              </w:rPr>
              <w:t>Subject medians differ (Arabic 95, English 90) — global mean introduces bias</w:t>
            </w:r>
          </w:p>
        </w:tc>
      </w:tr>
      <w:tr>
        <w:trPr/>
        <w:tc>
          <w:tcPr>
            <w:tcW w:w="3120"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left"/>
              <w:rPr/>
            </w:pPr>
            <w:r>
              <w:rPr>
                <w:rFonts w:eastAsia="Arial" w:cs="Arial"/>
                <w:b w:val="false"/>
                <w:bCs w:val="false"/>
                <w:color w:val="1A1A1A"/>
                <w:sz w:val="20"/>
                <w:szCs w:val="20"/>
              </w:rPr>
              <w:t>Homework_Completion_% = -5</w:t>
            </w:r>
          </w:p>
        </w:tc>
        <w:tc>
          <w:tcPr>
            <w:tcW w:w="2807"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1A1A1A"/>
                <w:sz w:val="20"/>
                <w:szCs w:val="20"/>
              </w:rPr>
              <w:t>Replace with NaN</w:t>
            </w:r>
          </w:p>
        </w:tc>
        <w:tc>
          <w:tcPr>
            <w:tcW w:w="3433"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1A1A1A"/>
                <w:sz w:val="20"/>
                <w:szCs w:val="20"/>
              </w:rPr>
              <w:t>Logically invalid — no completion rate can be negative</w:t>
            </w:r>
          </w:p>
        </w:tc>
      </w:tr>
    </w:tbl>
    <w:p>
      <w:pPr>
        <w:pStyle w:val="Normal"/>
        <w:spacing w:before="100" w:after="100"/>
        <w:rPr/>
      </w:pPr>
      <w:r>
        <w:rPr/>
      </w:r>
    </w:p>
    <w:p>
      <w:pPr>
        <w:pStyle w:val="Heading2"/>
        <w:spacing w:before="280" w:after="140"/>
        <w:rPr>
          <w:rFonts w:ascii="Arial" w:hAnsi="Arial" w:eastAsia="Arial" w:cs="Arial"/>
          <w:b/>
          <w:bCs/>
          <w:color w:val="2E75B6"/>
          <w:sz w:val="26"/>
          <w:szCs w:val="26"/>
        </w:rPr>
      </w:pPr>
      <w:r>
        <w:rPr/>
      </w:r>
    </w:p>
    <w:p>
      <w:pPr>
        <w:pStyle w:val="Heading2"/>
        <w:spacing w:before="280" w:after="140"/>
        <w:rPr>
          <w:rFonts w:ascii="Arial" w:hAnsi="Arial" w:eastAsia="Arial" w:cs="Arial"/>
          <w:b/>
          <w:bCs/>
          <w:color w:val="2E75B6"/>
          <w:sz w:val="26"/>
          <w:szCs w:val="26"/>
        </w:rPr>
      </w:pPr>
      <w:r>
        <w:rPr/>
      </w:r>
    </w:p>
    <w:p>
      <w:pPr>
        <w:pStyle w:val="Heading2"/>
        <w:spacing w:before="280" w:after="140"/>
        <w:rPr/>
      </w:pPr>
      <w:r>
        <w:rPr>
          <w:rFonts w:eastAsia="Arial" w:cs="Arial" w:ascii="Arial" w:hAnsi="Arial"/>
          <w:b/>
          <w:bCs/>
          <w:color w:val="2E75B6"/>
          <w:sz w:val="26"/>
          <w:szCs w:val="26"/>
        </w:rPr>
        <w:t>4.2 Feature Engineering</w:t>
      </w:r>
    </w:p>
    <w:p>
      <w:pPr>
        <w:pStyle w:val="Normal"/>
        <w:spacing w:before="80" w:after="80"/>
        <w:rPr/>
      </w:pPr>
      <w:r>
        <w:rPr>
          <w:rFonts w:eastAsia="Arial" w:cs="Arial"/>
          <w:b w:val="false"/>
          <w:bCs w:val="false"/>
          <w:color w:val="1A1A1A"/>
          <w:sz w:val="22"/>
          <w:szCs w:val="22"/>
        </w:rPr>
        <w:t>A student-level summary table (student_summary.csv) was built as the primary fact table for the Power BI dashboard. Each row represents one student and aggregates all behavioral signals.</w:t>
      </w:r>
    </w:p>
    <w:p>
      <w:pPr>
        <w:pStyle w:val="Normal"/>
        <w:spacing w:before="100" w:after="100"/>
        <w:rPr/>
      </w:pPr>
      <w:r>
        <w:rPr/>
      </w:r>
    </w:p>
    <w:tbl>
      <w:tblPr>
        <w:tblW w:w="9360" w:type="dxa"/>
        <w:jc w:val="left"/>
        <w:tblInd w:w="0" w:type="dxa"/>
        <w:tblLayout w:type="fixed"/>
        <w:tblCellMar>
          <w:top w:w="80" w:type="dxa"/>
          <w:left w:w="120" w:type="dxa"/>
          <w:bottom w:w="80" w:type="dxa"/>
          <w:right w:w="120" w:type="dxa"/>
        </w:tblCellMar>
      </w:tblPr>
      <w:tblGrid>
        <w:gridCol w:w="3120"/>
        <w:gridCol w:w="2339"/>
        <w:gridCol w:w="3901"/>
      </w:tblGrid>
      <w:tr>
        <w:trPr/>
        <w:tc>
          <w:tcPr>
            <w:tcW w:w="3120" w:type="dxa"/>
            <w:tcBorders>
              <w:top w:val="single" w:sz="2" w:space="0" w:color="CCCCCC"/>
              <w:left w:val="single" w:sz="2" w:space="0" w:color="CCCCCC"/>
              <w:bottom w:val="single" w:sz="2" w:space="0" w:color="CCCCCC"/>
              <w:right w:val="single" w:sz="2" w:space="0" w:color="CCCCCC"/>
            </w:tcBorders>
            <w:shd w:fill="1A3C6B" w:val="clear"/>
            <w:vAlign w:val="center"/>
          </w:tcPr>
          <w:p>
            <w:pPr>
              <w:pStyle w:val="Normal"/>
              <w:jc w:val="left"/>
              <w:rPr/>
            </w:pPr>
            <w:r>
              <w:rPr>
                <w:rFonts w:eastAsia="Arial" w:cs="Arial"/>
                <w:b/>
                <w:bCs/>
                <w:color w:val="FFFFFF"/>
                <w:sz w:val="20"/>
                <w:szCs w:val="20"/>
              </w:rPr>
              <w:t>Feature</w:t>
            </w:r>
          </w:p>
        </w:tc>
        <w:tc>
          <w:tcPr>
            <w:tcW w:w="2339" w:type="dxa"/>
            <w:tcBorders>
              <w:top w:val="single" w:sz="2" w:space="0" w:color="CCCCCC"/>
              <w:left w:val="single" w:sz="2" w:space="0" w:color="CCCCCC"/>
              <w:bottom w:val="single" w:sz="2" w:space="0" w:color="CCCCCC"/>
              <w:right w:val="single" w:sz="2" w:space="0" w:color="CCCCCC"/>
            </w:tcBorders>
            <w:shd w:fill="1A3C6B" w:val="clear"/>
            <w:vAlign w:val="center"/>
          </w:tcPr>
          <w:p>
            <w:pPr>
              <w:pStyle w:val="Normal"/>
              <w:jc w:val="left"/>
              <w:rPr/>
            </w:pPr>
            <w:r>
              <w:rPr>
                <w:rFonts w:eastAsia="Arial" w:cs="Arial"/>
                <w:b/>
                <w:bCs/>
                <w:color w:val="FFFFFF"/>
                <w:sz w:val="20"/>
                <w:szCs w:val="20"/>
              </w:rPr>
              <w:t>Source</w:t>
            </w:r>
          </w:p>
        </w:tc>
        <w:tc>
          <w:tcPr>
            <w:tcW w:w="3901" w:type="dxa"/>
            <w:tcBorders>
              <w:top w:val="single" w:sz="2" w:space="0" w:color="CCCCCC"/>
              <w:left w:val="single" w:sz="2" w:space="0" w:color="CCCCCC"/>
              <w:bottom w:val="single" w:sz="2" w:space="0" w:color="CCCCCC"/>
              <w:right w:val="single" w:sz="2" w:space="0" w:color="CCCCCC"/>
            </w:tcBorders>
            <w:shd w:fill="1A3C6B" w:val="clear"/>
            <w:vAlign w:val="center"/>
          </w:tcPr>
          <w:p>
            <w:pPr>
              <w:pStyle w:val="Normal"/>
              <w:jc w:val="left"/>
              <w:rPr/>
            </w:pPr>
            <w:r>
              <w:rPr>
                <w:rFonts w:eastAsia="Arial" w:cs="Arial"/>
                <w:b/>
                <w:bCs/>
                <w:color w:val="FFFFFF"/>
                <w:sz w:val="20"/>
                <w:szCs w:val="20"/>
              </w:rPr>
              <w:t>Description</w:t>
            </w:r>
          </w:p>
        </w:tc>
      </w:tr>
      <w:tr>
        <w:trPr/>
        <w:tc>
          <w:tcPr>
            <w:tcW w:w="3120"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left"/>
              <w:rPr/>
            </w:pPr>
            <w:r>
              <w:rPr>
                <w:rFonts w:eastAsia="Arial" w:cs="Arial"/>
                <w:b w:val="false"/>
                <w:bCs w:val="false"/>
                <w:color w:val="1A1A1A"/>
                <w:sz w:val="20"/>
                <w:szCs w:val="20"/>
              </w:rPr>
              <w:t>Attendance_Rate_%</w:t>
            </w:r>
          </w:p>
        </w:tc>
        <w:tc>
          <w:tcPr>
            <w:tcW w:w="233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1A1A1A"/>
                <w:sz w:val="20"/>
                <w:szCs w:val="20"/>
              </w:rPr>
              <w:t>attendance</w:t>
            </w:r>
          </w:p>
        </w:tc>
        <w:tc>
          <w:tcPr>
            <w:tcW w:w="3901"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1A1A1A"/>
                <w:sz w:val="20"/>
                <w:szCs w:val="20"/>
              </w:rPr>
              <w:t>% of sessions where status = Present</w:t>
            </w:r>
          </w:p>
        </w:tc>
      </w:tr>
      <w:tr>
        <w:trPr/>
        <w:tc>
          <w:tcPr>
            <w:tcW w:w="3120"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left"/>
              <w:rPr/>
            </w:pPr>
            <w:r>
              <w:rPr>
                <w:rFonts w:eastAsia="Arial" w:cs="Arial"/>
                <w:b w:val="false"/>
                <w:bCs w:val="false"/>
                <w:color w:val="1A1A1A"/>
                <w:sz w:val="20"/>
                <w:szCs w:val="20"/>
              </w:rPr>
              <w:t>HW_Completion_%</w:t>
            </w:r>
          </w:p>
        </w:tc>
        <w:tc>
          <w:tcPr>
            <w:tcW w:w="233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1A1A1A"/>
                <w:sz w:val="20"/>
                <w:szCs w:val="20"/>
              </w:rPr>
              <w:t>homework</w:t>
            </w:r>
          </w:p>
        </w:tc>
        <w:tc>
          <w:tcPr>
            <w:tcW w:w="3901"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1A1A1A"/>
                <w:sz w:val="20"/>
                <w:szCs w:val="20"/>
              </w:rPr>
              <w:t>% of assignments with status = Done</w:t>
            </w:r>
          </w:p>
        </w:tc>
      </w:tr>
      <w:tr>
        <w:trPr/>
        <w:tc>
          <w:tcPr>
            <w:tcW w:w="3120"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left"/>
              <w:rPr/>
            </w:pPr>
            <w:r>
              <w:rPr>
                <w:rFonts w:eastAsia="Arial" w:cs="Arial"/>
                <w:b w:val="false"/>
                <w:bCs w:val="false"/>
                <w:color w:val="1A1A1A"/>
                <w:sz w:val="20"/>
                <w:szCs w:val="20"/>
              </w:rPr>
              <w:t>Avg_Exam_Score</w:t>
            </w:r>
          </w:p>
        </w:tc>
        <w:tc>
          <w:tcPr>
            <w:tcW w:w="233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1A1A1A"/>
                <w:sz w:val="20"/>
                <w:szCs w:val="20"/>
              </w:rPr>
              <w:t>performance</w:t>
            </w:r>
          </w:p>
        </w:tc>
        <w:tc>
          <w:tcPr>
            <w:tcW w:w="3901"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1A1A1A"/>
                <w:sz w:val="20"/>
                <w:szCs w:val="20"/>
              </w:rPr>
              <w:t>Mean exam score across all subjects</w:t>
            </w:r>
          </w:p>
        </w:tc>
      </w:tr>
      <w:tr>
        <w:trPr/>
        <w:tc>
          <w:tcPr>
            <w:tcW w:w="3120"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left"/>
              <w:rPr/>
            </w:pPr>
            <w:r>
              <w:rPr>
                <w:rFonts w:eastAsia="Arial" w:cs="Arial"/>
                <w:b w:val="false"/>
                <w:bCs w:val="false"/>
                <w:color w:val="1A1A1A"/>
                <w:sz w:val="20"/>
                <w:szCs w:val="20"/>
              </w:rPr>
              <w:t>Missed_Assignments</w:t>
            </w:r>
          </w:p>
        </w:tc>
        <w:tc>
          <w:tcPr>
            <w:tcW w:w="233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1A1A1A"/>
                <w:sz w:val="20"/>
                <w:szCs w:val="20"/>
              </w:rPr>
              <w:t>homework</w:t>
            </w:r>
          </w:p>
        </w:tc>
        <w:tc>
          <w:tcPr>
            <w:tcW w:w="3901"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1A1A1A"/>
                <w:sz w:val="20"/>
                <w:szCs w:val="20"/>
              </w:rPr>
              <w:t>Count of Not Done assignments</w:t>
            </w:r>
          </w:p>
        </w:tc>
      </w:tr>
      <w:tr>
        <w:trPr/>
        <w:tc>
          <w:tcPr>
            <w:tcW w:w="3120"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left"/>
              <w:rPr/>
            </w:pPr>
            <w:r>
              <w:rPr>
                <w:rFonts w:eastAsia="Arial" w:cs="Arial"/>
                <w:b w:val="false"/>
                <w:bCs w:val="false"/>
                <w:color w:val="1A1A1A"/>
                <w:sz w:val="20"/>
                <w:szCs w:val="20"/>
              </w:rPr>
              <w:t>Comm_Count</w:t>
            </w:r>
          </w:p>
        </w:tc>
        <w:tc>
          <w:tcPr>
            <w:tcW w:w="233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1A1A1A"/>
                <w:sz w:val="20"/>
                <w:szCs w:val="20"/>
              </w:rPr>
              <w:t>communication</w:t>
            </w:r>
          </w:p>
        </w:tc>
        <w:tc>
          <w:tcPr>
            <w:tcW w:w="3901"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1A1A1A"/>
                <w:sz w:val="20"/>
                <w:szCs w:val="20"/>
              </w:rPr>
              <w:t>Total parent-teacher messages for this student</w:t>
            </w:r>
          </w:p>
        </w:tc>
      </w:tr>
      <w:tr>
        <w:trPr/>
        <w:tc>
          <w:tcPr>
            <w:tcW w:w="3120"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left"/>
              <w:rPr/>
            </w:pPr>
            <w:r>
              <w:rPr>
                <w:rFonts w:eastAsia="Arial" w:cs="Arial"/>
                <w:b w:val="false"/>
                <w:bCs w:val="false"/>
                <w:color w:val="1A1A1A"/>
                <w:sz w:val="20"/>
                <w:szCs w:val="20"/>
              </w:rPr>
              <w:t>Has_Communication</w:t>
            </w:r>
          </w:p>
        </w:tc>
        <w:tc>
          <w:tcPr>
            <w:tcW w:w="233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1A1A1A"/>
                <w:sz w:val="20"/>
                <w:szCs w:val="20"/>
              </w:rPr>
              <w:t>derived</w:t>
            </w:r>
          </w:p>
        </w:tc>
        <w:tc>
          <w:tcPr>
            <w:tcW w:w="3901"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1A1A1A"/>
                <w:sz w:val="20"/>
                <w:szCs w:val="20"/>
              </w:rPr>
              <w:t>Boolean — True if Comm_Count &gt; 0</w:t>
            </w:r>
          </w:p>
        </w:tc>
      </w:tr>
      <w:tr>
        <w:trPr/>
        <w:tc>
          <w:tcPr>
            <w:tcW w:w="3120"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left"/>
              <w:rPr/>
            </w:pPr>
            <w:r>
              <w:rPr>
                <w:rFonts w:eastAsia="Arial" w:cs="Arial"/>
                <w:b w:val="false"/>
                <w:bCs w:val="false"/>
                <w:color w:val="1A1A1A"/>
                <w:sz w:val="20"/>
                <w:szCs w:val="20"/>
              </w:rPr>
              <w:t>Is_At_Risk</w:t>
            </w:r>
          </w:p>
        </w:tc>
        <w:tc>
          <w:tcPr>
            <w:tcW w:w="233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1A1A1A"/>
                <w:sz w:val="20"/>
                <w:szCs w:val="20"/>
              </w:rPr>
              <w:t>derived</w:t>
            </w:r>
          </w:p>
        </w:tc>
        <w:tc>
          <w:tcPr>
            <w:tcW w:w="3901"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1A1A1A"/>
                <w:sz w:val="20"/>
                <w:szCs w:val="20"/>
              </w:rPr>
              <w:t>True if Attendance &lt; 20% AND Score &lt; 60 AND Missed &gt; 3</w:t>
            </w:r>
          </w:p>
        </w:tc>
      </w:tr>
      <w:tr>
        <w:trPr/>
        <w:tc>
          <w:tcPr>
            <w:tcW w:w="3120"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left"/>
              <w:rPr/>
            </w:pPr>
            <w:r>
              <w:rPr>
                <w:rFonts w:eastAsia="Arial" w:cs="Arial"/>
                <w:b w:val="false"/>
                <w:bCs w:val="false"/>
                <w:color w:val="1A1A1A"/>
                <w:sz w:val="20"/>
                <w:szCs w:val="20"/>
              </w:rPr>
              <w:t>Score_Band</w:t>
            </w:r>
          </w:p>
        </w:tc>
        <w:tc>
          <w:tcPr>
            <w:tcW w:w="233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1A1A1A"/>
                <w:sz w:val="20"/>
                <w:szCs w:val="20"/>
              </w:rPr>
              <w:t>derived</w:t>
            </w:r>
          </w:p>
        </w:tc>
        <w:tc>
          <w:tcPr>
            <w:tcW w:w="3901"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1A1A1A"/>
                <w:sz w:val="20"/>
                <w:szCs w:val="20"/>
              </w:rPr>
              <w:t>Failing / Average / Good / Excellent based on Avg_Exam_Score</w:t>
            </w:r>
          </w:p>
        </w:tc>
      </w:tr>
      <w:tr>
        <w:trPr/>
        <w:tc>
          <w:tcPr>
            <w:tcW w:w="3120"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left"/>
              <w:rPr/>
            </w:pPr>
            <w:r>
              <w:rPr>
                <w:rFonts w:eastAsia="Arial" w:cs="Arial"/>
                <w:b w:val="false"/>
                <w:bCs w:val="false"/>
                <w:color w:val="1A1A1A"/>
                <w:sz w:val="20"/>
                <w:szCs w:val="20"/>
              </w:rPr>
              <w:t>Grade_Num</w:t>
            </w:r>
          </w:p>
        </w:tc>
        <w:tc>
          <w:tcPr>
            <w:tcW w:w="233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1A1A1A"/>
                <w:sz w:val="20"/>
                <w:szCs w:val="20"/>
              </w:rPr>
              <w:t>students</w:t>
            </w:r>
          </w:p>
        </w:tc>
        <w:tc>
          <w:tcPr>
            <w:tcW w:w="3901"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1A1A1A"/>
                <w:sz w:val="20"/>
                <w:szCs w:val="20"/>
              </w:rPr>
              <w:t>Ordinal integer (1–5) for Power BI grade sorting</w:t>
            </w:r>
          </w:p>
        </w:tc>
      </w:tr>
    </w:tbl>
    <w:p>
      <w:pPr>
        <w:pStyle w:val="Normal"/>
        <w:spacing w:before="100" w:after="100"/>
        <w:rPr/>
      </w:pPr>
      <w:r>
        <w:rPr/>
      </w:r>
    </w:p>
    <w:p>
      <w:pPr>
        <w:pStyle w:val="Heading2"/>
        <w:spacing w:before="280" w:after="140"/>
        <w:rPr/>
      </w:pPr>
      <w:r>
        <w:rPr>
          <w:rFonts w:eastAsia="Arial" w:cs="Arial" w:ascii="Arial" w:hAnsi="Arial"/>
          <w:b/>
          <w:bCs/>
          <w:color w:val="2E75B6"/>
          <w:sz w:val="26"/>
          <w:szCs w:val="26"/>
        </w:rPr>
        <w:t>4.3 Columns Removed</w:t>
      </w:r>
    </w:p>
    <w:p>
      <w:pPr>
        <w:pStyle w:val="Normal"/>
        <w:spacing w:before="80" w:after="80"/>
        <w:rPr/>
      </w:pPr>
      <w:r>
        <w:rPr>
          <w:rFonts w:eastAsia="Arial" w:cs="Arial"/>
          <w:b w:val="false"/>
          <w:bCs w:val="false"/>
          <w:color w:val="1A1A1A"/>
          <w:sz w:val="22"/>
          <w:szCs w:val="22"/>
        </w:rPr>
        <w:t>Columns not required by any dashboard page were dropped before export to reduce file size and avoid exposing unnecessary data.</w:t>
      </w:r>
    </w:p>
    <w:p>
      <w:pPr>
        <w:pStyle w:val="Normal"/>
        <w:spacing w:before="100" w:after="100"/>
        <w:rPr/>
      </w:pPr>
      <w:r>
        <w:rPr/>
      </w:r>
    </w:p>
    <w:tbl>
      <w:tblPr>
        <w:tblW w:w="9360" w:type="dxa"/>
        <w:jc w:val="left"/>
        <w:tblInd w:w="0" w:type="dxa"/>
        <w:tblLayout w:type="fixed"/>
        <w:tblCellMar>
          <w:top w:w="80" w:type="dxa"/>
          <w:left w:w="120" w:type="dxa"/>
          <w:bottom w:w="80" w:type="dxa"/>
          <w:right w:w="120" w:type="dxa"/>
        </w:tblCellMar>
      </w:tblPr>
      <w:tblGrid>
        <w:gridCol w:w="2808"/>
        <w:gridCol w:w="2808"/>
        <w:gridCol w:w="3744"/>
      </w:tblGrid>
      <w:tr>
        <w:trPr/>
        <w:tc>
          <w:tcPr>
            <w:tcW w:w="2808" w:type="dxa"/>
            <w:tcBorders>
              <w:top w:val="single" w:sz="2" w:space="0" w:color="CCCCCC"/>
              <w:left w:val="single" w:sz="2" w:space="0" w:color="CCCCCC"/>
              <w:bottom w:val="single" w:sz="2" w:space="0" w:color="CCCCCC"/>
              <w:right w:val="single" w:sz="2" w:space="0" w:color="CCCCCC"/>
            </w:tcBorders>
            <w:shd w:fill="1A3C6B" w:val="clear"/>
            <w:vAlign w:val="center"/>
          </w:tcPr>
          <w:p>
            <w:pPr>
              <w:pStyle w:val="Normal"/>
              <w:jc w:val="left"/>
              <w:rPr/>
            </w:pPr>
            <w:r>
              <w:rPr>
                <w:rFonts w:eastAsia="Arial" w:cs="Arial"/>
                <w:b/>
                <w:bCs/>
                <w:color w:val="FFFFFF"/>
                <w:sz w:val="20"/>
                <w:szCs w:val="20"/>
              </w:rPr>
              <w:t>Table</w:t>
            </w:r>
          </w:p>
        </w:tc>
        <w:tc>
          <w:tcPr>
            <w:tcW w:w="2808" w:type="dxa"/>
            <w:tcBorders>
              <w:top w:val="single" w:sz="2" w:space="0" w:color="CCCCCC"/>
              <w:left w:val="single" w:sz="2" w:space="0" w:color="CCCCCC"/>
              <w:bottom w:val="single" w:sz="2" w:space="0" w:color="CCCCCC"/>
              <w:right w:val="single" w:sz="2" w:space="0" w:color="CCCCCC"/>
            </w:tcBorders>
            <w:shd w:fill="1A3C6B" w:val="clear"/>
            <w:vAlign w:val="center"/>
          </w:tcPr>
          <w:p>
            <w:pPr>
              <w:pStyle w:val="Normal"/>
              <w:jc w:val="left"/>
              <w:rPr/>
            </w:pPr>
            <w:r>
              <w:rPr>
                <w:rFonts w:eastAsia="Arial" w:cs="Arial"/>
                <w:b/>
                <w:bCs/>
                <w:color w:val="FFFFFF"/>
                <w:sz w:val="20"/>
                <w:szCs w:val="20"/>
              </w:rPr>
              <w:t>Column</w:t>
            </w:r>
          </w:p>
        </w:tc>
        <w:tc>
          <w:tcPr>
            <w:tcW w:w="3744" w:type="dxa"/>
            <w:tcBorders>
              <w:top w:val="single" w:sz="2" w:space="0" w:color="CCCCCC"/>
              <w:left w:val="single" w:sz="2" w:space="0" w:color="CCCCCC"/>
              <w:bottom w:val="single" w:sz="2" w:space="0" w:color="CCCCCC"/>
              <w:right w:val="single" w:sz="2" w:space="0" w:color="CCCCCC"/>
            </w:tcBorders>
            <w:shd w:fill="1A3C6B" w:val="clear"/>
            <w:vAlign w:val="center"/>
          </w:tcPr>
          <w:p>
            <w:pPr>
              <w:pStyle w:val="Normal"/>
              <w:jc w:val="left"/>
              <w:rPr/>
            </w:pPr>
            <w:r>
              <w:rPr>
                <w:rFonts w:eastAsia="Arial" w:cs="Arial"/>
                <w:b/>
                <w:bCs/>
                <w:color w:val="FFFFFF"/>
                <w:sz w:val="20"/>
                <w:szCs w:val="20"/>
              </w:rPr>
              <w:t>Reason</w:t>
            </w:r>
          </w:p>
        </w:tc>
      </w:tr>
      <w:tr>
        <w:trPr/>
        <w:tc>
          <w:tcPr>
            <w:tcW w:w="2808"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left"/>
              <w:rPr/>
            </w:pPr>
            <w:r>
              <w:rPr>
                <w:rFonts w:eastAsia="Arial" w:cs="Arial"/>
                <w:b w:val="false"/>
                <w:bCs w:val="false"/>
                <w:color w:val="1A1A1A"/>
                <w:sz w:val="20"/>
                <w:szCs w:val="20"/>
              </w:rPr>
              <w:t>students</w:t>
            </w:r>
          </w:p>
        </w:tc>
        <w:tc>
          <w:tcPr>
            <w:tcW w:w="2808"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1A1A1A"/>
                <w:sz w:val="20"/>
                <w:szCs w:val="20"/>
              </w:rPr>
              <w:t>Emergency_Contact</w:t>
            </w:r>
          </w:p>
        </w:tc>
        <w:tc>
          <w:tcPr>
            <w:tcW w:w="3744"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1A1A1A"/>
                <w:sz w:val="20"/>
                <w:szCs w:val="20"/>
              </w:rPr>
              <w:t>Not used in any dashboard page</w:t>
            </w:r>
          </w:p>
        </w:tc>
      </w:tr>
      <w:tr>
        <w:trPr/>
        <w:tc>
          <w:tcPr>
            <w:tcW w:w="2808"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left"/>
              <w:rPr/>
            </w:pPr>
            <w:r>
              <w:rPr>
                <w:rFonts w:eastAsia="Arial" w:cs="Arial"/>
                <w:b w:val="false"/>
                <w:bCs w:val="false"/>
                <w:color w:val="1A1A1A"/>
                <w:sz w:val="20"/>
                <w:szCs w:val="20"/>
              </w:rPr>
              <w:t>students</w:t>
            </w:r>
          </w:p>
        </w:tc>
        <w:tc>
          <w:tcPr>
            <w:tcW w:w="2808"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1A1A1A"/>
                <w:sz w:val="20"/>
                <w:szCs w:val="20"/>
              </w:rPr>
              <w:t>Date_of_Birth</w:t>
            </w:r>
          </w:p>
        </w:tc>
        <w:tc>
          <w:tcPr>
            <w:tcW w:w="3744"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1A1A1A"/>
                <w:sz w:val="20"/>
                <w:szCs w:val="20"/>
              </w:rPr>
              <w:t>Replaced by derived Age column</w:t>
            </w:r>
          </w:p>
        </w:tc>
      </w:tr>
      <w:tr>
        <w:trPr/>
        <w:tc>
          <w:tcPr>
            <w:tcW w:w="2808"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left"/>
              <w:rPr/>
            </w:pPr>
            <w:r>
              <w:rPr>
                <w:rFonts w:eastAsia="Arial" w:cs="Arial"/>
                <w:b w:val="false"/>
                <w:bCs w:val="false"/>
                <w:color w:val="1A1A1A"/>
                <w:sz w:val="20"/>
                <w:szCs w:val="20"/>
              </w:rPr>
              <w:t>attendance</w:t>
            </w:r>
          </w:p>
        </w:tc>
        <w:tc>
          <w:tcPr>
            <w:tcW w:w="2808"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1A1A1A"/>
                <w:sz w:val="20"/>
                <w:szCs w:val="20"/>
              </w:rPr>
              <w:t>Year</w:t>
            </w:r>
          </w:p>
        </w:tc>
        <w:tc>
          <w:tcPr>
            <w:tcW w:w="3744"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1A1A1A"/>
                <w:sz w:val="20"/>
                <w:szCs w:val="20"/>
              </w:rPr>
              <w:t>Month already contains year and month information</w:t>
            </w:r>
          </w:p>
        </w:tc>
      </w:tr>
      <w:tr>
        <w:trPr/>
        <w:tc>
          <w:tcPr>
            <w:tcW w:w="2808"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left"/>
              <w:rPr/>
            </w:pPr>
            <w:r>
              <w:rPr>
                <w:rFonts w:eastAsia="Arial" w:cs="Arial"/>
                <w:b w:val="false"/>
                <w:bCs w:val="false"/>
                <w:color w:val="1A1A1A"/>
                <w:sz w:val="20"/>
                <w:szCs w:val="20"/>
              </w:rPr>
              <w:t>homework</w:t>
            </w:r>
          </w:p>
        </w:tc>
        <w:tc>
          <w:tcPr>
            <w:tcW w:w="2808"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1A1A1A"/>
                <w:sz w:val="20"/>
                <w:szCs w:val="20"/>
              </w:rPr>
              <w:t>Assignment_Name</w:t>
            </w:r>
          </w:p>
        </w:tc>
        <w:tc>
          <w:tcPr>
            <w:tcW w:w="3744"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1A1A1A"/>
                <w:sz w:val="20"/>
                <w:szCs w:val="20"/>
              </w:rPr>
              <w:t>Too granular for any dashboard visual</w:t>
            </w:r>
          </w:p>
        </w:tc>
      </w:tr>
      <w:tr>
        <w:trPr/>
        <w:tc>
          <w:tcPr>
            <w:tcW w:w="2808"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left"/>
              <w:rPr/>
            </w:pPr>
            <w:r>
              <w:rPr>
                <w:rFonts w:eastAsia="Arial" w:cs="Arial"/>
                <w:b w:val="false"/>
                <w:bCs w:val="false"/>
                <w:color w:val="1A1A1A"/>
                <w:sz w:val="20"/>
                <w:szCs w:val="20"/>
              </w:rPr>
              <w:t>performance</w:t>
            </w:r>
          </w:p>
        </w:tc>
        <w:tc>
          <w:tcPr>
            <w:tcW w:w="2808"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1A1A1A"/>
                <w:sz w:val="20"/>
                <w:szCs w:val="20"/>
              </w:rPr>
              <w:t>Teacher_Comments</w:t>
            </w:r>
          </w:p>
        </w:tc>
        <w:tc>
          <w:tcPr>
            <w:tcW w:w="3744"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1A1A1A"/>
                <w:sz w:val="20"/>
                <w:szCs w:val="20"/>
              </w:rPr>
              <w:t>Free text — not usable in visual analytics</w:t>
            </w:r>
          </w:p>
        </w:tc>
      </w:tr>
      <w:tr>
        <w:trPr/>
        <w:tc>
          <w:tcPr>
            <w:tcW w:w="2808"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left"/>
              <w:rPr/>
            </w:pPr>
            <w:r>
              <w:rPr>
                <w:rFonts w:eastAsia="Arial" w:cs="Arial"/>
                <w:b w:val="false"/>
                <w:bCs w:val="false"/>
                <w:color w:val="1A1A1A"/>
                <w:sz w:val="20"/>
                <w:szCs w:val="20"/>
              </w:rPr>
              <w:t>communication</w:t>
            </w:r>
          </w:p>
        </w:tc>
        <w:tc>
          <w:tcPr>
            <w:tcW w:w="2808"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1A1A1A"/>
                <w:sz w:val="20"/>
                <w:szCs w:val="20"/>
              </w:rPr>
              <w:t>Message_Content</w:t>
            </w:r>
          </w:p>
        </w:tc>
        <w:tc>
          <w:tcPr>
            <w:tcW w:w="3744"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1A1A1A"/>
                <w:sz w:val="20"/>
                <w:szCs w:val="20"/>
              </w:rPr>
              <w:t>Free text — not usable in visual analytics</w:t>
            </w:r>
          </w:p>
        </w:tc>
      </w:tr>
    </w:tbl>
    <w:p>
      <w:pPr>
        <w:pStyle w:val="Heading1"/>
        <w:spacing w:before="0" w:after="200"/>
        <w:rPr/>
      </w:pPr>
      <w:r>
        <w:rPr>
          <w:rFonts w:eastAsia="Arial" w:cs="Arial" w:ascii="Arial" w:hAnsi="Arial"/>
          <w:b/>
          <w:bCs/>
          <w:color w:val="1A3C6B"/>
          <w:sz w:val="32"/>
          <w:szCs w:val="32"/>
        </w:rPr>
        <w:t>5. Phase 3 — Power BI Dashboard</w:t>
      </w:r>
    </w:p>
    <w:p>
      <w:pPr>
        <w:pStyle w:val="Normal"/>
        <w:spacing w:before="80" w:after="80"/>
        <w:rPr/>
      </w:pPr>
      <w:r>
        <w:rPr>
          <w:rFonts w:eastAsia="Arial" w:cs="Arial"/>
          <w:b w:val="false"/>
          <w:bCs w:val="false"/>
          <w:color w:val="1A1A1A"/>
          <w:sz w:val="22"/>
          <w:szCs w:val="22"/>
        </w:rPr>
        <w:t>The dashboard consists of six thematic pages, each answering a distinct analytical question. All pages share a consistent design language with Quick Navigation buttons for cross-page movement and a Grade Level slicer for filtering.</w:t>
      </w:r>
    </w:p>
    <w:p>
      <w:pPr>
        <w:pStyle w:val="Normal"/>
        <w:spacing w:before="100" w:after="100"/>
        <w:rPr/>
      </w:pPr>
      <w:r>
        <w:rPr/>
      </w:r>
    </w:p>
    <w:p>
      <w:pPr>
        <w:pStyle w:val="Heading2"/>
        <w:spacing w:before="280" w:after="140"/>
        <w:rPr/>
      </w:pPr>
      <w:r>
        <w:rPr>
          <w:rFonts w:eastAsia="Arial" w:cs="Arial" w:ascii="Arial" w:hAnsi="Arial"/>
          <w:b/>
          <w:bCs/>
          <w:color w:val="2E75B6"/>
          <w:sz w:val="26"/>
          <w:szCs w:val="26"/>
        </w:rPr>
        <w:t>5.1 Page 1 — Executive Summary</w:t>
      </w:r>
    </w:p>
    <w:p>
      <w:pPr>
        <w:pStyle w:val="Normal"/>
        <w:spacing w:before="80" w:after="80"/>
        <w:rPr/>
      </w:pPr>
      <w:r>
        <w:rPr>
          <w:rFonts w:eastAsia="Arial" w:cs="Arial"/>
          <w:b w:val="false"/>
          <w:bCs w:val="false"/>
          <w:color w:val="1A1A1A"/>
          <w:sz w:val="22"/>
          <w:szCs w:val="22"/>
        </w:rPr>
        <w:t>Provides a school-level health overview. KPI cards show Total Enrollment, Average Academic Score, High-Risk Cohort count, Attendance Rate, and Homework Completion Rate. A donut chart breaks down the score band distribution and a bar chart shows at-risk count by grade. A monthly attendance trend line closes the page.</w:t>
      </w:r>
    </w:p>
    <w:p>
      <w:pPr>
        <w:pStyle w:val="Normal"/>
        <w:spacing w:before="100" w:after="100"/>
        <w:rPr/>
      </w:pPr>
      <w:r>
        <w:rPr/>
      </w:r>
    </w:p>
    <w:p>
      <w:pPr>
        <w:pStyle w:val="Heading2"/>
        <w:spacing w:before="280" w:after="140"/>
        <w:rPr/>
      </w:pPr>
      <w:r>
        <w:rPr>
          <w:rFonts w:eastAsia="Arial" w:cs="Arial" w:ascii="Arial" w:hAnsi="Arial"/>
          <w:b/>
          <w:bCs/>
          <w:color w:val="2E75B6"/>
          <w:sz w:val="26"/>
          <w:szCs w:val="26"/>
        </w:rPr>
        <w:t>5.2 Page 2 — Attendance Analysis</w:t>
      </w:r>
    </w:p>
    <w:p>
      <w:pPr>
        <w:pStyle w:val="Normal"/>
        <w:spacing w:before="80" w:after="80"/>
        <w:rPr/>
      </w:pPr>
      <w:r>
        <w:rPr>
          <w:rFonts w:eastAsia="Arial" w:cs="Arial"/>
          <w:b w:val="false"/>
          <w:bCs w:val="false"/>
          <w:color w:val="1A1A1A"/>
          <w:sz w:val="22"/>
          <w:szCs w:val="22"/>
        </w:rPr>
        <w:t>Breaks down all five attendance statuses (Present, Absent, Late, Left Early, Excused) at the subject and grade level. Charts include a stacked bar showing status distribution by subject, a bar showing average attendance by grade, and an absence and tardiness breakdown by subject. Date range slider enables time-based filtering.</w:t>
      </w:r>
    </w:p>
    <w:p>
      <w:pPr>
        <w:pStyle w:val="Normal"/>
        <w:spacing w:before="100" w:after="100"/>
        <w:rPr/>
      </w:pPr>
      <w:r>
        <w:rPr/>
      </w:r>
    </w:p>
    <w:p>
      <w:pPr>
        <w:pStyle w:val="Heading2"/>
        <w:spacing w:before="280" w:after="140"/>
        <w:rPr/>
      </w:pPr>
      <w:r>
        <w:rPr>
          <w:rFonts w:eastAsia="Arial" w:cs="Arial" w:ascii="Arial" w:hAnsi="Arial"/>
          <w:b/>
          <w:bCs/>
          <w:color w:val="2E75B6"/>
          <w:sz w:val="26"/>
          <w:szCs w:val="26"/>
        </w:rPr>
        <w:t>5.3 Page 3 — Homework &amp; Engagement</w:t>
      </w:r>
    </w:p>
    <w:p>
      <w:pPr>
        <w:pStyle w:val="Normal"/>
        <w:spacing w:before="80" w:after="80"/>
        <w:rPr/>
      </w:pPr>
      <w:r>
        <w:rPr>
          <w:rFonts w:eastAsia="Arial" w:cs="Arial"/>
          <w:b w:val="false"/>
          <w:bCs w:val="false"/>
          <w:color w:val="1A1A1A"/>
          <w:sz w:val="22"/>
          <w:szCs w:val="22"/>
        </w:rPr>
        <w:t>Focuses on student effort. KPIs show Pending Rate, Missed Assignments Rate, and Completion Rate. Two donuts show overall completion status and completion rate per subject. A horizontal bar ranks grade feedback distribution from A+ to C-.</w:t>
      </w:r>
    </w:p>
    <w:p>
      <w:pPr>
        <w:pStyle w:val="Normal"/>
        <w:spacing w:before="100" w:after="100"/>
        <w:rPr/>
      </w:pPr>
      <w:r>
        <w:rPr/>
      </w:r>
    </w:p>
    <w:p>
      <w:pPr>
        <w:pStyle w:val="Heading2"/>
        <w:spacing w:before="280" w:after="140"/>
        <w:rPr/>
      </w:pPr>
      <w:r>
        <w:rPr>
          <w:rFonts w:eastAsia="Arial" w:cs="Arial" w:ascii="Arial" w:hAnsi="Arial"/>
          <w:b/>
          <w:bCs/>
          <w:color w:val="2E75B6"/>
          <w:sz w:val="26"/>
          <w:szCs w:val="26"/>
        </w:rPr>
        <w:t>5.4 Page 4 — Academic Performance</w:t>
      </w:r>
    </w:p>
    <w:p>
      <w:pPr>
        <w:pStyle w:val="Normal"/>
        <w:spacing w:before="80" w:after="80"/>
        <w:rPr/>
      </w:pPr>
      <w:r>
        <w:rPr>
          <w:rFonts w:eastAsia="Arial" w:cs="Arial"/>
          <w:b w:val="false"/>
          <w:bCs w:val="false"/>
          <w:color w:val="1A1A1A"/>
          <w:sz w:val="22"/>
          <w:szCs w:val="22"/>
        </w:rPr>
        <w:t>Examines exam results. KPIs show score range (40–110), High Achievers percentage, Failing Rate, and Average Score. A bar chart ranks students by performance band. Average score is shown by both subject and grade level. A histogram displays the full score distribution in bins.</w:t>
      </w:r>
    </w:p>
    <w:p>
      <w:pPr>
        <w:pStyle w:val="Normal"/>
        <w:spacing w:before="100" w:after="100"/>
        <w:rPr/>
      </w:pPr>
      <w:r>
        <w:rPr/>
      </w:r>
    </w:p>
    <w:p>
      <w:pPr>
        <w:pStyle w:val="Heading2"/>
        <w:spacing w:before="280" w:after="140"/>
        <w:rPr>
          <w:rFonts w:ascii="Arial" w:hAnsi="Arial" w:eastAsia="Arial" w:cs="Arial"/>
          <w:b/>
          <w:bCs/>
          <w:color w:val="2E75B6"/>
          <w:sz w:val="26"/>
          <w:szCs w:val="26"/>
        </w:rPr>
      </w:pPr>
      <w:r>
        <w:rPr/>
      </w:r>
    </w:p>
    <w:p>
      <w:pPr>
        <w:pStyle w:val="Heading2"/>
        <w:spacing w:before="280" w:after="140"/>
        <w:rPr/>
      </w:pPr>
      <w:r>
        <w:rPr>
          <w:rFonts w:eastAsia="Arial" w:cs="Arial" w:ascii="Arial" w:hAnsi="Arial"/>
          <w:b/>
          <w:bCs/>
          <w:color w:val="2E75B6"/>
          <w:sz w:val="26"/>
          <w:szCs w:val="26"/>
        </w:rPr>
        <w:t>5.5 Page 5 — Parent Communication</w:t>
      </w:r>
    </w:p>
    <w:p>
      <w:pPr>
        <w:pStyle w:val="Normal"/>
        <w:spacing w:before="80" w:after="80"/>
        <w:rPr/>
      </w:pPr>
      <w:r>
        <w:rPr>
          <w:rFonts w:eastAsia="Arial" w:cs="Arial"/>
          <w:b w:val="false"/>
          <w:bCs w:val="false"/>
          <w:color w:val="1A1A1A"/>
          <w:sz w:val="22"/>
          <w:szCs w:val="22"/>
        </w:rPr>
        <w:t>Analyzes the school's communication coverage and behavior. KPIs show total Communication Volume and Silent Students count. A donut breaks down message types (Teacher to Parent, Parent to Teacher, Automated Reminder). A bar shows silent student distribution by grade. A multi-line trend tracks daily communication volume across all three message types.</w:t>
      </w:r>
    </w:p>
    <w:p>
      <w:pPr>
        <w:pStyle w:val="Normal"/>
        <w:spacing w:before="100" w:after="100"/>
        <w:rPr/>
      </w:pPr>
      <w:r>
        <w:rPr/>
      </w:r>
    </w:p>
    <w:p>
      <w:pPr>
        <w:pStyle w:val="Heading2"/>
        <w:spacing w:before="280" w:after="140"/>
        <w:rPr/>
      </w:pPr>
      <w:r>
        <w:rPr>
          <w:rFonts w:eastAsia="Arial" w:cs="Arial" w:ascii="Arial" w:hAnsi="Arial"/>
          <w:b/>
          <w:bCs/>
          <w:color w:val="2E75B6"/>
          <w:sz w:val="26"/>
          <w:szCs w:val="26"/>
        </w:rPr>
        <w:t>5.6 Page 6 — At-Risk Intervention</w:t>
      </w:r>
    </w:p>
    <w:p>
      <w:pPr>
        <w:pStyle w:val="Normal"/>
        <w:spacing w:before="80" w:after="80"/>
        <w:rPr/>
      </w:pPr>
      <w:r>
        <w:rPr>
          <w:rFonts w:eastAsia="Arial" w:cs="Arial"/>
          <w:b w:val="false"/>
          <w:bCs w:val="false"/>
          <w:color w:val="1A1A1A"/>
          <w:sz w:val="22"/>
          <w:szCs w:val="22"/>
        </w:rPr>
        <w:t>The action page. KPIs show the at-risk cohort's average score, average attendance, at-risk percentage, and total count. A scatter plot maps every student by Attendance Rate versus Exam Score, colored by at-risk status. A full student-level table lists each at-risk student with all relevant metrics for direct intervention prioritization.</w:t>
      </w:r>
    </w:p>
    <w:p>
      <w:pPr>
        <w:pStyle w:val="Normal"/>
        <w:spacing w:before="100" w:after="100"/>
        <w:rPr/>
      </w:pPr>
      <w:r>
        <w:rPr/>
      </w:r>
    </w:p>
    <w:p>
      <w:pPr>
        <w:pStyle w:val="Normal"/>
        <w:rPr/>
      </w:pPr>
      <w:r>
        <w:rPr/>
      </w:r>
      <w:r>
        <w:br w:type="page"/>
      </w:r>
    </w:p>
    <w:p>
      <w:pPr>
        <w:pStyle w:val="Heading1"/>
        <w:spacing w:before="0" w:after="200"/>
        <w:rPr/>
      </w:pPr>
      <w:r>
        <w:rPr>
          <w:rFonts w:eastAsia="Arial" w:cs="Arial" w:ascii="Arial" w:hAnsi="Arial"/>
          <w:b/>
          <w:bCs/>
          <w:color w:val="1A3C6B"/>
          <w:sz w:val="32"/>
          <w:szCs w:val="32"/>
        </w:rPr>
        <w:t>6. Key Findings</w:t>
      </w:r>
    </w:p>
    <w:p>
      <w:pPr>
        <w:pStyle w:val="Heading2"/>
        <w:spacing w:before="280" w:after="140"/>
        <w:rPr/>
      </w:pPr>
      <w:r>
        <w:rPr>
          <w:rFonts w:eastAsia="Arial" w:cs="Arial" w:ascii="Arial" w:hAnsi="Arial"/>
          <w:b/>
          <w:bCs/>
          <w:color w:val="2E75B6"/>
          <w:sz w:val="26"/>
          <w:szCs w:val="26"/>
        </w:rPr>
        <w:t>6.1 Student Population</w:t>
      </w:r>
    </w:p>
    <w:p>
      <w:pPr>
        <w:pStyle w:val="ListParagraph"/>
        <w:numPr>
          <w:ilvl w:val="0"/>
          <w:numId w:val="3"/>
        </w:numPr>
        <w:spacing w:before="60" w:after="60"/>
        <w:rPr/>
      </w:pPr>
      <w:r>
        <w:rPr>
          <w:rFonts w:eastAsia="Arial" w:cs="Arial"/>
          <w:color w:val="1A1A1A"/>
          <w:sz w:val="22"/>
          <w:szCs w:val="22"/>
        </w:rPr>
        <w:t>12,156 students are distributed near-equally across five grade levels, each holding approximately 20% of the total population.</w:t>
      </w:r>
    </w:p>
    <w:p>
      <w:pPr>
        <w:pStyle w:val="ListParagraph"/>
        <w:numPr>
          <w:ilvl w:val="0"/>
          <w:numId w:val="1"/>
        </w:numPr>
        <w:spacing w:before="60" w:after="60"/>
        <w:rPr/>
      </w:pPr>
      <w:r>
        <w:rPr>
          <w:rFonts w:eastAsia="Arial" w:cs="Arial"/>
          <w:color w:val="1A1A1A"/>
          <w:sz w:val="22"/>
          <w:szCs w:val="22"/>
        </w:rPr>
        <w:t>The balanced distribution means performance differences across grades reflect genuine behavioral or instructional variance, not sampling imbalance.</w:t>
      </w:r>
    </w:p>
    <w:p>
      <w:pPr>
        <w:pStyle w:val="Normal"/>
        <w:spacing w:before="100" w:after="100"/>
        <w:rPr/>
      </w:pPr>
      <w:r>
        <w:rPr/>
      </w:r>
    </w:p>
    <w:p>
      <w:pPr>
        <w:pStyle w:val="Heading2"/>
        <w:spacing w:before="280" w:after="140"/>
        <w:rPr/>
      </w:pPr>
      <w:r>
        <w:rPr>
          <w:rFonts w:eastAsia="Arial" w:cs="Arial" w:ascii="Arial" w:hAnsi="Arial"/>
          <w:b/>
          <w:bCs/>
          <w:color w:val="2E75B6"/>
          <w:sz w:val="26"/>
          <w:szCs w:val="26"/>
        </w:rPr>
        <w:t>6.2 Attendance</w:t>
      </w:r>
    </w:p>
    <w:p>
      <w:pPr>
        <w:pStyle w:val="ListParagraph"/>
        <w:numPr>
          <w:ilvl w:val="0"/>
          <w:numId w:val="1"/>
        </w:numPr>
        <w:spacing w:before="60" w:after="60"/>
        <w:rPr/>
      </w:pPr>
      <w:r>
        <w:rPr>
          <w:rFonts w:eastAsia="Arial" w:cs="Arial"/>
          <w:color w:val="1A1A1A"/>
          <w:sz w:val="22"/>
          <w:szCs w:val="22"/>
        </w:rPr>
        <w:t>Only 25.12% of all attendance records are marked Present — students are physically present in roughly 1 in 4 tracked sessions.</w:t>
      </w:r>
    </w:p>
    <w:p>
      <w:pPr>
        <w:pStyle w:val="ListParagraph"/>
        <w:numPr>
          <w:ilvl w:val="0"/>
          <w:numId w:val="1"/>
        </w:numPr>
        <w:spacing w:before="60" w:after="60"/>
        <w:rPr/>
      </w:pPr>
      <w:r>
        <w:rPr>
          <w:rFonts w:eastAsia="Arial" w:cs="Arial"/>
          <w:color w:val="1A1A1A"/>
          <w:sz w:val="22"/>
          <w:szCs w:val="22"/>
        </w:rPr>
        <w:t>Late arrivals account for an additional 24.96% of records, making tardiness as common as full absence.</w:t>
      </w:r>
    </w:p>
    <w:p>
      <w:pPr>
        <w:pStyle w:val="ListParagraph"/>
        <w:numPr>
          <w:ilvl w:val="0"/>
          <w:numId w:val="1"/>
        </w:numPr>
        <w:spacing w:before="60" w:after="60"/>
        <w:rPr/>
      </w:pPr>
      <w:r>
        <w:rPr>
          <w:rFonts w:eastAsia="Arial" w:cs="Arial"/>
          <w:color w:val="1A1A1A"/>
          <w:sz w:val="22"/>
          <w:szCs w:val="22"/>
        </w:rPr>
        <w:t>Absent and ABSNT (a typo variant) together account for ~25% of records. These were unified during the Python cleaning phase.</w:t>
      </w:r>
    </w:p>
    <w:p>
      <w:pPr>
        <w:pStyle w:val="ListParagraph"/>
        <w:numPr>
          <w:ilvl w:val="0"/>
          <w:numId w:val="1"/>
        </w:numPr>
        <w:spacing w:before="60" w:after="60"/>
        <w:rPr/>
      </w:pPr>
      <w:r>
        <w:rPr>
          <w:rFonts w:eastAsia="Arial" w:cs="Arial"/>
          <w:color w:val="1A1A1A"/>
          <w:sz w:val="22"/>
          <w:szCs w:val="22"/>
        </w:rPr>
        <w:t>No significant difference in attendance rates exists across grade levels or subjects — absence is general, not subject-specific.</w:t>
      </w:r>
    </w:p>
    <w:p>
      <w:pPr>
        <w:pStyle w:val="Normal"/>
        <w:spacing w:before="100" w:after="100"/>
        <w:rPr/>
      </w:pPr>
      <w:r>
        <w:rPr/>
      </w:r>
    </w:p>
    <w:p>
      <w:pPr>
        <w:pStyle w:val="Heading2"/>
        <w:spacing w:before="280" w:after="140"/>
        <w:rPr/>
      </w:pPr>
      <w:r>
        <w:rPr>
          <w:rFonts w:eastAsia="Arial" w:cs="Arial" w:ascii="Arial" w:hAnsi="Arial"/>
          <w:b/>
          <w:bCs/>
          <w:color w:val="2E75B6"/>
          <w:sz w:val="26"/>
          <w:szCs w:val="26"/>
        </w:rPr>
        <w:t>6.3 Homework</w:t>
      </w:r>
    </w:p>
    <w:p>
      <w:pPr>
        <w:pStyle w:val="ListParagraph"/>
        <w:numPr>
          <w:ilvl w:val="0"/>
          <w:numId w:val="1"/>
        </w:numPr>
        <w:spacing w:before="60" w:after="60"/>
        <w:rPr/>
      </w:pPr>
      <w:r>
        <w:rPr>
          <w:rFonts w:eastAsia="Arial" w:cs="Arial"/>
          <w:color w:val="1A1A1A"/>
          <w:sz w:val="22"/>
          <w:szCs w:val="22"/>
        </w:rPr>
        <w:t>Overall homework completion rate is 49.99%. Approximately 1 in 3 assignments is not completed.</w:t>
      </w:r>
    </w:p>
    <w:p>
      <w:pPr>
        <w:pStyle w:val="ListParagraph"/>
        <w:numPr>
          <w:ilvl w:val="0"/>
          <w:numId w:val="1"/>
        </w:numPr>
        <w:spacing w:before="60" w:after="60"/>
        <w:rPr/>
      </w:pPr>
      <w:r>
        <w:rPr>
          <w:rFonts w:eastAsia="Arial" w:cs="Arial"/>
          <w:color w:val="1A1A1A"/>
          <w:sz w:val="22"/>
          <w:szCs w:val="22"/>
        </w:rPr>
        <w:t>Science has the lowest completion rate (49.51%). Geography is highest (50.45%). The spread is narrow across subjects.</w:t>
      </w:r>
    </w:p>
    <w:p>
      <w:pPr>
        <w:pStyle w:val="ListParagraph"/>
        <w:numPr>
          <w:ilvl w:val="0"/>
          <w:numId w:val="1"/>
        </w:numPr>
        <w:spacing w:before="60" w:after="60"/>
        <w:rPr/>
      </w:pPr>
      <w:r>
        <w:rPr>
          <w:rFonts w:eastAsia="Arial" w:cs="Arial"/>
          <w:color w:val="1A1A1A"/>
          <w:sz w:val="22"/>
          <w:szCs w:val="22"/>
        </w:rPr>
        <w:t>Grade feedback is uniformly distributed across all eight grade bands (A+ through C-), each at approximately 12.5%.</w:t>
      </w:r>
    </w:p>
    <w:p>
      <w:pPr>
        <w:pStyle w:val="Normal"/>
        <w:spacing w:before="100" w:after="100"/>
        <w:rPr/>
      </w:pPr>
      <w:r>
        <w:rPr/>
      </w:r>
    </w:p>
    <w:p>
      <w:pPr>
        <w:pStyle w:val="Heading2"/>
        <w:spacing w:before="280" w:after="140"/>
        <w:rPr/>
      </w:pPr>
      <w:r>
        <w:rPr>
          <w:rFonts w:eastAsia="Arial" w:cs="Arial" w:ascii="Arial" w:hAnsi="Arial"/>
          <w:b/>
          <w:bCs/>
          <w:color w:val="2E75B6"/>
          <w:sz w:val="26"/>
          <w:szCs w:val="26"/>
        </w:rPr>
        <w:t>6.4 Academic Performance</w:t>
      </w:r>
    </w:p>
    <w:p>
      <w:pPr>
        <w:pStyle w:val="ListParagraph"/>
        <w:numPr>
          <w:ilvl w:val="0"/>
          <w:numId w:val="1"/>
        </w:numPr>
        <w:spacing w:before="60" w:after="60"/>
        <w:rPr/>
      </w:pPr>
      <w:r>
        <w:rPr>
          <w:rFonts w:eastAsia="Arial" w:cs="Arial"/>
          <w:color w:val="1A1A1A"/>
          <w:sz w:val="22"/>
          <w:szCs w:val="22"/>
        </w:rPr>
        <w:t>The school-wide average exam score is 74.96 across a valid range of 40 to 110.</w:t>
      </w:r>
    </w:p>
    <w:p>
      <w:pPr>
        <w:pStyle w:val="ListParagraph"/>
        <w:numPr>
          <w:ilvl w:val="0"/>
          <w:numId w:val="1"/>
        </w:numPr>
        <w:spacing w:before="60" w:after="60"/>
        <w:rPr/>
      </w:pPr>
      <w:r>
        <w:rPr>
          <w:rFonts w:eastAsia="Arial" w:cs="Arial"/>
          <w:color w:val="1A1A1A"/>
          <w:sz w:val="22"/>
          <w:szCs w:val="22"/>
        </w:rPr>
        <w:t>12.87% of students are classified as High Achievers. The failing rate stands at 12.41%.</w:t>
      </w:r>
    </w:p>
    <w:p>
      <w:pPr>
        <w:pStyle w:val="ListParagraph"/>
        <w:numPr>
          <w:ilvl w:val="0"/>
          <w:numId w:val="1"/>
        </w:numPr>
        <w:spacing w:before="60" w:after="60"/>
        <w:rPr/>
      </w:pPr>
      <w:r>
        <w:rPr>
          <w:rFonts w:eastAsia="Arial" w:cs="Arial"/>
          <w:color w:val="1A1A1A"/>
          <w:sz w:val="22"/>
          <w:szCs w:val="22"/>
        </w:rPr>
        <w:t>Average scores are nearly identical across all subjects (range: 69.85 to 70.25) and across all grade levels (range: 69.81 to 70.24).</w:t>
      </w:r>
    </w:p>
    <w:p>
      <w:pPr>
        <w:pStyle w:val="Normal"/>
        <w:spacing w:before="100" w:after="100"/>
        <w:rPr/>
      </w:pPr>
      <w:r>
        <w:rPr/>
      </w:r>
    </w:p>
    <w:p>
      <w:pPr>
        <w:pStyle w:val="Heading2"/>
        <w:spacing w:before="280" w:after="140"/>
        <w:rPr>
          <w:rFonts w:ascii="Arial" w:hAnsi="Arial" w:eastAsia="Arial" w:cs="Arial"/>
          <w:b/>
          <w:bCs/>
          <w:color w:val="2E75B6"/>
          <w:sz w:val="26"/>
          <w:szCs w:val="26"/>
        </w:rPr>
      </w:pPr>
      <w:r>
        <w:rPr/>
      </w:r>
    </w:p>
    <w:p>
      <w:pPr>
        <w:pStyle w:val="Heading2"/>
        <w:spacing w:before="280" w:after="140"/>
        <w:rPr>
          <w:rFonts w:ascii="Arial" w:hAnsi="Arial" w:eastAsia="Arial" w:cs="Arial"/>
          <w:b/>
          <w:bCs/>
          <w:color w:val="2E75B6"/>
          <w:sz w:val="26"/>
          <w:szCs w:val="26"/>
        </w:rPr>
      </w:pPr>
      <w:r>
        <w:rPr/>
      </w:r>
    </w:p>
    <w:p>
      <w:pPr>
        <w:pStyle w:val="Heading2"/>
        <w:spacing w:before="280" w:after="140"/>
        <w:rPr/>
      </w:pPr>
      <w:r>
        <w:rPr>
          <w:rFonts w:eastAsia="Arial" w:cs="Arial" w:ascii="Arial" w:hAnsi="Arial"/>
          <w:b/>
          <w:bCs/>
          <w:color w:val="2E75B6"/>
          <w:sz w:val="26"/>
          <w:szCs w:val="26"/>
        </w:rPr>
        <w:t>6.5 Parent Communication</w:t>
      </w:r>
    </w:p>
    <w:p>
      <w:pPr>
        <w:pStyle w:val="ListParagraph"/>
        <w:numPr>
          <w:ilvl w:val="0"/>
          <w:numId w:val="1"/>
        </w:numPr>
        <w:spacing w:before="60" w:after="60"/>
        <w:rPr/>
      </w:pPr>
      <w:r>
        <w:rPr>
          <w:rFonts w:eastAsia="Arial" w:cs="Arial"/>
          <w:color w:val="1A1A1A"/>
          <w:sz w:val="22"/>
          <w:szCs w:val="22"/>
        </w:rPr>
        <w:t>1,644 students (13.5% of the school) have zero parent communication records across the full year.</w:t>
      </w:r>
    </w:p>
    <w:p>
      <w:pPr>
        <w:pStyle w:val="ListParagraph"/>
        <w:numPr>
          <w:ilvl w:val="0"/>
          <w:numId w:val="1"/>
        </w:numPr>
        <w:spacing w:before="60" w:after="60"/>
        <w:rPr/>
      </w:pPr>
      <w:r>
        <w:rPr>
          <w:rFonts w:eastAsia="Arial" w:cs="Arial"/>
          <w:color w:val="1A1A1A"/>
          <w:sz w:val="22"/>
          <w:szCs w:val="22"/>
        </w:rPr>
        <w:t>Grade 1 has the highest silent student rate at 14.73% — the most critical finding in this chapter given the age and dependency of these students.</w:t>
      </w:r>
    </w:p>
    <w:p>
      <w:pPr>
        <w:pStyle w:val="ListParagraph"/>
        <w:numPr>
          <w:ilvl w:val="0"/>
          <w:numId w:val="1"/>
        </w:numPr>
        <w:spacing w:before="60" w:after="60"/>
        <w:rPr/>
      </w:pPr>
      <w:r>
        <w:rPr>
          <w:rFonts w:eastAsia="Arial" w:cs="Arial"/>
          <w:color w:val="1A1A1A"/>
          <w:sz w:val="22"/>
          <w:szCs w:val="22"/>
        </w:rPr>
        <w:t>Communication peaks in December and January, consistent with exam season behavior. March 2025 data is a partial month.</w:t>
      </w:r>
    </w:p>
    <w:p>
      <w:pPr>
        <w:pStyle w:val="ListParagraph"/>
        <w:numPr>
          <w:ilvl w:val="0"/>
          <w:numId w:val="1"/>
        </w:numPr>
        <w:spacing w:before="60" w:after="60"/>
        <w:rPr/>
      </w:pPr>
      <w:r>
        <w:rPr>
          <w:rFonts w:eastAsia="Arial" w:cs="Arial"/>
          <w:color w:val="1A1A1A"/>
          <w:sz w:val="22"/>
          <w:szCs w:val="22"/>
        </w:rPr>
        <w:t>Students with active communication score only marginally different from silent students (69.90 vs 69.97), suggesting communication volume alone is not sufficient — quality and follow-through matter more.</w:t>
      </w:r>
    </w:p>
    <w:p>
      <w:pPr>
        <w:pStyle w:val="Normal"/>
        <w:spacing w:before="100" w:after="100"/>
        <w:rPr/>
      </w:pPr>
      <w:r>
        <w:rPr/>
      </w:r>
    </w:p>
    <w:p>
      <w:pPr>
        <w:pStyle w:val="Heading2"/>
        <w:spacing w:before="280" w:after="140"/>
        <w:rPr/>
      </w:pPr>
      <w:r>
        <w:rPr>
          <w:rFonts w:eastAsia="Arial" w:cs="Arial" w:ascii="Arial" w:hAnsi="Arial"/>
          <w:b/>
          <w:bCs/>
          <w:color w:val="2E75B6"/>
          <w:sz w:val="26"/>
          <w:szCs w:val="26"/>
        </w:rPr>
        <w:t>6.6 At-Risk Students</w:t>
      </w:r>
    </w:p>
    <w:p>
      <w:pPr>
        <w:pStyle w:val="ListParagraph"/>
        <w:numPr>
          <w:ilvl w:val="0"/>
          <w:numId w:val="1"/>
        </w:numPr>
        <w:spacing w:before="60" w:after="60"/>
        <w:rPr/>
      </w:pPr>
      <w:r>
        <w:rPr>
          <w:rFonts w:eastAsia="Arial" w:cs="Arial"/>
          <w:color w:val="1A1A1A"/>
          <w:sz w:val="22"/>
          <w:szCs w:val="22"/>
        </w:rPr>
        <w:t>Approximately 2,000 students (12.41% of the school) are flagged as at-risk based on three simultaneous conditions: attendance below 20%, average exam score below 60, and more than 3 missed assignments.</w:t>
      </w:r>
    </w:p>
    <w:p>
      <w:pPr>
        <w:pStyle w:val="ListParagraph"/>
        <w:numPr>
          <w:ilvl w:val="0"/>
          <w:numId w:val="1"/>
        </w:numPr>
        <w:spacing w:before="60" w:after="60"/>
        <w:rPr/>
      </w:pPr>
      <w:r>
        <w:rPr>
          <w:rFonts w:eastAsia="Arial" w:cs="Arial"/>
          <w:color w:val="1A1A1A"/>
          <w:sz w:val="22"/>
          <w:szCs w:val="22"/>
        </w:rPr>
        <w:t>The majority of at-risk students have parent communication records. This means contact is happening but not translating into improvement — the intervention strategy, not its frequency, needs to change.</w:t>
      </w:r>
    </w:p>
    <w:p>
      <w:pPr>
        <w:pStyle w:val="ListParagraph"/>
        <w:numPr>
          <w:ilvl w:val="0"/>
          <w:numId w:val="1"/>
        </w:numPr>
        <w:spacing w:before="60" w:after="60"/>
        <w:rPr/>
      </w:pPr>
      <w:r>
        <w:rPr>
          <w:rFonts w:eastAsia="Arial" w:cs="Arial"/>
          <w:color w:val="1A1A1A"/>
          <w:sz w:val="22"/>
          <w:szCs w:val="22"/>
        </w:rPr>
        <w:t>Students with no parent contact and failing indicators represent the highest-risk tier requiring immediate action.</w:t>
      </w:r>
    </w:p>
    <w:p>
      <w:pPr>
        <w:pStyle w:val="Normal"/>
        <w:spacing w:before="100" w:after="100"/>
        <w:rPr/>
      </w:pPr>
      <w:r>
        <w:rPr/>
      </w:r>
    </w:p>
    <w:p>
      <w:pPr>
        <w:pStyle w:val="Normal"/>
        <w:rPr/>
      </w:pPr>
      <w:r>
        <w:rPr/>
      </w:r>
      <w:r>
        <w:br w:type="page"/>
      </w:r>
    </w:p>
    <w:p>
      <w:pPr>
        <w:pStyle w:val="Heading1"/>
        <w:spacing w:before="0" w:after="200"/>
        <w:rPr/>
      </w:pPr>
      <w:r>
        <w:rPr>
          <w:rFonts w:eastAsia="Arial" w:cs="Arial" w:ascii="Arial" w:hAnsi="Arial"/>
          <w:b/>
          <w:bCs/>
          <w:color w:val="1A3C6B"/>
          <w:sz w:val="32"/>
          <w:szCs w:val="32"/>
        </w:rPr>
        <w:t>7. Recommendations</w:t>
      </w:r>
    </w:p>
    <w:p>
      <w:pPr>
        <w:pStyle w:val="Heading2"/>
        <w:spacing w:before="280" w:after="140"/>
        <w:rPr/>
      </w:pPr>
      <w:r>
        <w:rPr>
          <w:rFonts w:eastAsia="Arial" w:cs="Arial" w:ascii="Arial" w:hAnsi="Arial"/>
          <w:b/>
          <w:bCs/>
          <w:color w:val="2E75B6"/>
          <w:sz w:val="26"/>
          <w:szCs w:val="26"/>
        </w:rPr>
        <w:t>7.1 Immediate Actions</w:t>
      </w:r>
    </w:p>
    <w:p>
      <w:pPr>
        <w:pStyle w:val="ListParagraph"/>
        <w:numPr>
          <w:ilvl w:val="0"/>
          <w:numId w:val="1"/>
        </w:numPr>
        <w:spacing w:before="60" w:after="60"/>
        <w:rPr/>
      </w:pPr>
      <w:r>
        <w:rPr>
          <w:rFonts w:eastAsia="Arial" w:cs="Arial"/>
          <w:color w:val="1A1A1A"/>
          <w:sz w:val="22"/>
          <w:szCs w:val="22"/>
        </w:rPr>
        <w:t>Deploy the At-Risk Intervention page as a working tool for grade supervisors. Each row in the table is a student requiring a direct conversation before the academic year ends.</w:t>
      </w:r>
    </w:p>
    <w:p>
      <w:pPr>
        <w:pStyle w:val="ListParagraph"/>
        <w:numPr>
          <w:ilvl w:val="0"/>
          <w:numId w:val="1"/>
        </w:numPr>
        <w:spacing w:before="60" w:after="60"/>
        <w:rPr/>
      </w:pPr>
      <w:r>
        <w:rPr>
          <w:rFonts w:eastAsia="Arial" w:cs="Arial"/>
          <w:color w:val="1A1A1A"/>
          <w:sz w:val="22"/>
          <w:szCs w:val="22"/>
        </w:rPr>
        <w:t>Establish a Grade 1 parent onboarding protocol. A 14.73% communication gap at the entry grade is a systemic issue that needs a structural fix, not ad-hoc outreach.</w:t>
      </w:r>
    </w:p>
    <w:p>
      <w:pPr>
        <w:pStyle w:val="ListParagraph"/>
        <w:numPr>
          <w:ilvl w:val="0"/>
          <w:numId w:val="1"/>
        </w:numPr>
        <w:spacing w:before="60" w:after="60"/>
        <w:rPr/>
      </w:pPr>
      <w:r>
        <w:rPr>
          <w:rFonts w:eastAsia="Arial" w:cs="Arial"/>
          <w:color w:val="1A1A1A"/>
          <w:sz w:val="22"/>
          <w:szCs w:val="22"/>
        </w:rPr>
        <w:t>Review the communication strategy for the ~200 at-risk students who have active contact but declining performance. Volume is not the problem for this group.</w:t>
      </w:r>
    </w:p>
    <w:p>
      <w:pPr>
        <w:pStyle w:val="Normal"/>
        <w:spacing w:before="100" w:after="100"/>
        <w:rPr/>
      </w:pPr>
      <w:r>
        <w:rPr/>
      </w:r>
    </w:p>
    <w:p>
      <w:pPr>
        <w:pStyle w:val="Heading2"/>
        <w:spacing w:before="280" w:after="140"/>
        <w:rPr/>
      </w:pPr>
      <w:r>
        <w:rPr>
          <w:rFonts w:eastAsia="Arial" w:cs="Arial" w:ascii="Arial" w:hAnsi="Arial"/>
          <w:b/>
          <w:bCs/>
          <w:color w:val="2E75B6"/>
          <w:sz w:val="26"/>
          <w:szCs w:val="26"/>
        </w:rPr>
        <w:t>7.2 Data Quality Improvements</w:t>
      </w:r>
    </w:p>
    <w:p>
      <w:pPr>
        <w:pStyle w:val="ListParagraph"/>
        <w:numPr>
          <w:ilvl w:val="0"/>
          <w:numId w:val="1"/>
        </w:numPr>
        <w:spacing w:before="60" w:after="60"/>
        <w:rPr/>
      </w:pPr>
      <w:r>
        <w:rPr>
          <w:rFonts w:eastAsia="Arial" w:cs="Arial"/>
          <w:color w:val="1A1A1A"/>
          <w:sz w:val="22"/>
          <w:szCs w:val="22"/>
        </w:rPr>
        <w:t>Standardize the Attendance_Status field at point of entry. The ABSNT typo and casing inconsistencies indicate manual data entry without validation.</w:t>
      </w:r>
    </w:p>
    <w:p>
      <w:pPr>
        <w:pStyle w:val="ListParagraph"/>
        <w:numPr>
          <w:ilvl w:val="0"/>
          <w:numId w:val="1"/>
        </w:numPr>
        <w:spacing w:before="60" w:after="60"/>
        <w:rPr/>
      </w:pPr>
      <w:r>
        <w:rPr>
          <w:rFonts w:eastAsia="Arial" w:cs="Arial"/>
          <w:color w:val="1A1A1A"/>
          <w:sz w:val="22"/>
          <w:szCs w:val="22"/>
        </w:rPr>
        <w:t>Replace emoji-based homework status encoding with a dropdown selection in the source system. Emoji values are fragile across database imports and require manual mapping on every pipeline run.</w:t>
      </w:r>
    </w:p>
    <w:p>
      <w:pPr>
        <w:pStyle w:val="ListParagraph"/>
        <w:numPr>
          <w:ilvl w:val="0"/>
          <w:numId w:val="1"/>
        </w:numPr>
        <w:spacing w:before="60" w:after="60"/>
        <w:rPr/>
      </w:pPr>
      <w:r>
        <w:rPr>
          <w:rFonts w:eastAsia="Arial" w:cs="Arial"/>
          <w:color w:val="1A1A1A"/>
          <w:sz w:val="22"/>
          <w:szCs w:val="22"/>
        </w:rPr>
        <w:t>Set a hard constraint on the Date_of_Birth field to enforce a single date format. The mixed ISO/US format causes silent parsing errors that make age analysis unreliable.</w:t>
      </w:r>
    </w:p>
    <w:p>
      <w:pPr>
        <w:pStyle w:val="Normal"/>
        <w:spacing w:before="100" w:after="100"/>
        <w:rPr/>
      </w:pPr>
      <w:r>
        <w:rPr/>
      </w:r>
    </w:p>
    <w:p>
      <w:pPr>
        <w:pStyle w:val="Heading2"/>
        <w:spacing w:before="280" w:after="140"/>
        <w:rPr/>
      </w:pPr>
      <w:r>
        <w:rPr>
          <w:rFonts w:eastAsia="Arial" w:cs="Arial" w:ascii="Arial" w:hAnsi="Arial"/>
          <w:b/>
          <w:bCs/>
          <w:color w:val="2E75B6"/>
          <w:sz w:val="26"/>
          <w:szCs w:val="26"/>
        </w:rPr>
        <w:t>7.3 Next Pipeline Iteration</w:t>
      </w:r>
    </w:p>
    <w:p>
      <w:pPr>
        <w:pStyle w:val="ListParagraph"/>
        <w:numPr>
          <w:ilvl w:val="0"/>
          <w:numId w:val="1"/>
        </w:numPr>
        <w:spacing w:before="60" w:after="60"/>
        <w:rPr/>
      </w:pPr>
      <w:r>
        <w:rPr>
          <w:rFonts w:eastAsia="Arial" w:cs="Arial"/>
          <w:color w:val="1A1A1A"/>
          <w:sz w:val="22"/>
          <w:szCs w:val="22"/>
        </w:rPr>
        <w:t>Add a time-series attendance model that flags declining attendance trends for individual students before they cross the at-risk threshold.</w:t>
      </w:r>
    </w:p>
    <w:p>
      <w:pPr>
        <w:pStyle w:val="ListParagraph"/>
        <w:numPr>
          <w:ilvl w:val="0"/>
          <w:numId w:val="1"/>
        </w:numPr>
        <w:spacing w:before="60" w:after="60"/>
        <w:rPr/>
      </w:pPr>
      <w:r>
        <w:rPr>
          <w:rFonts w:eastAsia="Arial" w:cs="Arial"/>
          <w:color w:val="1A1A1A"/>
          <w:sz w:val="22"/>
          <w:szCs w:val="22"/>
        </w:rPr>
        <w:t>Build a subject-level performance model that identifies whether a student's low score in one subject is isolated or part of a broader academic decline.</w:t>
      </w:r>
    </w:p>
    <w:p>
      <w:pPr>
        <w:pStyle w:val="Normal"/>
        <w:spacing w:before="100" w:after="100"/>
        <w:rPr/>
      </w:pPr>
      <w:r>
        <w:rPr/>
      </w:r>
    </w:p>
    <w:p>
      <w:pPr>
        <w:pStyle w:val="Normal"/>
        <w:rPr/>
      </w:pPr>
      <w:r>
        <w:rPr/>
      </w:r>
      <w:r>
        <w:br w:type="page"/>
      </w:r>
    </w:p>
    <w:p>
      <w:pPr>
        <w:pStyle w:val="Heading1"/>
        <w:spacing w:before="0" w:after="200"/>
        <w:rPr/>
      </w:pPr>
      <w:r>
        <w:rPr>
          <w:rFonts w:eastAsia="Arial" w:cs="Arial" w:ascii="Arial" w:hAnsi="Arial"/>
          <w:b/>
          <w:bCs/>
          <w:color w:val="1A3C6B"/>
          <w:sz w:val="32"/>
          <w:szCs w:val="32"/>
        </w:rPr>
        <w:t>8. Repository Structure</w:t>
      </w:r>
    </w:p>
    <w:tbl>
      <w:tblPr>
        <w:tblW w:w="9360" w:type="dxa"/>
        <w:jc w:val="left"/>
        <w:tblInd w:w="0" w:type="dxa"/>
        <w:tblLayout w:type="fixed"/>
        <w:tblCellMar>
          <w:top w:w="80" w:type="dxa"/>
          <w:left w:w="120" w:type="dxa"/>
          <w:bottom w:w="80" w:type="dxa"/>
          <w:right w:w="120" w:type="dxa"/>
        </w:tblCellMar>
      </w:tblPr>
      <w:tblGrid>
        <w:gridCol w:w="4680"/>
        <w:gridCol w:w="4679"/>
      </w:tblGrid>
      <w:tr>
        <w:trPr/>
        <w:tc>
          <w:tcPr>
            <w:tcW w:w="4680" w:type="dxa"/>
            <w:tcBorders>
              <w:top w:val="single" w:sz="2" w:space="0" w:color="CCCCCC"/>
              <w:left w:val="single" w:sz="2" w:space="0" w:color="CCCCCC"/>
              <w:bottom w:val="single" w:sz="2" w:space="0" w:color="CCCCCC"/>
              <w:right w:val="single" w:sz="2" w:space="0" w:color="CCCCCC"/>
            </w:tcBorders>
            <w:shd w:fill="1A3C6B" w:val="clear"/>
            <w:vAlign w:val="center"/>
          </w:tcPr>
          <w:p>
            <w:pPr>
              <w:pStyle w:val="Normal"/>
              <w:jc w:val="left"/>
              <w:rPr/>
            </w:pPr>
            <w:r>
              <w:rPr>
                <w:rFonts w:eastAsia="Arial" w:cs="Arial"/>
                <w:b/>
                <w:bCs/>
                <w:color w:val="FFFFFF"/>
                <w:sz w:val="20"/>
                <w:szCs w:val="20"/>
              </w:rPr>
              <w:t>File / Folder</w:t>
            </w:r>
          </w:p>
        </w:tc>
        <w:tc>
          <w:tcPr>
            <w:tcW w:w="4679" w:type="dxa"/>
            <w:tcBorders>
              <w:top w:val="single" w:sz="2" w:space="0" w:color="CCCCCC"/>
              <w:left w:val="single" w:sz="2" w:space="0" w:color="CCCCCC"/>
              <w:bottom w:val="single" w:sz="2" w:space="0" w:color="CCCCCC"/>
              <w:right w:val="single" w:sz="2" w:space="0" w:color="CCCCCC"/>
            </w:tcBorders>
            <w:shd w:fill="1A3C6B" w:val="clear"/>
            <w:vAlign w:val="center"/>
          </w:tcPr>
          <w:p>
            <w:pPr>
              <w:pStyle w:val="Normal"/>
              <w:jc w:val="left"/>
              <w:rPr/>
            </w:pPr>
            <w:r>
              <w:rPr>
                <w:rFonts w:eastAsia="Arial" w:cs="Arial"/>
                <w:b/>
                <w:bCs/>
                <w:color w:val="FFFFFF"/>
                <w:sz w:val="20"/>
                <w:szCs w:val="20"/>
              </w:rPr>
              <w:t>Description</w:t>
            </w:r>
          </w:p>
        </w:tc>
      </w:tr>
      <w:tr>
        <w:trPr/>
        <w:tc>
          <w:tcPr>
            <w:tcW w:w="4680"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left"/>
              <w:rPr/>
            </w:pPr>
            <w:r>
              <w:rPr>
                <w:rFonts w:eastAsia="Arial" w:cs="Arial"/>
                <w:b w:val="false"/>
                <w:bCs w:val="false"/>
                <w:color w:val="1A1A1A"/>
                <w:sz w:val="20"/>
                <w:szCs w:val="20"/>
              </w:rPr>
              <w:t>data/raw/</w:t>
            </w:r>
          </w:p>
        </w:tc>
        <w:tc>
          <w:tcPr>
            <w:tcW w:w="467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1A1A1A"/>
                <w:sz w:val="20"/>
                <w:szCs w:val="20"/>
              </w:rPr>
              <w:t>Original five CSV files as received</w:t>
            </w:r>
          </w:p>
        </w:tc>
      </w:tr>
      <w:tr>
        <w:trPr/>
        <w:tc>
          <w:tcPr>
            <w:tcW w:w="4680"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left"/>
              <w:rPr/>
            </w:pPr>
            <w:r>
              <w:rPr>
                <w:rFonts w:eastAsia="Arial" w:cs="Arial"/>
                <w:b w:val="false"/>
                <w:bCs w:val="false"/>
                <w:color w:val="1A1A1A"/>
                <w:sz w:val="20"/>
                <w:szCs w:val="20"/>
              </w:rPr>
              <w:t>data/clean/</w:t>
            </w:r>
          </w:p>
        </w:tc>
        <w:tc>
          <w:tcPr>
            <w:tcW w:w="467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1A1A1A"/>
                <w:sz w:val="20"/>
                <w:szCs w:val="20"/>
              </w:rPr>
              <w:t>Five cleaned CSVs exported from Python phase</w:t>
            </w:r>
          </w:p>
        </w:tc>
      </w:tr>
      <w:tr>
        <w:trPr/>
        <w:tc>
          <w:tcPr>
            <w:tcW w:w="4680"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left"/>
              <w:rPr/>
            </w:pPr>
            <w:r>
              <w:rPr>
                <w:rFonts w:eastAsia="Arial" w:cs="Arial"/>
                <w:b w:val="false"/>
                <w:bCs w:val="false"/>
                <w:color w:val="1A1A1A"/>
                <w:sz w:val="20"/>
                <w:szCs w:val="20"/>
              </w:rPr>
              <w:t>storytelling.sql</w:t>
            </w:r>
          </w:p>
        </w:tc>
        <w:tc>
          <w:tcPr>
            <w:tcW w:w="467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1A1A1A"/>
                <w:sz w:val="20"/>
                <w:szCs w:val="20"/>
              </w:rPr>
              <w:t>Phase 1 — six-chapter SQL storytelling script</w:t>
            </w:r>
          </w:p>
        </w:tc>
      </w:tr>
      <w:tr>
        <w:trPr/>
        <w:tc>
          <w:tcPr>
            <w:tcW w:w="4680"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left"/>
              <w:rPr/>
            </w:pPr>
            <w:r>
              <w:rPr>
                <w:rFonts w:eastAsia="Arial" w:cs="Arial"/>
                <w:b w:val="false"/>
                <w:bCs w:val="false"/>
                <w:color w:val="1A1A1A"/>
                <w:sz w:val="20"/>
                <w:szCs w:val="20"/>
              </w:rPr>
              <w:t>education_cleaning.ipynb</w:t>
            </w:r>
          </w:p>
        </w:tc>
        <w:tc>
          <w:tcPr>
            <w:tcW w:w="467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1A1A1A"/>
                <w:sz w:val="20"/>
                <w:szCs w:val="20"/>
              </w:rPr>
              <w:t>Phase 2 — Python cleaning and feature engineering notebook</w:t>
            </w:r>
          </w:p>
        </w:tc>
      </w:tr>
      <w:tr>
        <w:trPr/>
        <w:tc>
          <w:tcPr>
            <w:tcW w:w="4680"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left"/>
              <w:rPr/>
            </w:pPr>
            <w:r>
              <w:rPr>
                <w:rFonts w:eastAsia="Arial" w:cs="Arial"/>
                <w:b w:val="false"/>
                <w:bCs w:val="false"/>
                <w:color w:val="1A1A1A"/>
                <w:sz w:val="20"/>
                <w:szCs w:val="20"/>
              </w:rPr>
              <w:t>Final Education.pbix</w:t>
            </w:r>
          </w:p>
        </w:tc>
        <w:tc>
          <w:tcPr>
            <w:tcW w:w="467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1A1A1A"/>
                <w:sz w:val="20"/>
                <w:szCs w:val="20"/>
              </w:rPr>
              <w:t>Phase 3 — six-page Power BI dashboard</w:t>
            </w:r>
          </w:p>
        </w:tc>
      </w:tr>
      <w:tr>
        <w:trPr/>
        <w:tc>
          <w:tcPr>
            <w:tcW w:w="4680"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left"/>
              <w:rPr/>
            </w:pPr>
            <w:r>
              <w:rPr>
                <w:rFonts w:eastAsia="Arial" w:cs="Arial"/>
                <w:b w:val="false"/>
                <w:bCs w:val="false"/>
                <w:color w:val="1A1A1A"/>
                <w:sz w:val="20"/>
                <w:szCs w:val="20"/>
              </w:rPr>
              <w:t>README.md</w:t>
            </w:r>
          </w:p>
        </w:tc>
        <w:tc>
          <w:tcPr>
            <w:tcW w:w="467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color w:val="1A1A1A"/>
                <w:sz w:val="20"/>
                <w:szCs w:val="20"/>
              </w:rPr>
              <w:t>Visual-first project overview for the GitHub repository</w:t>
            </w:r>
          </w:p>
        </w:tc>
      </w:tr>
    </w:tbl>
    <w:p>
      <w:pPr>
        <w:pStyle w:val="Normal"/>
        <w:spacing w:before="200" w:after="100"/>
        <w:rPr/>
      </w:pPr>
      <w:r>
        <w:rPr/>
      </w:r>
    </w:p>
    <w:p>
      <w:pPr>
        <w:pStyle w:val="Normal"/>
        <w:pBdr>
          <w:bottom w:val="single" w:sz="4" w:space="1" w:color="2E75B6"/>
        </w:pBdr>
        <w:spacing w:before="200" w:after="200"/>
        <w:rPr/>
      </w:pPr>
      <w:r>
        <w:rPr/>
      </w:r>
    </w:p>
    <w:p>
      <w:pPr>
        <w:pStyle w:val="Normal"/>
        <w:spacing w:before="200" w:after="100"/>
        <w:rPr/>
      </w:pPr>
      <w:r>
        <w:rPr/>
      </w:r>
    </w:p>
    <w:p>
      <w:pPr>
        <w:pStyle w:val="Normal"/>
        <w:jc w:val="center"/>
        <w:rPr/>
      </w:pPr>
      <w:r>
        <w:rPr>
          <w:rFonts w:eastAsia="Arial" w:cs="Arial"/>
          <w:color w:val="888888"/>
          <w:sz w:val="18"/>
          <w:szCs w:val="18"/>
        </w:rPr>
        <w:t>Nour Hatem  |  NTI Data Analysis Track  |  nourhatem.</w:t>
      </w:r>
      <w:r>
        <w:rPr>
          <w:rFonts w:eastAsia="Arial" w:cs="Arial"/>
          <w:color w:val="888888"/>
          <w:sz w:val="18"/>
          <w:szCs w:val="18"/>
        </w:rPr>
        <w:t>web</w:t>
      </w:r>
      <w:r>
        <w:rPr>
          <w:rFonts w:eastAsia="Arial" w:cs="Arial"/>
          <w:color w:val="888888"/>
          <w:sz w:val="18"/>
          <w:szCs w:val="18"/>
        </w:rPr>
        <w:t>.app</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2E75B6"/>
      </w:pBdr>
      <w:tabs>
        <w:tab w:val="clear" w:pos="720"/>
        <w:tab w:val="right" w:pos="9026" w:leader="none"/>
      </w:tabs>
      <w:spacing w:before="120" w:after="0"/>
      <w:rPr/>
    </w:pPr>
    <w:r>
      <w:rPr>
        <w:rFonts w:eastAsia="Arial" w:cs="Arial"/>
        <w:color w:val="888888"/>
        <w:sz w:val="18"/>
        <w:szCs w:val="18"/>
      </w:rPr>
      <w:t>Nour Hatem  |  NTI Data Analysis Track</w:t>
    </w:r>
    <w:r>
      <w:rPr>
        <w:rFonts w:eastAsia="Arial" w:cs="Arial"/>
        <w:sz w:val="18"/>
        <w:szCs w:val="18"/>
      </w:rPr>
      <w:tab/>
    </w:r>
    <w:r>
      <w:rPr>
        <w:rFonts w:eastAsia="Arial" w:cs="Arial"/>
        <w:color w:val="888888"/>
        <w:sz w:val="18"/>
        <w:szCs w:val="18"/>
      </w:rPr>
      <w:t xml:space="preserve">Page </w:t>
    </w:r>
    <w:r>
      <w:fldChar w:fldCharType="begin"/>
    </w:r>
    <w:r>
      <w:rPr>
        <w:sz w:val="18"/>
        <w:szCs w:val="18"/>
        <w:rFonts w:eastAsia="Arial" w:cs="Arial"/>
        <w:color w:val="888888"/>
      </w:rPr>
      <w:instrText xml:space="preserve">[object Object]</w:instrText>
    </w:r>
    <w:r>
      <w:rPr>
        <w:rFonts w:eastAsia="Arial" w:cs="Arial"/>
        <w:color w:val="888888"/>
        <w:sz w:val="18"/>
        <w:szCs w:val="18"/>
      </w:rPr>
    </w:r>
    <w:r>
      <w:rPr>
        <w:sz w:val="18"/>
        <w:szCs w:val="18"/>
        <w:rFonts w:eastAsia="Arial" w:cs="Arial"/>
        <w:color w:val="888888"/>
      </w:rPr>
      <w:fldChar w:fldCharType="separate"/>
    </w:r>
    <w:r>
      <w:rPr>
        <w:rFonts w:eastAsia="Arial" w:cs="Arial"/>
        <w:color w:val="888888"/>
        <w:sz w:val="18"/>
        <w:szCs w:val="18"/>
      </w:rPr>
    </w:r>
    <w:r/>
    <w:r>
      <w:rPr>
        <w:sz w:val="18"/>
        <w:szCs w:val="18"/>
        <w:rFonts w:eastAsia="Arial" w:cs="Arial"/>
        <w:color w:val="888888"/>
      </w:rPr>
      <w:fldChar w:fldCharType="end"/>
    </w:r>
    <w:r>
      <w:rPr>
        <w:rFonts w:eastAsia="Arial" w:cs="Arial"/>
        <w:color w:val="888888"/>
        <w:sz w:val="18"/>
        <w:szCs w:val="18"/>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2E75B6"/>
      </w:pBdr>
      <w:tabs>
        <w:tab w:val="clear" w:pos="720"/>
        <w:tab w:val="right" w:pos="9026" w:leader="none"/>
      </w:tabs>
      <w:spacing w:before="120" w:after="0"/>
      <w:rPr/>
    </w:pPr>
    <w:r>
      <w:rPr>
        <w:rFonts w:eastAsia="Arial" w:cs="Arial"/>
        <w:color w:val="888888"/>
        <w:sz w:val="18"/>
        <w:szCs w:val="18"/>
      </w:rPr>
      <w:t>Nour Hatem  |  NTI Data Analysis Track</w:t>
    </w:r>
    <w:r>
      <w:rPr>
        <w:rFonts w:eastAsia="Arial" w:cs="Arial"/>
        <w:sz w:val="18"/>
        <w:szCs w:val="18"/>
      </w:rPr>
      <w:tab/>
    </w:r>
    <w:r>
      <w:rPr>
        <w:rFonts w:eastAsia="Arial" w:cs="Arial"/>
        <w:color w:val="888888"/>
        <w:sz w:val="18"/>
        <w:szCs w:val="18"/>
      </w:rPr>
      <w:t xml:space="preserve">Page </w:t>
    </w:r>
    <w:r>
      <w:fldChar w:fldCharType="begin"/>
    </w:r>
    <w:r>
      <w:rPr>
        <w:sz w:val="18"/>
        <w:szCs w:val="18"/>
        <w:rFonts w:eastAsia="Arial" w:cs="Arial"/>
        <w:color w:val="888888"/>
      </w:rPr>
      <w:instrText xml:space="preserve">[object Object]</w:instrText>
    </w:r>
    <w:r>
      <w:rPr>
        <w:rFonts w:eastAsia="Arial" w:cs="Arial"/>
        <w:color w:val="888888"/>
        <w:sz w:val="18"/>
        <w:szCs w:val="18"/>
      </w:rPr>
    </w:r>
    <w:r>
      <w:rPr>
        <w:sz w:val="18"/>
        <w:szCs w:val="18"/>
        <w:rFonts w:eastAsia="Arial" w:cs="Arial"/>
        <w:color w:val="888888"/>
      </w:rPr>
      <w:fldChar w:fldCharType="separate"/>
    </w:r>
    <w:r>
      <w:rPr>
        <w:rFonts w:eastAsia="Arial" w:cs="Arial"/>
        <w:color w:val="888888"/>
        <w:sz w:val="18"/>
        <w:szCs w:val="18"/>
      </w:rPr>
    </w:r>
    <w:r/>
    <w:r>
      <w:rPr>
        <w:sz w:val="18"/>
        <w:szCs w:val="18"/>
        <w:rFonts w:eastAsia="Arial" w:cs="Arial"/>
        <w:color w:val="888888"/>
      </w:rPr>
      <w:fldChar w:fldCharType="end"/>
    </w:r>
    <w:r>
      <w:rPr>
        <w:rFonts w:eastAsia="Arial" w:cs="Arial"/>
        <w:color w:val="888888"/>
        <w:sz w:val="18"/>
        <w:szCs w:val="1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2E75B6"/>
      </w:pBdr>
      <w:spacing w:before="0" w:after="120"/>
      <w:rPr/>
    </w:pPr>
    <w:r>
      <w:rPr>
        <w:rFonts w:eastAsia="Arial" w:cs="Arial"/>
        <w:color w:val="888888"/>
        <w:sz w:val="18"/>
        <w:szCs w:val="18"/>
      </w:rPr>
      <w:t>NTI Academic Success &amp; Intervention  |  Project Report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2E75B6"/>
      </w:pBdr>
      <w:spacing w:before="0" w:after="120"/>
      <w:rPr/>
    </w:pPr>
    <w:r>
      <w:rPr>
        <w:rFonts w:eastAsia="Arial" w:cs="Arial"/>
        <w:color w:val="888888"/>
        <w:sz w:val="18"/>
        <w:szCs w:val="18"/>
      </w:rPr>
      <w:t>NTI Academic Success &amp; Intervention  |  Project Report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81"/>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400" w:after="200"/>
      <w:outlineLvl w:val="0"/>
    </w:pPr>
    <w:rPr>
      <w:rFonts w:ascii="Arial" w:hAnsi="Arial" w:eastAsia="Arial" w:cs="Arial"/>
      <w:b/>
      <w:bCs/>
      <w:color w:val="1A3C6B"/>
      <w:sz w:val="32"/>
      <w:szCs w:val="32"/>
    </w:rPr>
  </w:style>
  <w:style w:type="paragraph" w:styleId="Heading2">
    <w:name w:val="Heading 2"/>
    <w:basedOn w:val="Heading"/>
    <w:qFormat/>
    <w:pPr>
      <w:spacing w:before="280" w:after="140"/>
      <w:outlineLvl w:val="1"/>
    </w:pPr>
    <w:rPr>
      <w:rFonts w:ascii="Arial" w:hAnsi="Arial" w:eastAsia="Arial" w:cs="Arial"/>
      <w:b/>
      <w:bCs/>
      <w:color w:val="2E75B6"/>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LibreOffice/24.2.7.2$Linux_X86_64 LibreOffice_project/420$Build-2</Application>
  <AppVersion>15.0000</AppVersion>
  <Pages>12</Pages>
  <Words>1959</Words>
  <Characters>11500</Characters>
  <CharactersWithSpaces>13216</CharactersWithSpaces>
  <Paragraphs>261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2026-05-06T05:58:17Z</dcterms:created>
  <dc:creator>Un-named</dc:creator>
  <dc:description/>
  <dc:language>en-US</dc:language>
  <cp:lastModifiedBy/>
  <dcterms:modified xsi:type="dcterms:W3CDTF">2026-05-06T11:42:10Z</dcterms:modified>
  <cp:revision>2</cp:revision>
  <dc:subject/>
  <dc:title/>
</cp:coreProperties>
</file>