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000"/>
      </w:pPr>
    </w:p>
    <w:p>
      <w:pPr>
        <w:spacing w:after="200"/>
        <w:jc w:val="center"/>
      </w:pPr>
      <w:r>
        <w:rPr>
          <w:rFonts w:ascii="Arial" w:cs="Arial" w:eastAsia="Arial" w:hAnsi="Arial"/>
          <w:b/>
          <w:bCs/>
          <w:color w:val="1A3C6B"/>
          <w:sz w:val="52"/>
          <w:szCs w:val="52"/>
        </w:rPr>
        <w:t xml:space="preserve">NTI Academic Success &amp; Intervention</w:t>
      </w:r>
    </w:p>
    <w:p>
      <w:pPr>
        <w:spacing w:after="160"/>
        <w:jc w:val="center"/>
      </w:pPr>
      <w:r>
        <w:rPr>
          <w:rFonts w:ascii="Arial" w:cs="Arial" w:eastAsia="Arial" w:hAnsi="Arial"/>
          <w:color w:val="2E75B6"/>
          <w:sz w:val="28"/>
          <w:szCs w:val="28"/>
        </w:rPr>
        <w:t xml:space="preserve">Student Academic Health Analysis — Project Report</w:t>
      </w:r>
    </w:p>
    <w:p>
      <w:pPr>
        <w:pBdr>
          <w:bottom w:val="single" w:color="2E75B6" w:sz="4" w:space="1"/>
        </w:pBdr>
        <w:spacing w:after="200" w:before="200"/>
      </w:pPr>
    </w:p>
    <w:p>
      <w:pPr>
        <w:spacing w:after="10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none" w:color="FFFFFF" w:sz="0"/>
              <w:left w:val="none" w:color="FFFFFF" w:sz="0"/>
              <w:bottom w:val="none" w:color="FFFFFF" w:sz="0"/>
              <w:right w:val="none" w:color="FFFFFF" w:sz="0"/>
            </w:tcBorders>
            <w:tcMar>
              <w:top w:type="dxa" w:w="80"/>
              <w:left w:type="dxa" w:w="0"/>
              <w:bottom w:type="dxa" w:w="80"/>
              <w:right w:type="dxa" w:w="120"/>
            </w:tcMar>
          </w:tcPr>
          <w:p>
            <w:r>
              <w:rPr>
                <w:rFonts w:ascii="Arial" w:cs="Arial" w:eastAsia="Arial" w:hAnsi="Arial"/>
                <w:b/>
                <w:bCs/>
                <w:color w:val="888888"/>
                <w:sz w:val="20"/>
                <w:szCs w:val="20"/>
              </w:rPr>
              <w:t xml:space="preserve">Prepared by</w:t>
            </w:r>
          </w:p>
        </w:tc>
        <w:tc>
          <w:tcPr>
            <w:tcW w:type="dxa" w:w="7020"/>
            <w:tcBorders>
              <w:top w:val="none" w:color="FFFFFF" w:sz="0"/>
              <w:left w:val="none" w:color="FFFFFF" w:sz="0"/>
              <w:bottom w:val="none" w:color="FFFFFF" w:sz="0"/>
              <w:right w:val="none" w:color="FFFFFF" w:sz="0"/>
            </w:tcBorders>
            <w:tcMar>
              <w:top w:type="dxa" w:w="80"/>
              <w:left w:type="dxa" w:w="120"/>
              <w:bottom w:type="dxa" w:w="80"/>
              <w:right w:type="dxa" w:w="0"/>
            </w:tcMar>
          </w:tcPr>
          <w:p>
            <w:r>
              <w:rPr>
                <w:rFonts w:ascii="Arial" w:cs="Arial" w:eastAsia="Arial" w:hAnsi="Arial"/>
                <w:color w:val="1A1A1A"/>
                <w:sz w:val="20"/>
                <w:szCs w:val="20"/>
              </w:rPr>
              <w:t xml:space="preserve">Nour Hatem</w:t>
            </w:r>
          </w:p>
        </w:tc>
      </w:tr>
      <w:tr>
        <w:tc>
          <w:tcPr>
            <w:tcW w:type="dxa" w:w="2340"/>
            <w:tcBorders>
              <w:top w:val="none" w:color="FFFFFF" w:sz="0"/>
              <w:left w:val="none" w:color="FFFFFF" w:sz="0"/>
              <w:bottom w:val="none" w:color="FFFFFF" w:sz="0"/>
              <w:right w:val="none" w:color="FFFFFF" w:sz="0"/>
            </w:tcBorders>
            <w:tcMar>
              <w:top w:type="dxa" w:w="80"/>
              <w:left w:type="dxa" w:w="0"/>
              <w:bottom w:type="dxa" w:w="80"/>
              <w:right w:type="dxa" w:w="120"/>
            </w:tcMar>
          </w:tcPr>
          <w:p>
            <w:r>
              <w:rPr>
                <w:rFonts w:ascii="Arial" w:cs="Arial" w:eastAsia="Arial" w:hAnsi="Arial"/>
                <w:b/>
                <w:bCs/>
                <w:color w:val="888888"/>
                <w:sz w:val="20"/>
                <w:szCs w:val="20"/>
              </w:rPr>
              <w:t xml:space="preserve">Program</w:t>
            </w:r>
          </w:p>
        </w:tc>
        <w:tc>
          <w:tcPr>
            <w:tcW w:type="dxa" w:w="7020"/>
            <w:tcBorders>
              <w:top w:val="none" w:color="FFFFFF" w:sz="0"/>
              <w:left w:val="none" w:color="FFFFFF" w:sz="0"/>
              <w:bottom w:val="none" w:color="FFFFFF" w:sz="0"/>
              <w:right w:val="none" w:color="FFFFFF" w:sz="0"/>
            </w:tcBorders>
            <w:tcMar>
              <w:top w:type="dxa" w:w="80"/>
              <w:left w:type="dxa" w:w="120"/>
              <w:bottom w:type="dxa" w:w="80"/>
              <w:right w:type="dxa" w:w="0"/>
            </w:tcMar>
          </w:tcPr>
          <w:p>
            <w:r>
              <w:rPr>
                <w:rFonts w:ascii="Arial" w:cs="Arial" w:eastAsia="Arial" w:hAnsi="Arial"/>
                <w:color w:val="1A1A1A"/>
                <w:sz w:val="20"/>
                <w:szCs w:val="20"/>
              </w:rPr>
              <w:t xml:space="preserve">DEPI x NTI — Data Analysis Track</w:t>
            </w:r>
          </w:p>
        </w:tc>
      </w:tr>
      <w:tr>
        <w:tc>
          <w:tcPr>
            <w:tcW w:type="dxa" w:w="2340"/>
            <w:tcBorders>
              <w:top w:val="none" w:color="FFFFFF" w:sz="0"/>
              <w:left w:val="none" w:color="FFFFFF" w:sz="0"/>
              <w:bottom w:val="none" w:color="FFFFFF" w:sz="0"/>
              <w:right w:val="none" w:color="FFFFFF" w:sz="0"/>
            </w:tcBorders>
            <w:tcMar>
              <w:top w:type="dxa" w:w="80"/>
              <w:left w:type="dxa" w:w="0"/>
              <w:bottom w:type="dxa" w:w="80"/>
              <w:right w:type="dxa" w:w="120"/>
            </w:tcMar>
          </w:tcPr>
          <w:p>
            <w:r>
              <w:rPr>
                <w:rFonts w:ascii="Arial" w:cs="Arial" w:eastAsia="Arial" w:hAnsi="Arial"/>
                <w:b/>
                <w:bCs/>
                <w:color w:val="888888"/>
                <w:sz w:val="20"/>
                <w:szCs w:val="20"/>
              </w:rPr>
              <w:t xml:space="preserve">Audience</w:t>
            </w:r>
          </w:p>
        </w:tc>
        <w:tc>
          <w:tcPr>
            <w:tcW w:type="dxa" w:w="7020"/>
            <w:tcBorders>
              <w:top w:val="none" w:color="FFFFFF" w:sz="0"/>
              <w:left w:val="none" w:color="FFFFFF" w:sz="0"/>
              <w:bottom w:val="none" w:color="FFFFFF" w:sz="0"/>
              <w:right w:val="none" w:color="FFFFFF" w:sz="0"/>
            </w:tcBorders>
            <w:tcMar>
              <w:top w:type="dxa" w:w="80"/>
              <w:left w:type="dxa" w:w="120"/>
              <w:bottom w:type="dxa" w:w="80"/>
              <w:right w:type="dxa" w:w="0"/>
            </w:tcMar>
          </w:tcPr>
          <w:p>
            <w:r>
              <w:rPr>
                <w:rFonts w:ascii="Arial" w:cs="Arial" w:eastAsia="Arial" w:hAnsi="Arial"/>
                <w:color w:val="1A1A1A"/>
                <w:sz w:val="20"/>
                <w:szCs w:val="20"/>
              </w:rPr>
              <w:t xml:space="preserve">ENG. DONIA — Data Analysis Evaluation Committee</w:t>
            </w:r>
          </w:p>
        </w:tc>
      </w:tr>
      <w:tr>
        <w:tc>
          <w:tcPr>
            <w:tcW w:type="dxa" w:w="2340"/>
            <w:tcBorders>
              <w:top w:val="none" w:color="FFFFFF" w:sz="0"/>
              <w:left w:val="none" w:color="FFFFFF" w:sz="0"/>
              <w:bottom w:val="none" w:color="FFFFFF" w:sz="0"/>
              <w:right w:val="none" w:color="FFFFFF" w:sz="0"/>
            </w:tcBorders>
            <w:tcMar>
              <w:top w:type="dxa" w:w="80"/>
              <w:left w:type="dxa" w:w="0"/>
              <w:bottom w:type="dxa" w:w="80"/>
              <w:right w:type="dxa" w:w="120"/>
            </w:tcMar>
          </w:tcPr>
          <w:p>
            <w:r>
              <w:rPr>
                <w:rFonts w:ascii="Arial" w:cs="Arial" w:eastAsia="Arial" w:hAnsi="Arial"/>
                <w:b/>
                <w:bCs/>
                <w:color w:val="888888"/>
                <w:sz w:val="20"/>
                <w:szCs w:val="20"/>
              </w:rPr>
              <w:t xml:space="preserve">Period</w:t>
            </w:r>
          </w:p>
        </w:tc>
        <w:tc>
          <w:tcPr>
            <w:tcW w:type="dxa" w:w="7020"/>
            <w:tcBorders>
              <w:top w:val="none" w:color="FFFFFF" w:sz="0"/>
              <w:left w:val="none" w:color="FFFFFF" w:sz="0"/>
              <w:bottom w:val="none" w:color="FFFFFF" w:sz="0"/>
              <w:right w:val="none" w:color="FFFFFF" w:sz="0"/>
            </w:tcBorders>
            <w:tcMar>
              <w:top w:type="dxa" w:w="80"/>
              <w:left w:type="dxa" w:w="120"/>
              <w:bottom w:type="dxa" w:w="80"/>
              <w:right w:type="dxa" w:w="0"/>
            </w:tcMar>
          </w:tcPr>
          <w:p>
            <w:r>
              <w:rPr>
                <w:rFonts w:ascii="Arial" w:cs="Arial" w:eastAsia="Arial" w:hAnsi="Arial"/>
                <w:color w:val="1A1A1A"/>
                <w:sz w:val="20"/>
                <w:szCs w:val="20"/>
              </w:rPr>
              <w:t xml:space="preserve">March 2024 – March 2025</w:t>
            </w:r>
          </w:p>
        </w:tc>
      </w:tr>
      <w:tr>
        <w:tc>
          <w:tcPr>
            <w:tcW w:type="dxa" w:w="2340"/>
            <w:tcBorders>
              <w:top w:val="none" w:color="FFFFFF" w:sz="0"/>
              <w:left w:val="none" w:color="FFFFFF" w:sz="0"/>
              <w:bottom w:val="none" w:color="FFFFFF" w:sz="0"/>
              <w:right w:val="none" w:color="FFFFFF" w:sz="0"/>
            </w:tcBorders>
            <w:tcMar>
              <w:top w:type="dxa" w:w="80"/>
              <w:left w:type="dxa" w:w="0"/>
              <w:bottom w:type="dxa" w:w="80"/>
              <w:right w:type="dxa" w:w="120"/>
            </w:tcMar>
          </w:tcPr>
          <w:p>
            <w:r>
              <w:rPr>
                <w:rFonts w:ascii="Arial" w:cs="Arial" w:eastAsia="Arial" w:hAnsi="Arial"/>
                <w:b/>
                <w:bCs/>
                <w:color w:val="888888"/>
                <w:sz w:val="20"/>
                <w:szCs w:val="20"/>
              </w:rPr>
              <w:t xml:space="preserve">Stack</w:t>
            </w:r>
          </w:p>
        </w:tc>
        <w:tc>
          <w:tcPr>
            <w:tcW w:type="dxa" w:w="7020"/>
            <w:tcBorders>
              <w:top w:val="none" w:color="FFFFFF" w:sz="0"/>
              <w:left w:val="none" w:color="FFFFFF" w:sz="0"/>
              <w:bottom w:val="none" w:color="FFFFFF" w:sz="0"/>
              <w:right w:val="none" w:color="FFFFFF" w:sz="0"/>
            </w:tcBorders>
            <w:tcMar>
              <w:top w:type="dxa" w:w="80"/>
              <w:left w:type="dxa" w:w="120"/>
              <w:bottom w:type="dxa" w:w="80"/>
              <w:right w:type="dxa" w:w="0"/>
            </w:tcMar>
          </w:tcPr>
          <w:p>
            <w:r>
              <w:rPr>
                <w:rFonts w:ascii="Arial" w:cs="Arial" w:eastAsia="Arial" w:hAnsi="Arial"/>
                <w:color w:val="1A1A1A"/>
                <w:sz w:val="20"/>
                <w:szCs w:val="20"/>
              </w:rPr>
              <w:t xml:space="preserve">SQL Server 2017  →  Python 3.12  →  Power BI</w:t>
            </w:r>
          </w:p>
        </w:tc>
      </w:tr>
    </w:tbl>
    <w:p>
      <w:pPr>
        <w:spacing w:after="100" w:before="400"/>
      </w:pPr>
    </w:p>
    <w:p>
      <w:r>
        <w:br w:type="page"/>
      </w:r>
    </w:p>
    <w:p>
      <w:pPr>
        <w:pStyle w:val="Heading1"/>
        <w:spacing w:after="200" w:before="400"/>
      </w:pPr>
      <w:r>
        <w:rPr>
          <w:rFonts w:ascii="Arial" w:cs="Arial" w:eastAsia="Arial" w:hAnsi="Arial"/>
          <w:b/>
          <w:bCs/>
          <w:color w:val="1A3C6B"/>
          <w:sz w:val="32"/>
          <w:szCs w:val="32"/>
        </w:rPr>
        <w:t xml:space="preserve">1. Executive Summary</w:t>
      </w:r>
    </w:p>
    <w:p>
      <w:pPr>
        <w:spacing w:after="80" w:before="80"/>
      </w:pPr>
      <w:r>
        <w:rPr>
          <w:rFonts w:ascii="Arial" w:cs="Arial" w:eastAsia="Arial" w:hAnsi="Arial"/>
          <w:b w:val="false"/>
          <w:bCs w:val="false"/>
          <w:color w:val="1A1A1A"/>
          <w:sz w:val="22"/>
          <w:szCs w:val="22"/>
        </w:rPr>
        <w:t xml:space="preserve">This report documents a full end-to-end data analysis project examining the academic health of 12,156 students across five grade levels over a full academic year. The project follows a structured three-phase pipeline: SQL storytelling to explore and document the raw data, Python cleaning and feature engineering to prepare it for analysis, and a six-page Power BI dashboard to surface actionable insights for school leadership.</w:t>
      </w:r>
    </w:p>
    <w:p>
      <w:pPr>
        <w:spacing w:after="100" w:before="100"/>
      </w:pPr>
    </w:p>
    <w:p>
      <w:pPr>
        <w:spacing w:after="80" w:before="80"/>
      </w:pPr>
      <w:r>
        <w:rPr>
          <w:rFonts w:ascii="Arial" w:cs="Arial" w:eastAsia="Arial" w:hAnsi="Arial"/>
          <w:b w:val="false"/>
          <w:bCs w:val="false"/>
          <w:color w:val="1A1A1A"/>
          <w:sz w:val="22"/>
          <w:szCs w:val="22"/>
        </w:rPr>
        <w:t xml:space="preserve">The central question driving every phase of this project is simple: which students are at risk of academic failure, and what combination of behavioral signals identifies them earliest. The answer required integrating five separate data sources — attendance, homework, performance, student profiles, and parent communication — into a unified analytical view.</w:t>
      </w:r>
    </w:p>
    <w:p>
      <w:pPr>
        <w:spacing w:after="100" w:before="100"/>
      </w:pPr>
    </w:p>
    <w:p>
      <w:pPr>
        <w:pStyle w:val="Heading2"/>
        <w:spacing w:after="140" w:before="280"/>
      </w:pPr>
      <w:r>
        <w:rPr>
          <w:rFonts w:ascii="Arial" w:cs="Arial" w:eastAsia="Arial" w:hAnsi="Arial"/>
          <w:b/>
          <w:bCs/>
          <w:color w:val="2E75B6"/>
          <w:sz w:val="26"/>
          <w:szCs w:val="26"/>
        </w:rPr>
        <w:t xml:space="preserve">Key Metrics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1A3C6B"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Metric</w:t>
            </w:r>
          </w:p>
        </w:tc>
        <w:tc>
          <w:tcPr>
            <w:tcW w:type="dxa" w:w="4680"/>
            <w:tcBorders>
              <w:top w:val="single" w:color="CCCCCC" w:sz="1"/>
              <w:left w:val="single" w:color="CCCCCC" w:sz="1"/>
              <w:bottom w:val="single" w:color="CCCCCC" w:sz="1"/>
              <w:right w:val="single" w:color="CCCCCC" w:sz="1"/>
            </w:tcBorders>
            <w:shd w:fill="1A3C6B"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Value</w:t>
            </w:r>
          </w:p>
        </w:tc>
      </w:tr>
      <w:tr>
        <w:tc>
          <w:tcPr>
            <w:tcW w:type="dxa" w:w="468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Total students</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12,156 across Grade 1–5</w:t>
            </w:r>
          </w:p>
        </w:tc>
      </w:tr>
      <w:tr>
        <w:tc>
          <w:tcPr>
            <w:tcW w:type="dxa" w:w="468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School average exam score</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74.96</w:t>
            </w:r>
          </w:p>
        </w:tc>
      </w:tr>
      <w:tr>
        <w:tc>
          <w:tcPr>
            <w:tcW w:type="dxa" w:w="468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At-risk students identified</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~2,000 (12.41%)</w:t>
            </w:r>
          </w:p>
        </w:tc>
      </w:tr>
      <w:tr>
        <w:tc>
          <w:tcPr>
            <w:tcW w:type="dxa" w:w="468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Overall attendance rate</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25.12% (present only)</w:t>
            </w:r>
          </w:p>
        </w:tc>
      </w:tr>
      <w:tr>
        <w:tc>
          <w:tcPr>
            <w:tcW w:type="dxa" w:w="468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Homework completion rate</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49.99%</w:t>
            </w:r>
          </w:p>
        </w:tc>
      </w:tr>
      <w:tr>
        <w:tc>
          <w:tcPr>
            <w:tcW w:type="dxa" w:w="468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Silent students (no communication)</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1,644 (13.5%)</w:t>
            </w:r>
          </w:p>
        </w:tc>
      </w:tr>
      <w:tr>
        <w:tc>
          <w:tcPr>
            <w:tcW w:type="dxa" w:w="468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Exam score range</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40 – 110</w:t>
            </w:r>
          </w:p>
        </w:tc>
      </w:tr>
      <w:tr>
        <w:tc>
          <w:tcPr>
            <w:tcW w:type="dxa" w:w="468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Data period</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March 2024 – March 2025</w:t>
            </w:r>
          </w:p>
        </w:tc>
      </w:tr>
    </w:tbl>
    <w:p>
      <w:pPr>
        <w:spacing w:after="100" w:before="100"/>
      </w:pPr>
    </w:p>
    <w:p>
      <w:r>
        <w:br w:type="page"/>
      </w:r>
    </w:p>
    <w:p>
      <w:pPr>
        <w:pStyle w:val="Heading1"/>
        <w:spacing w:after="200" w:before="400"/>
      </w:pPr>
      <w:r>
        <w:rPr>
          <w:rFonts w:ascii="Arial" w:cs="Arial" w:eastAsia="Arial" w:hAnsi="Arial"/>
          <w:b/>
          <w:bCs/>
          <w:color w:val="1A3C6B"/>
          <w:sz w:val="32"/>
          <w:szCs w:val="32"/>
        </w:rPr>
        <w:t xml:space="preserve">2. Project Overview</w:t>
      </w:r>
    </w:p>
    <w:p>
      <w:pPr>
        <w:pStyle w:val="Heading2"/>
        <w:spacing w:after="140" w:before="280"/>
      </w:pPr>
      <w:r>
        <w:rPr>
          <w:rFonts w:ascii="Arial" w:cs="Arial" w:eastAsia="Arial" w:hAnsi="Arial"/>
          <w:b/>
          <w:bCs/>
          <w:color w:val="2E75B6"/>
          <w:sz w:val="26"/>
          <w:szCs w:val="26"/>
        </w:rPr>
        <w:t xml:space="preserve">2.1 Objective</w:t>
      </w:r>
    </w:p>
    <w:p>
      <w:pPr>
        <w:spacing w:after="80" w:before="80"/>
      </w:pPr>
      <w:r>
        <w:rPr>
          <w:rFonts w:ascii="Arial" w:cs="Arial" w:eastAsia="Arial" w:hAnsi="Arial"/>
          <w:b w:val="false"/>
          <w:bCs w:val="false"/>
          <w:color w:val="1A1A1A"/>
          <w:sz w:val="22"/>
          <w:szCs w:val="22"/>
        </w:rPr>
        <w:t xml:space="preserve">Design and deliver a complete data analysis pipeline for a school dataset — from raw CSV files to an interactive Power BI dashboard — that enables school administrators to identify at-risk students, monitor attendance and engagement trends, and evaluate the effectiveness of parent communication.</w:t>
      </w:r>
    </w:p>
    <w:p>
      <w:pPr>
        <w:spacing w:after="100" w:before="100"/>
      </w:pPr>
    </w:p>
    <w:p>
      <w:pPr>
        <w:pStyle w:val="Heading2"/>
        <w:spacing w:after="140" w:before="280"/>
      </w:pPr>
      <w:r>
        <w:rPr>
          <w:rFonts w:ascii="Arial" w:cs="Arial" w:eastAsia="Arial" w:hAnsi="Arial"/>
          <w:b/>
          <w:bCs/>
          <w:color w:val="2E75B6"/>
          <w:sz w:val="26"/>
          <w:szCs w:val="26"/>
        </w:rPr>
        <w:t xml:space="preserve">2.2 Pipeline Architecture</w:t>
      </w:r>
    </w:p>
    <w:p>
      <w:pPr>
        <w:spacing w:after="80" w:before="80"/>
      </w:pPr>
      <w:r>
        <w:rPr>
          <w:rFonts w:ascii="Arial" w:cs="Arial" w:eastAsia="Arial" w:hAnsi="Arial"/>
          <w:b w:val="false"/>
          <w:bCs w:val="false"/>
          <w:color w:val="1A1A1A"/>
          <w:sz w:val="22"/>
          <w:szCs w:val="22"/>
        </w:rPr>
        <w:t xml:space="preserve">The project is organized into three sequential phases, each building on the output of the previous one.</w:t>
      </w:r>
    </w:p>
    <w:p>
      <w:pPr>
        <w:spacing w:after="100"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340"/>
        <w:gridCol w:w="2340"/>
        <w:gridCol w:w="2808"/>
      </w:tblGrid>
      <w:tr>
        <w:tc>
          <w:tcPr>
            <w:tcW w:type="dxa" w:w="1872"/>
            <w:tcBorders>
              <w:top w:val="single" w:color="CCCCCC" w:sz="1"/>
              <w:left w:val="single" w:color="CCCCCC" w:sz="1"/>
              <w:bottom w:val="single" w:color="CCCCCC" w:sz="1"/>
              <w:right w:val="single" w:color="CCCCCC" w:sz="1"/>
            </w:tcBorders>
            <w:shd w:fill="1A3C6B"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Phase</w:t>
            </w:r>
          </w:p>
        </w:tc>
        <w:tc>
          <w:tcPr>
            <w:tcW w:type="dxa" w:w="2340"/>
            <w:tcBorders>
              <w:top w:val="single" w:color="CCCCCC" w:sz="1"/>
              <w:left w:val="single" w:color="CCCCCC" w:sz="1"/>
              <w:bottom w:val="single" w:color="CCCCCC" w:sz="1"/>
              <w:right w:val="single" w:color="CCCCCC" w:sz="1"/>
            </w:tcBorders>
            <w:shd w:fill="1A3C6B"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Tool</w:t>
            </w:r>
          </w:p>
        </w:tc>
        <w:tc>
          <w:tcPr>
            <w:tcW w:type="dxa" w:w="2340"/>
            <w:tcBorders>
              <w:top w:val="single" w:color="CCCCCC" w:sz="1"/>
              <w:left w:val="single" w:color="CCCCCC" w:sz="1"/>
              <w:bottom w:val="single" w:color="CCCCCC" w:sz="1"/>
              <w:right w:val="single" w:color="CCCCCC" w:sz="1"/>
            </w:tcBorders>
            <w:shd w:fill="1A3C6B"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File</w:t>
            </w:r>
          </w:p>
        </w:tc>
        <w:tc>
          <w:tcPr>
            <w:tcW w:type="dxa" w:w="2808"/>
            <w:tcBorders>
              <w:top w:val="single" w:color="CCCCCC" w:sz="1"/>
              <w:left w:val="single" w:color="CCCCCC" w:sz="1"/>
              <w:bottom w:val="single" w:color="CCCCCC" w:sz="1"/>
              <w:right w:val="single" w:color="CCCCCC" w:sz="1"/>
            </w:tcBorders>
            <w:shd w:fill="1A3C6B"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Output</w:t>
            </w:r>
          </w:p>
        </w:tc>
      </w:tr>
      <w:tr>
        <w:tc>
          <w:tcPr>
            <w:tcW w:type="dxa" w:w="1872"/>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1</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SQL Server 2017</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storytelling.sql</w:t>
            </w:r>
          </w:p>
        </w:tc>
        <w:tc>
          <w:tcPr>
            <w:tcW w:type="dxa" w:w="2808"/>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Documented insights + quality flags</w:t>
            </w:r>
          </w:p>
        </w:tc>
      </w:tr>
      <w:tr>
        <w:tc>
          <w:tcPr>
            <w:tcW w:type="dxa" w:w="1872"/>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2</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Python 3.12</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education_cleaning.ipynb</w:t>
            </w:r>
          </w:p>
        </w:tc>
        <w:tc>
          <w:tcPr>
            <w:tcW w:type="dxa" w:w="2808"/>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5 clean CSVs + student_summary.csv</w:t>
            </w:r>
          </w:p>
        </w:tc>
      </w:tr>
      <w:tr>
        <w:tc>
          <w:tcPr>
            <w:tcW w:type="dxa" w:w="1872"/>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3</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Power BI</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Final Education.pbix</w:t>
            </w:r>
          </w:p>
        </w:tc>
        <w:tc>
          <w:tcPr>
            <w:tcW w:type="dxa" w:w="2808"/>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6-page interactive dashboard</w:t>
            </w:r>
          </w:p>
        </w:tc>
      </w:tr>
    </w:tbl>
    <w:p>
      <w:pPr>
        <w:spacing w:after="100" w:before="100"/>
      </w:pPr>
    </w:p>
    <w:p>
      <w:pPr>
        <w:pStyle w:val="Heading2"/>
        <w:spacing w:after="140" w:before="280"/>
      </w:pPr>
      <w:r>
        <w:rPr>
          <w:rFonts w:ascii="Arial" w:cs="Arial" w:eastAsia="Arial" w:hAnsi="Arial"/>
          <w:b/>
          <w:bCs/>
          <w:color w:val="2E75B6"/>
          <w:sz w:val="26"/>
          <w:szCs w:val="26"/>
        </w:rPr>
        <w:t xml:space="preserve">2.3 Dataset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3744"/>
      </w:tblGrid>
      <w:tr>
        <w:tc>
          <w:tcPr>
            <w:tcW w:type="dxa" w:w="3744"/>
            <w:tcBorders>
              <w:top w:val="single" w:color="CCCCCC" w:sz="1"/>
              <w:left w:val="single" w:color="CCCCCC" w:sz="1"/>
              <w:bottom w:val="single" w:color="CCCCCC" w:sz="1"/>
              <w:right w:val="single" w:color="CCCCCC" w:sz="1"/>
            </w:tcBorders>
            <w:shd w:fill="1A3C6B"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Table</w:t>
            </w:r>
          </w:p>
        </w:tc>
        <w:tc>
          <w:tcPr>
            <w:tcW w:type="dxa" w:w="1872"/>
            <w:tcBorders>
              <w:top w:val="single" w:color="CCCCCC" w:sz="1"/>
              <w:left w:val="single" w:color="CCCCCC" w:sz="1"/>
              <w:bottom w:val="single" w:color="CCCCCC" w:sz="1"/>
              <w:right w:val="single" w:color="CCCCCC" w:sz="1"/>
            </w:tcBorders>
            <w:shd w:fill="1A3C6B"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Rows</w:t>
            </w:r>
          </w:p>
        </w:tc>
        <w:tc>
          <w:tcPr>
            <w:tcW w:type="dxa" w:w="3744"/>
            <w:tcBorders>
              <w:top w:val="single" w:color="CCCCCC" w:sz="1"/>
              <w:left w:val="single" w:color="CCCCCC" w:sz="1"/>
              <w:bottom w:val="single" w:color="CCCCCC" w:sz="1"/>
              <w:right w:val="single" w:color="CCCCCC" w:sz="1"/>
            </w:tcBorders>
            <w:shd w:fill="1A3C6B"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Description</w:t>
            </w:r>
          </w:p>
        </w:tc>
      </w:tr>
      <w:tr>
        <w:tc>
          <w:tcPr>
            <w:tcW w:type="dxa" w:w="3744"/>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students.csv</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12,156</w:t>
            </w:r>
          </w:p>
        </w:tc>
        <w:tc>
          <w:tcPr>
            <w:tcW w:type="dxa" w:w="374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Student profiles — Grade 1 to 5</w:t>
            </w:r>
          </w:p>
        </w:tc>
      </w:tr>
      <w:tr>
        <w:tc>
          <w:tcPr>
            <w:tcW w:type="dxa" w:w="3744"/>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attendance.csv</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364,680</w:t>
            </w:r>
          </w:p>
        </w:tc>
        <w:tc>
          <w:tcPr>
            <w:tcW w:type="dxa" w:w="374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Daily attendance per subject</w:t>
            </w:r>
          </w:p>
        </w:tc>
      </w:tr>
      <w:tr>
        <w:tc>
          <w:tcPr>
            <w:tcW w:type="dxa" w:w="3744"/>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homework.csv</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60,780</w:t>
            </w:r>
          </w:p>
        </w:tc>
        <w:tc>
          <w:tcPr>
            <w:tcW w:type="dxa" w:w="374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Assignment status and guardian signatures</w:t>
            </w:r>
          </w:p>
        </w:tc>
      </w:tr>
      <w:tr>
        <w:tc>
          <w:tcPr>
            <w:tcW w:type="dxa" w:w="3744"/>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performance.csv</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36,468</w:t>
            </w:r>
          </w:p>
        </w:tc>
        <w:tc>
          <w:tcPr>
            <w:tcW w:type="dxa" w:w="374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Exam scores and homework completion rates</w:t>
            </w:r>
          </w:p>
        </w:tc>
      </w:tr>
      <w:tr>
        <w:tc>
          <w:tcPr>
            <w:tcW w:type="dxa" w:w="3744"/>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teacher_parent_communication.csv</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24,312</w:t>
            </w:r>
          </w:p>
        </w:tc>
        <w:tc>
          <w:tcPr>
            <w:tcW w:type="dxa" w:w="374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Parent-teacher message logs</w:t>
            </w:r>
          </w:p>
        </w:tc>
      </w:tr>
    </w:tbl>
    <w:p>
      <w:pPr>
        <w:spacing w:after="100" w:before="100"/>
      </w:pPr>
    </w:p>
    <w:p>
      <w:r>
        <w:br w:type="page"/>
      </w:r>
    </w:p>
    <w:p>
      <w:pPr>
        <w:pStyle w:val="Heading1"/>
        <w:spacing w:after="200" w:before="400"/>
      </w:pPr>
      <w:r>
        <w:rPr>
          <w:rFonts w:ascii="Arial" w:cs="Arial" w:eastAsia="Arial" w:hAnsi="Arial"/>
          <w:b/>
          <w:bCs/>
          <w:color w:val="1A3C6B"/>
          <w:sz w:val="32"/>
          <w:szCs w:val="32"/>
        </w:rPr>
        <w:t xml:space="preserve">3. Phase 1 — SQL Storytelling</w:t>
      </w:r>
    </w:p>
    <w:p>
      <w:pPr>
        <w:spacing w:after="80" w:before="80"/>
      </w:pPr>
      <w:r>
        <w:rPr>
          <w:rFonts w:ascii="Arial" w:cs="Arial" w:eastAsia="Arial" w:hAnsi="Arial"/>
          <w:b w:val="false"/>
          <w:bCs w:val="false"/>
          <w:color w:val="1A1A1A"/>
          <w:sz w:val="22"/>
          <w:szCs w:val="22"/>
        </w:rPr>
        <w:t xml:space="preserve">The SQL phase is structured as a narrative of six analytical chapters. Each chapter answers a specific business question rather than performing generic data exploration. All findings and data quality issues discovered during this phase were documented as comments directly inside the script for full traceability.</w:t>
      </w:r>
    </w:p>
    <w:p>
      <w:pPr>
        <w:spacing w:after="100" w:before="100"/>
      </w:pPr>
    </w:p>
    <w:p>
      <w:pPr>
        <w:pStyle w:val="Heading2"/>
        <w:spacing w:after="140" w:before="280"/>
      </w:pPr>
      <w:r>
        <w:rPr>
          <w:rFonts w:ascii="Arial" w:cs="Arial" w:eastAsia="Arial" w:hAnsi="Arial"/>
          <w:b/>
          <w:bCs/>
          <w:color w:val="2E75B6"/>
          <w:sz w:val="26"/>
          <w:szCs w:val="26"/>
        </w:rPr>
        <w:t xml:space="preserve">3.1 Chapter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3276"/>
        <w:gridCol w:w="5148"/>
      </w:tblGrid>
      <w:tr>
        <w:tc>
          <w:tcPr>
            <w:tcW w:type="dxa" w:w="936"/>
            <w:tcBorders>
              <w:top w:val="single" w:color="CCCCCC" w:sz="1"/>
              <w:left w:val="single" w:color="CCCCCC" w:sz="1"/>
              <w:bottom w:val="single" w:color="CCCCCC" w:sz="1"/>
              <w:right w:val="single" w:color="CCCCCC" w:sz="1"/>
            </w:tcBorders>
            <w:shd w:fill="1A3C6B"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w:t>
            </w:r>
          </w:p>
        </w:tc>
        <w:tc>
          <w:tcPr>
            <w:tcW w:type="dxa" w:w="3276"/>
            <w:tcBorders>
              <w:top w:val="single" w:color="CCCCCC" w:sz="1"/>
              <w:left w:val="single" w:color="CCCCCC" w:sz="1"/>
              <w:bottom w:val="single" w:color="CCCCCC" w:sz="1"/>
              <w:right w:val="single" w:color="CCCCCC" w:sz="1"/>
            </w:tcBorders>
            <w:shd w:fill="1A3C6B"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Chapter</w:t>
            </w:r>
          </w:p>
        </w:tc>
        <w:tc>
          <w:tcPr>
            <w:tcW w:type="dxa" w:w="5148"/>
            <w:tcBorders>
              <w:top w:val="single" w:color="CCCCCC" w:sz="1"/>
              <w:left w:val="single" w:color="CCCCCC" w:sz="1"/>
              <w:bottom w:val="single" w:color="CCCCCC" w:sz="1"/>
              <w:right w:val="single" w:color="CCCCCC" w:sz="1"/>
            </w:tcBorders>
            <w:shd w:fill="1A3C6B"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Analytical Focus</w:t>
            </w:r>
          </w:p>
        </w:tc>
      </w:tr>
      <w:tr>
        <w:tc>
          <w:tcPr>
            <w:tcW w:type="dxa" w:w="93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1</w:t>
            </w:r>
          </w:p>
        </w:tc>
        <w:tc>
          <w:tcPr>
            <w:tcW w:type="dxa" w:w="327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Who are the students?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Population and grade-level distribution</w:t>
            </w:r>
          </w:p>
        </w:tc>
      </w:tr>
      <w:tr>
        <w:tc>
          <w:tcPr>
            <w:tcW w:type="dxa" w:w="93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2</w:t>
            </w:r>
          </w:p>
        </w:tc>
        <w:tc>
          <w:tcPr>
            <w:tcW w:type="dxa" w:w="327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Are they showing up?</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Attendance patterns, monthly trends, subject breakdown</w:t>
            </w:r>
          </w:p>
        </w:tc>
      </w:tr>
      <w:tr>
        <w:tc>
          <w:tcPr>
            <w:tcW w:type="dxa" w:w="93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3</w:t>
            </w:r>
          </w:p>
        </w:tc>
        <w:tc>
          <w:tcPr>
            <w:tcW w:type="dxa" w:w="327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Are they doing their work?</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Homework compliance, guardian signature correlation, grade feedback</w:t>
            </w:r>
          </w:p>
        </w:tc>
      </w:tr>
      <w:tr>
        <w:tc>
          <w:tcPr>
            <w:tcW w:type="dxa" w:w="93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4</w:t>
            </w:r>
          </w:p>
        </w:tc>
        <w:tc>
          <w:tcPr>
            <w:tcW w:type="dxa" w:w="327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Are they performing?</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Exam score distribution, subject and grade-level averages</w:t>
            </w:r>
          </w:p>
        </w:tc>
      </w:tr>
      <w:tr>
        <w:tc>
          <w:tcPr>
            <w:tcW w:type="dxa" w:w="93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5</w:t>
            </w:r>
          </w:p>
        </w:tc>
        <w:tc>
          <w:tcPr>
            <w:tcW w:type="dxa" w:w="327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Are parents in the loop?</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Communication volume, message type split, silent students</w:t>
            </w:r>
          </w:p>
        </w:tc>
      </w:tr>
      <w:tr>
        <w:tc>
          <w:tcPr>
            <w:tcW w:type="dxa" w:w="93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6</w:t>
            </w:r>
          </w:p>
        </w:tc>
        <w:tc>
          <w:tcPr>
            <w:tcW w:type="dxa" w:w="327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At-risk student profile</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Cross-table query: attendance &lt; 20%, score &lt; 60, missed HW &gt; 3</w:t>
            </w:r>
          </w:p>
        </w:tc>
      </w:tr>
    </w:tbl>
    <w:p>
      <w:pPr>
        <w:spacing w:after="100" w:before="100"/>
      </w:pPr>
    </w:p>
    <w:p>
      <w:pPr>
        <w:pStyle w:val="Heading2"/>
        <w:spacing w:after="140" w:before="280"/>
      </w:pPr>
      <w:r>
        <w:rPr>
          <w:rFonts w:ascii="Arial" w:cs="Arial" w:eastAsia="Arial" w:hAnsi="Arial"/>
          <w:b/>
          <w:bCs/>
          <w:color w:val="2E75B6"/>
          <w:sz w:val="26"/>
          <w:szCs w:val="26"/>
        </w:rPr>
        <w:t xml:space="preserve">3.2 Data Quality Issues Identified</w:t>
      </w:r>
    </w:p>
    <w:p>
      <w:pPr>
        <w:spacing w:after="80" w:before="80"/>
      </w:pPr>
      <w:r>
        <w:rPr>
          <w:rFonts w:ascii="Arial" w:cs="Arial" w:eastAsia="Arial" w:hAnsi="Arial"/>
          <w:b w:val="false"/>
          <w:bCs w:val="false"/>
          <w:color w:val="1A1A1A"/>
          <w:sz w:val="22"/>
          <w:szCs w:val="22"/>
        </w:rPr>
        <w:t xml:space="preserve">All issues discovered were flagged in SQL comments and resolved in the Python phase. UPPER() and TRIM() were applied inline during SQL analysis only to ensure query accuracy — no permanent changes were made at this stage.</w:t>
      </w:r>
    </w:p>
    <w:p>
      <w:pPr>
        <w:spacing w:after="100"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CCCCCC" w:sz="1"/>
              <w:left w:val="single" w:color="CCCCCC" w:sz="1"/>
              <w:bottom w:val="single" w:color="CCCCCC" w:sz="1"/>
              <w:right w:val="single" w:color="CCCCCC" w:sz="1"/>
            </w:tcBorders>
            <w:shd w:fill="1A3C6B"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Column</w:t>
            </w:r>
          </w:p>
        </w:tc>
        <w:tc>
          <w:tcPr>
            <w:tcW w:type="dxa" w:w="6240"/>
            <w:tcBorders>
              <w:top w:val="single" w:color="CCCCCC" w:sz="1"/>
              <w:left w:val="single" w:color="CCCCCC" w:sz="1"/>
              <w:bottom w:val="single" w:color="CCCCCC" w:sz="1"/>
              <w:right w:val="single" w:color="CCCCCC" w:sz="1"/>
            </w:tcBorders>
            <w:shd w:fill="1A3C6B"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Issue</w:t>
            </w:r>
          </w:p>
        </w:tc>
      </w:tr>
      <w:tr>
        <w:tc>
          <w:tcPr>
            <w:tcW w:type="dxa" w:w="312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students.Date_of_Birth</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Two coexisting formats: YYYY-MM-DD (10,951 rows) and MM-DD-YYYY (1,205 rows)</w:t>
            </w:r>
          </w:p>
        </w:tc>
      </w:tr>
      <w:tr>
        <w:tc>
          <w:tcPr>
            <w:tcW w:type="dxa" w:w="312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attendance.Attendance_Status</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Inconsistent casing across values, leading whitespace, and typo 'absnt' for 'Absent'</w:t>
            </w:r>
          </w:p>
        </w:tc>
      </w:tr>
      <w:tr>
        <w:tc>
          <w:tcPr>
            <w:tcW w:type="dxa" w:w="312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homework.Status</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Six variant representations mixing emojis (checkmark, X) with text labels</w:t>
            </w:r>
          </w:p>
        </w:tc>
      </w:tr>
      <w:tr>
        <w:tc>
          <w:tcPr>
            <w:tcW w:type="dxa" w:w="312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homework.Guardian_Signature</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Imported as BIT type by SSMS; blank strings treated as a third category instead of NULL</w:t>
            </w:r>
          </w:p>
        </w:tc>
      </w:tr>
      <w:tr>
        <w:tc>
          <w:tcPr>
            <w:tcW w:type="dxa" w:w="312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performance.Homework_Completion_%</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7,376 records contain -5 (logically invalid) and inconsistent % suffix across values</w:t>
            </w:r>
          </w:p>
        </w:tc>
      </w:tr>
    </w:tbl>
    <w:p>
      <w:pPr>
        <w:spacing w:after="100" w:before="100"/>
      </w:pPr>
    </w:p>
    <w:p>
      <w:r>
        <w:br w:type="page"/>
      </w:r>
    </w:p>
    <w:p>
      <w:pPr>
        <w:pStyle w:val="Heading1"/>
        <w:spacing w:after="200" w:before="400"/>
      </w:pPr>
      <w:r>
        <w:rPr>
          <w:rFonts w:ascii="Arial" w:cs="Arial" w:eastAsia="Arial" w:hAnsi="Arial"/>
          <w:b/>
          <w:bCs/>
          <w:color w:val="1A3C6B"/>
          <w:sz w:val="32"/>
          <w:szCs w:val="32"/>
        </w:rPr>
        <w:t xml:space="preserve">4. Phase 2 — Python Cleaning &amp; Feature Engineering</w:t>
      </w:r>
    </w:p>
    <w:p>
      <w:pPr>
        <w:spacing w:after="80" w:before="80"/>
      </w:pPr>
      <w:r>
        <w:rPr>
          <w:rFonts w:ascii="Arial" w:cs="Arial" w:eastAsia="Arial" w:hAnsi="Arial"/>
          <w:b w:val="false"/>
          <w:bCs w:val="false"/>
          <w:color w:val="1A1A1A"/>
          <w:sz w:val="22"/>
          <w:szCs w:val="22"/>
        </w:rPr>
        <w:t xml:space="preserve">The Jupyter Notebook processes all five tables in sequence, resolves every data quality issue flagged in the SQL phase, validates referential integrity across all tables, engineers the features needed for the Power BI dashboard, removes unused columns, and exports five clean CSV files.</w:t>
      </w:r>
    </w:p>
    <w:p>
      <w:pPr>
        <w:spacing w:after="100" w:before="100"/>
      </w:pPr>
    </w:p>
    <w:p>
      <w:pPr>
        <w:pStyle w:val="Heading2"/>
        <w:spacing w:after="140" w:before="280"/>
      </w:pPr>
      <w:r>
        <w:rPr>
          <w:rFonts w:ascii="Arial" w:cs="Arial" w:eastAsia="Arial" w:hAnsi="Arial"/>
          <w:b/>
          <w:bCs/>
          <w:color w:val="2E75B6"/>
          <w:sz w:val="26"/>
          <w:szCs w:val="26"/>
        </w:rPr>
        <w:t xml:space="preserve">4.1 Cleaning 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808"/>
        <w:gridCol w:w="3432"/>
      </w:tblGrid>
      <w:tr>
        <w:tc>
          <w:tcPr>
            <w:tcW w:type="dxa" w:w="3120"/>
            <w:tcBorders>
              <w:top w:val="single" w:color="CCCCCC" w:sz="1"/>
              <w:left w:val="single" w:color="CCCCCC" w:sz="1"/>
              <w:bottom w:val="single" w:color="CCCCCC" w:sz="1"/>
              <w:right w:val="single" w:color="CCCCCC" w:sz="1"/>
            </w:tcBorders>
            <w:shd w:fill="1A3C6B"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Issue</w:t>
            </w:r>
          </w:p>
        </w:tc>
        <w:tc>
          <w:tcPr>
            <w:tcW w:type="dxa" w:w="2808"/>
            <w:tcBorders>
              <w:top w:val="single" w:color="CCCCCC" w:sz="1"/>
              <w:left w:val="single" w:color="CCCCCC" w:sz="1"/>
              <w:bottom w:val="single" w:color="CCCCCC" w:sz="1"/>
              <w:right w:val="single" w:color="CCCCCC" w:sz="1"/>
            </w:tcBorders>
            <w:shd w:fill="1A3C6B"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Decision</w:t>
            </w:r>
          </w:p>
        </w:tc>
        <w:tc>
          <w:tcPr>
            <w:tcW w:type="dxa" w:w="3432"/>
            <w:tcBorders>
              <w:top w:val="single" w:color="CCCCCC" w:sz="1"/>
              <w:left w:val="single" w:color="CCCCCC" w:sz="1"/>
              <w:bottom w:val="single" w:color="CCCCCC" w:sz="1"/>
              <w:right w:val="single" w:color="CCCCCC" w:sz="1"/>
            </w:tcBorders>
            <w:shd w:fill="1A3C6B"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Justification</w:t>
            </w:r>
          </w:p>
        </w:tc>
      </w:tr>
      <w:tr>
        <w:tc>
          <w:tcPr>
            <w:tcW w:type="dxa" w:w="312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Mixed date formats</w:t>
            </w:r>
          </w:p>
        </w:tc>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pd.to_datetime(format='mixed')</w:t>
            </w:r>
          </w:p>
        </w:tc>
        <w:tc>
          <w:tcPr>
            <w:tcW w:type="dxa" w:w="343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Handles both formats without ambiguity</w:t>
            </w:r>
          </w:p>
        </w:tc>
      </w:tr>
      <w:tr>
        <w:tc>
          <w:tcPr>
            <w:tcW w:type="dxa" w:w="312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Attendance casing + typos</w:t>
            </w:r>
          </w:p>
        </w:tc>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str.strip().str.upper() + map</w:t>
            </w:r>
          </w:p>
        </w:tc>
        <w:tc>
          <w:tcPr>
            <w:tcW w:type="dxa" w:w="343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ABSNT merged into ABSENT</w:t>
            </w:r>
          </w:p>
        </w:tc>
      </w:tr>
      <w:tr>
        <w:tc>
          <w:tcPr>
            <w:tcW w:type="dxa" w:w="312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Homework status variants</w:t>
            </w:r>
          </w:p>
        </w:tc>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Set-based function mapping</w:t>
            </w:r>
          </w:p>
        </w:tc>
        <w:tc>
          <w:tcPr>
            <w:tcW w:type="dxa" w:w="343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Done | Not Done | Pending — clean 3-label taxonomy</w:t>
            </w:r>
          </w:p>
        </w:tc>
      </w:tr>
      <w:tr>
        <w:tc>
          <w:tcPr>
            <w:tcW w:type="dxa" w:w="312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Guardian_Signature nulls</w:t>
            </w:r>
          </w:p>
        </w:tc>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fillna(False)</w:t>
            </w:r>
          </w:p>
        </w:tc>
        <w:tc>
          <w:tcPr>
            <w:tcW w:type="dxa" w:w="343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No evidence of sign-off = treat as unsigned (conservative)</w:t>
            </w:r>
          </w:p>
        </w:tc>
      </w:tr>
      <w:tr>
        <w:tc>
          <w:tcPr>
            <w:tcW w:type="dxa" w:w="312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Homework_Completion_% nulls</w:t>
            </w:r>
          </w:p>
        </w:tc>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Per-subject median imputation</w:t>
            </w:r>
          </w:p>
        </w:tc>
        <w:tc>
          <w:tcPr>
            <w:tcW w:type="dxa" w:w="343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Subject medians differ (Arabic 95, English 90) — global mean introduces bias</w:t>
            </w:r>
          </w:p>
        </w:tc>
      </w:tr>
      <w:tr>
        <w:tc>
          <w:tcPr>
            <w:tcW w:type="dxa" w:w="312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Homework_Completion_% = -5</w:t>
            </w:r>
          </w:p>
        </w:tc>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Replace with NaN</w:t>
            </w:r>
          </w:p>
        </w:tc>
        <w:tc>
          <w:tcPr>
            <w:tcW w:type="dxa" w:w="343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Logically invalid — no completion rate can be negative</w:t>
            </w:r>
          </w:p>
        </w:tc>
      </w:tr>
    </w:tbl>
    <w:p>
      <w:pPr>
        <w:spacing w:after="100" w:before="100"/>
      </w:pPr>
    </w:p>
    <w:p>
      <w:pPr>
        <w:pStyle w:val="Heading2"/>
        <w:spacing w:after="140" w:before="280"/>
      </w:pPr>
      <w:r>
        <w:rPr>
          <w:rFonts w:ascii="Arial" w:cs="Arial" w:eastAsia="Arial" w:hAnsi="Arial"/>
          <w:b/>
          <w:bCs/>
          <w:color w:val="2E75B6"/>
          <w:sz w:val="26"/>
          <w:szCs w:val="26"/>
        </w:rPr>
        <w:t xml:space="preserve">4.2 Feature Engineering</w:t>
      </w:r>
    </w:p>
    <w:p>
      <w:pPr>
        <w:spacing w:after="80" w:before="80"/>
      </w:pPr>
      <w:r>
        <w:rPr>
          <w:rFonts w:ascii="Arial" w:cs="Arial" w:eastAsia="Arial" w:hAnsi="Arial"/>
          <w:b w:val="false"/>
          <w:bCs w:val="false"/>
          <w:color w:val="1A1A1A"/>
          <w:sz w:val="22"/>
          <w:szCs w:val="22"/>
        </w:rPr>
        <w:t xml:space="preserve">A student-level summary table (student_summary.csv) was built as the primary fact table for the Power BI dashboard. Each row represents one student and aggregates all behavioral signals.</w:t>
      </w:r>
    </w:p>
    <w:p>
      <w:pPr>
        <w:spacing w:after="100"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340"/>
        <w:gridCol w:w="3900"/>
      </w:tblGrid>
      <w:tr>
        <w:tc>
          <w:tcPr>
            <w:tcW w:type="dxa" w:w="3120"/>
            <w:tcBorders>
              <w:top w:val="single" w:color="CCCCCC" w:sz="1"/>
              <w:left w:val="single" w:color="CCCCCC" w:sz="1"/>
              <w:bottom w:val="single" w:color="CCCCCC" w:sz="1"/>
              <w:right w:val="single" w:color="CCCCCC" w:sz="1"/>
            </w:tcBorders>
            <w:shd w:fill="1A3C6B"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Feature</w:t>
            </w:r>
          </w:p>
        </w:tc>
        <w:tc>
          <w:tcPr>
            <w:tcW w:type="dxa" w:w="2340"/>
            <w:tcBorders>
              <w:top w:val="single" w:color="CCCCCC" w:sz="1"/>
              <w:left w:val="single" w:color="CCCCCC" w:sz="1"/>
              <w:bottom w:val="single" w:color="CCCCCC" w:sz="1"/>
              <w:right w:val="single" w:color="CCCCCC" w:sz="1"/>
            </w:tcBorders>
            <w:shd w:fill="1A3C6B"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Source</w:t>
            </w:r>
          </w:p>
        </w:tc>
        <w:tc>
          <w:tcPr>
            <w:tcW w:type="dxa" w:w="3900"/>
            <w:tcBorders>
              <w:top w:val="single" w:color="CCCCCC" w:sz="1"/>
              <w:left w:val="single" w:color="CCCCCC" w:sz="1"/>
              <w:bottom w:val="single" w:color="CCCCCC" w:sz="1"/>
              <w:right w:val="single" w:color="CCCCCC" w:sz="1"/>
            </w:tcBorders>
            <w:shd w:fill="1A3C6B"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Description</w:t>
            </w:r>
          </w:p>
        </w:tc>
      </w:tr>
      <w:tr>
        <w:tc>
          <w:tcPr>
            <w:tcW w:type="dxa" w:w="312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Attendance_Rate_%</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attendance</w:t>
            </w:r>
          </w:p>
        </w:tc>
        <w:tc>
          <w:tcPr>
            <w:tcW w:type="dxa" w:w="3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 of sessions where status = Present</w:t>
            </w:r>
          </w:p>
        </w:tc>
      </w:tr>
      <w:tr>
        <w:tc>
          <w:tcPr>
            <w:tcW w:type="dxa" w:w="312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HW_Completion_%</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homework</w:t>
            </w:r>
          </w:p>
        </w:tc>
        <w:tc>
          <w:tcPr>
            <w:tcW w:type="dxa" w:w="3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 of assignments with status = Done</w:t>
            </w:r>
          </w:p>
        </w:tc>
      </w:tr>
      <w:tr>
        <w:tc>
          <w:tcPr>
            <w:tcW w:type="dxa" w:w="312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Avg_Exam_Score</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performance</w:t>
            </w:r>
          </w:p>
        </w:tc>
        <w:tc>
          <w:tcPr>
            <w:tcW w:type="dxa" w:w="3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Mean exam score across all subjects</w:t>
            </w:r>
          </w:p>
        </w:tc>
      </w:tr>
      <w:tr>
        <w:tc>
          <w:tcPr>
            <w:tcW w:type="dxa" w:w="312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Missed_Assignments</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homework</w:t>
            </w:r>
          </w:p>
        </w:tc>
        <w:tc>
          <w:tcPr>
            <w:tcW w:type="dxa" w:w="3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Count of Not Done assignments</w:t>
            </w:r>
          </w:p>
        </w:tc>
      </w:tr>
      <w:tr>
        <w:tc>
          <w:tcPr>
            <w:tcW w:type="dxa" w:w="312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Comm_Count</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communication</w:t>
            </w:r>
          </w:p>
        </w:tc>
        <w:tc>
          <w:tcPr>
            <w:tcW w:type="dxa" w:w="3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Total parent-teacher messages for this student</w:t>
            </w:r>
          </w:p>
        </w:tc>
      </w:tr>
      <w:tr>
        <w:tc>
          <w:tcPr>
            <w:tcW w:type="dxa" w:w="312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Has_Communication</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derived</w:t>
            </w:r>
          </w:p>
        </w:tc>
        <w:tc>
          <w:tcPr>
            <w:tcW w:type="dxa" w:w="3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Boolean — True if Comm_Count &gt; 0</w:t>
            </w:r>
          </w:p>
        </w:tc>
      </w:tr>
      <w:tr>
        <w:tc>
          <w:tcPr>
            <w:tcW w:type="dxa" w:w="312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Is_At_Risk</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derived</w:t>
            </w:r>
          </w:p>
        </w:tc>
        <w:tc>
          <w:tcPr>
            <w:tcW w:type="dxa" w:w="3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True if Attendance &lt; 20% AND Score &lt; 60 AND Missed &gt; 3</w:t>
            </w:r>
          </w:p>
        </w:tc>
      </w:tr>
      <w:tr>
        <w:tc>
          <w:tcPr>
            <w:tcW w:type="dxa" w:w="312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Score_Band</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derived</w:t>
            </w:r>
          </w:p>
        </w:tc>
        <w:tc>
          <w:tcPr>
            <w:tcW w:type="dxa" w:w="3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Failing / Average / Good / Excellent based on Avg_Exam_Score</w:t>
            </w:r>
          </w:p>
        </w:tc>
      </w:tr>
      <w:tr>
        <w:tc>
          <w:tcPr>
            <w:tcW w:type="dxa" w:w="312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Grade_Num</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students</w:t>
            </w:r>
          </w:p>
        </w:tc>
        <w:tc>
          <w:tcPr>
            <w:tcW w:type="dxa" w:w="3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Ordinal integer (1–5) for Power BI grade sorting</w:t>
            </w:r>
          </w:p>
        </w:tc>
      </w:tr>
    </w:tbl>
    <w:p>
      <w:pPr>
        <w:spacing w:after="100" w:before="100"/>
      </w:pPr>
    </w:p>
    <w:p>
      <w:pPr>
        <w:pStyle w:val="Heading2"/>
        <w:spacing w:after="140" w:before="280"/>
      </w:pPr>
      <w:r>
        <w:rPr>
          <w:rFonts w:ascii="Arial" w:cs="Arial" w:eastAsia="Arial" w:hAnsi="Arial"/>
          <w:b/>
          <w:bCs/>
          <w:color w:val="2E75B6"/>
          <w:sz w:val="26"/>
          <w:szCs w:val="26"/>
        </w:rPr>
        <w:t xml:space="preserve">4.3 Columns Removed</w:t>
      </w:r>
    </w:p>
    <w:p>
      <w:pPr>
        <w:spacing w:after="80" w:before="80"/>
      </w:pPr>
      <w:r>
        <w:rPr>
          <w:rFonts w:ascii="Arial" w:cs="Arial" w:eastAsia="Arial" w:hAnsi="Arial"/>
          <w:b w:val="false"/>
          <w:bCs w:val="false"/>
          <w:color w:val="1A1A1A"/>
          <w:sz w:val="22"/>
          <w:szCs w:val="22"/>
        </w:rPr>
        <w:t xml:space="preserve">Columns not required by any dashboard page were dropped before export to reduce file size and avoid exposing unnecessary data.</w:t>
      </w:r>
    </w:p>
    <w:p>
      <w:pPr>
        <w:spacing w:after="100"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2808"/>
        <w:gridCol w:w="3744"/>
      </w:tblGrid>
      <w:tr>
        <w:tc>
          <w:tcPr>
            <w:tcW w:type="dxa" w:w="2808"/>
            <w:tcBorders>
              <w:top w:val="single" w:color="CCCCCC" w:sz="1"/>
              <w:left w:val="single" w:color="CCCCCC" w:sz="1"/>
              <w:bottom w:val="single" w:color="CCCCCC" w:sz="1"/>
              <w:right w:val="single" w:color="CCCCCC" w:sz="1"/>
            </w:tcBorders>
            <w:shd w:fill="1A3C6B"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Table</w:t>
            </w:r>
          </w:p>
        </w:tc>
        <w:tc>
          <w:tcPr>
            <w:tcW w:type="dxa" w:w="2808"/>
            <w:tcBorders>
              <w:top w:val="single" w:color="CCCCCC" w:sz="1"/>
              <w:left w:val="single" w:color="CCCCCC" w:sz="1"/>
              <w:bottom w:val="single" w:color="CCCCCC" w:sz="1"/>
              <w:right w:val="single" w:color="CCCCCC" w:sz="1"/>
            </w:tcBorders>
            <w:shd w:fill="1A3C6B"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Column</w:t>
            </w:r>
          </w:p>
        </w:tc>
        <w:tc>
          <w:tcPr>
            <w:tcW w:type="dxa" w:w="3744"/>
            <w:tcBorders>
              <w:top w:val="single" w:color="CCCCCC" w:sz="1"/>
              <w:left w:val="single" w:color="CCCCCC" w:sz="1"/>
              <w:bottom w:val="single" w:color="CCCCCC" w:sz="1"/>
              <w:right w:val="single" w:color="CCCCCC" w:sz="1"/>
            </w:tcBorders>
            <w:shd w:fill="1A3C6B"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Reason</w:t>
            </w:r>
          </w:p>
        </w:tc>
      </w:tr>
      <w:tr>
        <w:tc>
          <w:tcPr>
            <w:tcW w:type="dxa" w:w="2808"/>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students</w:t>
            </w:r>
          </w:p>
        </w:tc>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Emergency_Contact</w:t>
            </w:r>
          </w:p>
        </w:tc>
        <w:tc>
          <w:tcPr>
            <w:tcW w:type="dxa" w:w="374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Not used in any dashboard page</w:t>
            </w:r>
          </w:p>
        </w:tc>
      </w:tr>
      <w:tr>
        <w:tc>
          <w:tcPr>
            <w:tcW w:type="dxa" w:w="2808"/>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students</w:t>
            </w:r>
          </w:p>
        </w:tc>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Date_of_Birth</w:t>
            </w:r>
          </w:p>
        </w:tc>
        <w:tc>
          <w:tcPr>
            <w:tcW w:type="dxa" w:w="374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Replaced by derived Age column</w:t>
            </w:r>
          </w:p>
        </w:tc>
      </w:tr>
      <w:tr>
        <w:tc>
          <w:tcPr>
            <w:tcW w:type="dxa" w:w="2808"/>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attendance</w:t>
            </w:r>
          </w:p>
        </w:tc>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Year</w:t>
            </w:r>
          </w:p>
        </w:tc>
        <w:tc>
          <w:tcPr>
            <w:tcW w:type="dxa" w:w="374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Month already contains year and month information</w:t>
            </w:r>
          </w:p>
        </w:tc>
      </w:tr>
      <w:tr>
        <w:tc>
          <w:tcPr>
            <w:tcW w:type="dxa" w:w="2808"/>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homework</w:t>
            </w:r>
          </w:p>
        </w:tc>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Assignment_Name</w:t>
            </w:r>
          </w:p>
        </w:tc>
        <w:tc>
          <w:tcPr>
            <w:tcW w:type="dxa" w:w="374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Too granular for any dashboard visual</w:t>
            </w:r>
          </w:p>
        </w:tc>
      </w:tr>
      <w:tr>
        <w:tc>
          <w:tcPr>
            <w:tcW w:type="dxa" w:w="2808"/>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performance</w:t>
            </w:r>
          </w:p>
        </w:tc>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Teacher_Comments</w:t>
            </w:r>
          </w:p>
        </w:tc>
        <w:tc>
          <w:tcPr>
            <w:tcW w:type="dxa" w:w="374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Free text — not usable in visual analytics</w:t>
            </w:r>
          </w:p>
        </w:tc>
      </w:tr>
      <w:tr>
        <w:tc>
          <w:tcPr>
            <w:tcW w:type="dxa" w:w="2808"/>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communication</w:t>
            </w:r>
          </w:p>
        </w:tc>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Message_Content</w:t>
            </w:r>
          </w:p>
        </w:tc>
        <w:tc>
          <w:tcPr>
            <w:tcW w:type="dxa" w:w="374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Free text — not usable in visual analytics</w:t>
            </w:r>
          </w:p>
        </w:tc>
      </w:tr>
    </w:tbl>
    <w:p>
      <w:pPr>
        <w:spacing w:after="100" w:before="100"/>
      </w:pPr>
    </w:p>
    <w:p>
      <w:r>
        <w:br w:type="page"/>
      </w:r>
    </w:p>
    <w:p>
      <w:pPr>
        <w:pStyle w:val="Heading1"/>
        <w:spacing w:after="200" w:before="400"/>
      </w:pPr>
      <w:r>
        <w:rPr>
          <w:rFonts w:ascii="Arial" w:cs="Arial" w:eastAsia="Arial" w:hAnsi="Arial"/>
          <w:b/>
          <w:bCs/>
          <w:color w:val="1A3C6B"/>
          <w:sz w:val="32"/>
          <w:szCs w:val="32"/>
        </w:rPr>
        <w:t xml:space="preserve">5. Phase 3 — Power BI Dashboard</w:t>
      </w:r>
    </w:p>
    <w:p>
      <w:pPr>
        <w:spacing w:after="80" w:before="80"/>
      </w:pPr>
      <w:r>
        <w:rPr>
          <w:rFonts w:ascii="Arial" w:cs="Arial" w:eastAsia="Arial" w:hAnsi="Arial"/>
          <w:b w:val="false"/>
          <w:bCs w:val="false"/>
          <w:color w:val="1A1A1A"/>
          <w:sz w:val="22"/>
          <w:szCs w:val="22"/>
        </w:rPr>
        <w:t xml:space="preserve">The dashboard consists of six thematic pages, each answering a distinct analytical question. All pages share a consistent design language with Quick Navigation buttons for cross-page movement and a Grade Level slicer for filtering.</w:t>
      </w:r>
    </w:p>
    <w:p>
      <w:pPr>
        <w:spacing w:after="100" w:before="100"/>
      </w:pPr>
    </w:p>
    <w:p>
      <w:pPr>
        <w:pStyle w:val="Heading2"/>
        <w:spacing w:after="140" w:before="280"/>
      </w:pPr>
      <w:r>
        <w:rPr>
          <w:rFonts w:ascii="Arial" w:cs="Arial" w:eastAsia="Arial" w:hAnsi="Arial"/>
          <w:b/>
          <w:bCs/>
          <w:color w:val="2E75B6"/>
          <w:sz w:val="26"/>
          <w:szCs w:val="26"/>
        </w:rPr>
        <w:t xml:space="preserve">5.1 Page 1 — Executive Summary</w:t>
      </w:r>
    </w:p>
    <w:p>
      <w:pPr>
        <w:spacing w:after="80" w:before="80"/>
      </w:pPr>
      <w:r>
        <w:rPr>
          <w:rFonts w:ascii="Arial" w:cs="Arial" w:eastAsia="Arial" w:hAnsi="Arial"/>
          <w:b w:val="false"/>
          <w:bCs w:val="false"/>
          <w:color w:val="1A1A1A"/>
          <w:sz w:val="22"/>
          <w:szCs w:val="22"/>
        </w:rPr>
        <w:t xml:space="preserve">Provides a school-level health overview. KPI cards show Total Enrollment, Average Academic Score, High-Risk Cohort count, Attendance Rate, and Homework Completion Rate. A donut chart breaks down the score band distribution and a bar chart shows at-risk count by grade. A monthly attendance trend line closes the page.</w:t>
      </w:r>
    </w:p>
    <w:p>
      <w:pPr>
        <w:spacing w:after="100" w:before="100"/>
      </w:pPr>
    </w:p>
    <w:p>
      <w:pPr>
        <w:pStyle w:val="Heading2"/>
        <w:spacing w:after="140" w:before="280"/>
      </w:pPr>
      <w:r>
        <w:rPr>
          <w:rFonts w:ascii="Arial" w:cs="Arial" w:eastAsia="Arial" w:hAnsi="Arial"/>
          <w:b/>
          <w:bCs/>
          <w:color w:val="2E75B6"/>
          <w:sz w:val="26"/>
          <w:szCs w:val="26"/>
        </w:rPr>
        <w:t xml:space="preserve">5.2 Page 2 — Attendance Analysis</w:t>
      </w:r>
    </w:p>
    <w:p>
      <w:pPr>
        <w:spacing w:after="80" w:before="80"/>
      </w:pPr>
      <w:r>
        <w:rPr>
          <w:rFonts w:ascii="Arial" w:cs="Arial" w:eastAsia="Arial" w:hAnsi="Arial"/>
          <w:b w:val="false"/>
          <w:bCs w:val="false"/>
          <w:color w:val="1A1A1A"/>
          <w:sz w:val="22"/>
          <w:szCs w:val="22"/>
        </w:rPr>
        <w:t xml:space="preserve">Breaks down all five attendance statuses (Present, Absent, Late, Left Early, Excused) at the subject and grade level. Charts include a stacked bar showing status distribution by subject, a bar showing average attendance by grade, and an absence and tardiness breakdown by subject. Date range slider enables time-based filtering.</w:t>
      </w:r>
    </w:p>
    <w:p>
      <w:pPr>
        <w:spacing w:after="100" w:before="100"/>
      </w:pPr>
    </w:p>
    <w:p>
      <w:pPr>
        <w:pStyle w:val="Heading2"/>
        <w:spacing w:after="140" w:before="280"/>
      </w:pPr>
      <w:r>
        <w:rPr>
          <w:rFonts w:ascii="Arial" w:cs="Arial" w:eastAsia="Arial" w:hAnsi="Arial"/>
          <w:b/>
          <w:bCs/>
          <w:color w:val="2E75B6"/>
          <w:sz w:val="26"/>
          <w:szCs w:val="26"/>
        </w:rPr>
        <w:t xml:space="preserve">5.3 Page 3 — Homework &amp; Engagement</w:t>
      </w:r>
    </w:p>
    <w:p>
      <w:pPr>
        <w:spacing w:after="80" w:before="80"/>
      </w:pPr>
      <w:r>
        <w:rPr>
          <w:rFonts w:ascii="Arial" w:cs="Arial" w:eastAsia="Arial" w:hAnsi="Arial"/>
          <w:b w:val="false"/>
          <w:bCs w:val="false"/>
          <w:color w:val="1A1A1A"/>
          <w:sz w:val="22"/>
          <w:szCs w:val="22"/>
        </w:rPr>
        <w:t xml:space="preserve">Focuses on student effort. KPIs show Pending Rate, Missed Assignments Rate, and Completion Rate. Two donuts show overall completion status and completion rate per subject. A horizontal bar ranks grade feedback distribution from A+ to C-.</w:t>
      </w:r>
    </w:p>
    <w:p>
      <w:pPr>
        <w:spacing w:after="100" w:before="100"/>
      </w:pPr>
    </w:p>
    <w:p>
      <w:pPr>
        <w:pStyle w:val="Heading2"/>
        <w:spacing w:after="140" w:before="280"/>
      </w:pPr>
      <w:r>
        <w:rPr>
          <w:rFonts w:ascii="Arial" w:cs="Arial" w:eastAsia="Arial" w:hAnsi="Arial"/>
          <w:b/>
          <w:bCs/>
          <w:color w:val="2E75B6"/>
          <w:sz w:val="26"/>
          <w:szCs w:val="26"/>
        </w:rPr>
        <w:t xml:space="preserve">5.4 Page 4 — Academic Performance</w:t>
      </w:r>
    </w:p>
    <w:p>
      <w:pPr>
        <w:spacing w:after="80" w:before="80"/>
      </w:pPr>
      <w:r>
        <w:rPr>
          <w:rFonts w:ascii="Arial" w:cs="Arial" w:eastAsia="Arial" w:hAnsi="Arial"/>
          <w:b w:val="false"/>
          <w:bCs w:val="false"/>
          <w:color w:val="1A1A1A"/>
          <w:sz w:val="22"/>
          <w:szCs w:val="22"/>
        </w:rPr>
        <w:t xml:space="preserve">Examines exam results. KPIs show score range (40–110), High Achievers percentage, Failing Rate, and Average Score. A bar chart ranks students by performance band. Average score is shown by both subject and grade level. A histogram displays the full score distribution in bins.</w:t>
      </w:r>
    </w:p>
    <w:p>
      <w:pPr>
        <w:spacing w:after="100" w:before="100"/>
      </w:pPr>
    </w:p>
    <w:p>
      <w:pPr>
        <w:pStyle w:val="Heading2"/>
        <w:spacing w:after="140" w:before="280"/>
      </w:pPr>
      <w:r>
        <w:rPr>
          <w:rFonts w:ascii="Arial" w:cs="Arial" w:eastAsia="Arial" w:hAnsi="Arial"/>
          <w:b/>
          <w:bCs/>
          <w:color w:val="2E75B6"/>
          <w:sz w:val="26"/>
          <w:szCs w:val="26"/>
        </w:rPr>
        <w:t xml:space="preserve">5.5 Page 5 — Parent Communication</w:t>
      </w:r>
    </w:p>
    <w:p>
      <w:pPr>
        <w:spacing w:after="80" w:before="80"/>
      </w:pPr>
      <w:r>
        <w:rPr>
          <w:rFonts w:ascii="Arial" w:cs="Arial" w:eastAsia="Arial" w:hAnsi="Arial"/>
          <w:b w:val="false"/>
          <w:bCs w:val="false"/>
          <w:color w:val="1A1A1A"/>
          <w:sz w:val="22"/>
          <w:szCs w:val="22"/>
        </w:rPr>
        <w:t xml:space="preserve">Analyzes the school's communication coverage and behavior. KPIs show total Communication Volume and Silent Students count. A donut breaks down message types (Teacher to Parent, Parent to Teacher, Automated Reminder). A bar shows silent student distribution by grade. A multi-line trend tracks daily communication volume across all three message types.</w:t>
      </w:r>
    </w:p>
    <w:p>
      <w:pPr>
        <w:spacing w:after="100" w:before="100"/>
      </w:pPr>
    </w:p>
    <w:p>
      <w:pPr>
        <w:pStyle w:val="Heading2"/>
        <w:spacing w:after="140" w:before="280"/>
      </w:pPr>
      <w:r>
        <w:rPr>
          <w:rFonts w:ascii="Arial" w:cs="Arial" w:eastAsia="Arial" w:hAnsi="Arial"/>
          <w:b/>
          <w:bCs/>
          <w:color w:val="2E75B6"/>
          <w:sz w:val="26"/>
          <w:szCs w:val="26"/>
        </w:rPr>
        <w:t xml:space="preserve">5.6 Page 6 — At-Risk Intervention</w:t>
      </w:r>
    </w:p>
    <w:p>
      <w:pPr>
        <w:spacing w:after="80" w:before="80"/>
      </w:pPr>
      <w:r>
        <w:rPr>
          <w:rFonts w:ascii="Arial" w:cs="Arial" w:eastAsia="Arial" w:hAnsi="Arial"/>
          <w:b w:val="false"/>
          <w:bCs w:val="false"/>
          <w:color w:val="1A1A1A"/>
          <w:sz w:val="22"/>
          <w:szCs w:val="22"/>
        </w:rPr>
        <w:t xml:space="preserve">The action page. KPIs show the at-risk cohort's average score, average attendance, at-risk percentage, and total count. A scatter plot maps every student by Attendance Rate versus Exam Score, colored by at-risk status. A full student-level table lists each at-risk student with all relevant metrics for direct intervention prioritization.</w:t>
      </w:r>
    </w:p>
    <w:p>
      <w:pPr>
        <w:spacing w:after="100" w:before="100"/>
      </w:pPr>
    </w:p>
    <w:p>
      <w:r>
        <w:br w:type="page"/>
      </w:r>
    </w:p>
    <w:p>
      <w:pPr>
        <w:pStyle w:val="Heading1"/>
        <w:spacing w:after="200" w:before="400"/>
      </w:pPr>
      <w:r>
        <w:rPr>
          <w:rFonts w:ascii="Arial" w:cs="Arial" w:eastAsia="Arial" w:hAnsi="Arial"/>
          <w:b/>
          <w:bCs/>
          <w:color w:val="1A3C6B"/>
          <w:sz w:val="32"/>
          <w:szCs w:val="32"/>
        </w:rPr>
        <w:t xml:space="preserve">6. Key Findings</w:t>
      </w:r>
    </w:p>
    <w:p>
      <w:pPr>
        <w:pStyle w:val="Heading2"/>
        <w:spacing w:after="140" w:before="280"/>
      </w:pPr>
      <w:r>
        <w:rPr>
          <w:rFonts w:ascii="Arial" w:cs="Arial" w:eastAsia="Arial" w:hAnsi="Arial"/>
          <w:b/>
          <w:bCs/>
          <w:color w:val="2E75B6"/>
          <w:sz w:val="26"/>
          <w:szCs w:val="26"/>
        </w:rPr>
        <w:t xml:space="preserve">6.1 Student Population</w:t>
      </w:r>
    </w:p>
    <w:p>
      <w:pPr>
        <w:pStyle w:val="ListParagraph"/>
        <w:numPr>
          <w:ilvl w:val="0"/>
          <w:numId w:val="2"/>
        </w:numPr>
        <w:spacing w:after="60" w:before="60"/>
      </w:pPr>
      <w:r>
        <w:rPr>
          <w:rFonts w:ascii="Arial" w:cs="Arial" w:eastAsia="Arial" w:hAnsi="Arial"/>
          <w:color w:val="1A1A1A"/>
          <w:sz w:val="22"/>
          <w:szCs w:val="22"/>
        </w:rPr>
        <w:t xml:space="preserve">12,156 students are distributed near-equally across five grade levels, each holding approximately 20% of the total population.</w:t>
      </w:r>
    </w:p>
    <w:p>
      <w:pPr>
        <w:pStyle w:val="ListParagraph"/>
        <w:numPr>
          <w:ilvl w:val="0"/>
          <w:numId w:val="2"/>
        </w:numPr>
        <w:spacing w:after="60" w:before="60"/>
      </w:pPr>
      <w:r>
        <w:rPr>
          <w:rFonts w:ascii="Arial" w:cs="Arial" w:eastAsia="Arial" w:hAnsi="Arial"/>
          <w:color w:val="1A1A1A"/>
          <w:sz w:val="22"/>
          <w:szCs w:val="22"/>
        </w:rPr>
        <w:t xml:space="preserve">The balanced distribution means performance differences across grades reflect genuine behavioral or instructional variance, not sampling imbalance.</w:t>
      </w:r>
    </w:p>
    <w:p>
      <w:pPr>
        <w:spacing w:after="100" w:before="100"/>
      </w:pPr>
    </w:p>
    <w:p>
      <w:pPr>
        <w:pStyle w:val="Heading2"/>
        <w:spacing w:after="140" w:before="280"/>
      </w:pPr>
      <w:r>
        <w:rPr>
          <w:rFonts w:ascii="Arial" w:cs="Arial" w:eastAsia="Arial" w:hAnsi="Arial"/>
          <w:b/>
          <w:bCs/>
          <w:color w:val="2E75B6"/>
          <w:sz w:val="26"/>
          <w:szCs w:val="26"/>
        </w:rPr>
        <w:t xml:space="preserve">6.2 Attendance</w:t>
      </w:r>
    </w:p>
    <w:p>
      <w:pPr>
        <w:pStyle w:val="ListParagraph"/>
        <w:numPr>
          <w:ilvl w:val="0"/>
          <w:numId w:val="2"/>
        </w:numPr>
        <w:spacing w:after="60" w:before="60"/>
      </w:pPr>
      <w:r>
        <w:rPr>
          <w:rFonts w:ascii="Arial" w:cs="Arial" w:eastAsia="Arial" w:hAnsi="Arial"/>
          <w:color w:val="1A1A1A"/>
          <w:sz w:val="22"/>
          <w:szCs w:val="22"/>
        </w:rPr>
        <w:t xml:space="preserve">Only 25.12% of all attendance records are marked Present — students are physically present in roughly 1 in 4 tracked sessions.</w:t>
      </w:r>
    </w:p>
    <w:p>
      <w:pPr>
        <w:pStyle w:val="ListParagraph"/>
        <w:numPr>
          <w:ilvl w:val="0"/>
          <w:numId w:val="2"/>
        </w:numPr>
        <w:spacing w:after="60" w:before="60"/>
      </w:pPr>
      <w:r>
        <w:rPr>
          <w:rFonts w:ascii="Arial" w:cs="Arial" w:eastAsia="Arial" w:hAnsi="Arial"/>
          <w:color w:val="1A1A1A"/>
          <w:sz w:val="22"/>
          <w:szCs w:val="22"/>
        </w:rPr>
        <w:t xml:space="preserve">Late arrivals account for an additional 24.96% of records, making tardiness as common as full absence.</w:t>
      </w:r>
    </w:p>
    <w:p>
      <w:pPr>
        <w:pStyle w:val="ListParagraph"/>
        <w:numPr>
          <w:ilvl w:val="0"/>
          <w:numId w:val="2"/>
        </w:numPr>
        <w:spacing w:after="60" w:before="60"/>
      </w:pPr>
      <w:r>
        <w:rPr>
          <w:rFonts w:ascii="Arial" w:cs="Arial" w:eastAsia="Arial" w:hAnsi="Arial"/>
          <w:color w:val="1A1A1A"/>
          <w:sz w:val="22"/>
          <w:szCs w:val="22"/>
        </w:rPr>
        <w:t xml:space="preserve">Absent and ABSNT (a typo variant) together account for ~25% of records. These were unified during the Python cleaning phase.</w:t>
      </w:r>
    </w:p>
    <w:p>
      <w:pPr>
        <w:pStyle w:val="ListParagraph"/>
        <w:numPr>
          <w:ilvl w:val="0"/>
          <w:numId w:val="2"/>
        </w:numPr>
        <w:spacing w:after="60" w:before="60"/>
      </w:pPr>
      <w:r>
        <w:rPr>
          <w:rFonts w:ascii="Arial" w:cs="Arial" w:eastAsia="Arial" w:hAnsi="Arial"/>
          <w:color w:val="1A1A1A"/>
          <w:sz w:val="22"/>
          <w:szCs w:val="22"/>
        </w:rPr>
        <w:t xml:space="preserve">No significant difference in attendance rates exists across grade levels or subjects — absence is general, not subject-specific.</w:t>
      </w:r>
    </w:p>
    <w:p>
      <w:pPr>
        <w:spacing w:after="100" w:before="100"/>
      </w:pPr>
    </w:p>
    <w:p>
      <w:pPr>
        <w:pStyle w:val="Heading2"/>
        <w:spacing w:after="140" w:before="280"/>
      </w:pPr>
      <w:r>
        <w:rPr>
          <w:rFonts w:ascii="Arial" w:cs="Arial" w:eastAsia="Arial" w:hAnsi="Arial"/>
          <w:b/>
          <w:bCs/>
          <w:color w:val="2E75B6"/>
          <w:sz w:val="26"/>
          <w:szCs w:val="26"/>
        </w:rPr>
        <w:t xml:space="preserve">6.3 Homework</w:t>
      </w:r>
    </w:p>
    <w:p>
      <w:pPr>
        <w:pStyle w:val="ListParagraph"/>
        <w:numPr>
          <w:ilvl w:val="0"/>
          <w:numId w:val="2"/>
        </w:numPr>
        <w:spacing w:after="60" w:before="60"/>
      </w:pPr>
      <w:r>
        <w:rPr>
          <w:rFonts w:ascii="Arial" w:cs="Arial" w:eastAsia="Arial" w:hAnsi="Arial"/>
          <w:color w:val="1A1A1A"/>
          <w:sz w:val="22"/>
          <w:szCs w:val="22"/>
        </w:rPr>
        <w:t xml:space="preserve">Overall homework completion rate is 49.99%. Approximately 1 in 3 assignments is not completed.</w:t>
      </w:r>
    </w:p>
    <w:p>
      <w:pPr>
        <w:pStyle w:val="ListParagraph"/>
        <w:numPr>
          <w:ilvl w:val="0"/>
          <w:numId w:val="2"/>
        </w:numPr>
        <w:spacing w:after="60" w:before="60"/>
      </w:pPr>
      <w:r>
        <w:rPr>
          <w:rFonts w:ascii="Arial" w:cs="Arial" w:eastAsia="Arial" w:hAnsi="Arial"/>
          <w:color w:val="1A1A1A"/>
          <w:sz w:val="22"/>
          <w:szCs w:val="22"/>
        </w:rPr>
        <w:t xml:space="preserve">Science has the lowest completion rate (49.51%). Geography is highest (50.45%). The spread is narrow across subjects.</w:t>
      </w:r>
    </w:p>
    <w:p>
      <w:pPr>
        <w:pStyle w:val="ListParagraph"/>
        <w:numPr>
          <w:ilvl w:val="0"/>
          <w:numId w:val="2"/>
        </w:numPr>
        <w:spacing w:after="60" w:before="60"/>
      </w:pPr>
      <w:r>
        <w:rPr>
          <w:rFonts w:ascii="Arial" w:cs="Arial" w:eastAsia="Arial" w:hAnsi="Arial"/>
          <w:color w:val="1A1A1A"/>
          <w:sz w:val="22"/>
          <w:szCs w:val="22"/>
        </w:rPr>
        <w:t xml:space="preserve">Grade feedback is uniformly distributed across all eight grade bands (A+ through C-), each at approximately 12.5%.</w:t>
      </w:r>
    </w:p>
    <w:p>
      <w:pPr>
        <w:spacing w:after="100" w:before="100"/>
      </w:pPr>
    </w:p>
    <w:p>
      <w:pPr>
        <w:pStyle w:val="Heading2"/>
        <w:spacing w:after="140" w:before="280"/>
      </w:pPr>
      <w:r>
        <w:rPr>
          <w:rFonts w:ascii="Arial" w:cs="Arial" w:eastAsia="Arial" w:hAnsi="Arial"/>
          <w:b/>
          <w:bCs/>
          <w:color w:val="2E75B6"/>
          <w:sz w:val="26"/>
          <w:szCs w:val="26"/>
        </w:rPr>
        <w:t xml:space="preserve">6.4 Academic Performance</w:t>
      </w:r>
    </w:p>
    <w:p>
      <w:pPr>
        <w:pStyle w:val="ListParagraph"/>
        <w:numPr>
          <w:ilvl w:val="0"/>
          <w:numId w:val="2"/>
        </w:numPr>
        <w:spacing w:after="60" w:before="60"/>
      </w:pPr>
      <w:r>
        <w:rPr>
          <w:rFonts w:ascii="Arial" w:cs="Arial" w:eastAsia="Arial" w:hAnsi="Arial"/>
          <w:color w:val="1A1A1A"/>
          <w:sz w:val="22"/>
          <w:szCs w:val="22"/>
        </w:rPr>
        <w:t xml:space="preserve">The school-wide average exam score is 74.96 across a valid range of 40 to 110.</w:t>
      </w:r>
    </w:p>
    <w:p>
      <w:pPr>
        <w:pStyle w:val="ListParagraph"/>
        <w:numPr>
          <w:ilvl w:val="0"/>
          <w:numId w:val="2"/>
        </w:numPr>
        <w:spacing w:after="60" w:before="60"/>
      </w:pPr>
      <w:r>
        <w:rPr>
          <w:rFonts w:ascii="Arial" w:cs="Arial" w:eastAsia="Arial" w:hAnsi="Arial"/>
          <w:color w:val="1A1A1A"/>
          <w:sz w:val="22"/>
          <w:szCs w:val="22"/>
        </w:rPr>
        <w:t xml:space="preserve">12.87% of students are classified as High Achievers. The failing rate stands at 12.41%.</w:t>
      </w:r>
    </w:p>
    <w:p>
      <w:pPr>
        <w:pStyle w:val="ListParagraph"/>
        <w:numPr>
          <w:ilvl w:val="0"/>
          <w:numId w:val="2"/>
        </w:numPr>
        <w:spacing w:after="60" w:before="60"/>
      </w:pPr>
      <w:r>
        <w:rPr>
          <w:rFonts w:ascii="Arial" w:cs="Arial" w:eastAsia="Arial" w:hAnsi="Arial"/>
          <w:color w:val="1A1A1A"/>
          <w:sz w:val="22"/>
          <w:szCs w:val="22"/>
        </w:rPr>
        <w:t xml:space="preserve">Average scores are nearly identical across all subjects (range: 69.85 to 70.25) and across all grade levels (range: 69.81 to 70.24).</w:t>
      </w:r>
    </w:p>
    <w:p>
      <w:pPr>
        <w:spacing w:after="100" w:before="100"/>
      </w:pPr>
    </w:p>
    <w:p>
      <w:pPr>
        <w:pStyle w:val="Heading2"/>
        <w:spacing w:after="140" w:before="280"/>
      </w:pPr>
      <w:r>
        <w:rPr>
          <w:rFonts w:ascii="Arial" w:cs="Arial" w:eastAsia="Arial" w:hAnsi="Arial"/>
          <w:b/>
          <w:bCs/>
          <w:color w:val="2E75B6"/>
          <w:sz w:val="26"/>
          <w:szCs w:val="26"/>
        </w:rPr>
        <w:t xml:space="preserve">6.5 Parent Communication</w:t>
      </w:r>
    </w:p>
    <w:p>
      <w:pPr>
        <w:pStyle w:val="ListParagraph"/>
        <w:numPr>
          <w:ilvl w:val="0"/>
          <w:numId w:val="2"/>
        </w:numPr>
        <w:spacing w:after="60" w:before="60"/>
      </w:pPr>
      <w:r>
        <w:rPr>
          <w:rFonts w:ascii="Arial" w:cs="Arial" w:eastAsia="Arial" w:hAnsi="Arial"/>
          <w:color w:val="1A1A1A"/>
          <w:sz w:val="22"/>
          <w:szCs w:val="22"/>
        </w:rPr>
        <w:t xml:space="preserve">1,644 students (13.5% of the school) have zero parent communication records across the full year.</w:t>
      </w:r>
    </w:p>
    <w:p>
      <w:pPr>
        <w:pStyle w:val="ListParagraph"/>
        <w:numPr>
          <w:ilvl w:val="0"/>
          <w:numId w:val="2"/>
        </w:numPr>
        <w:spacing w:after="60" w:before="60"/>
      </w:pPr>
      <w:r>
        <w:rPr>
          <w:rFonts w:ascii="Arial" w:cs="Arial" w:eastAsia="Arial" w:hAnsi="Arial"/>
          <w:color w:val="1A1A1A"/>
          <w:sz w:val="22"/>
          <w:szCs w:val="22"/>
        </w:rPr>
        <w:t xml:space="preserve">Grade 1 has the highest silent student rate at 14.73% — the most critical finding in this chapter given the age and dependency of these students.</w:t>
      </w:r>
    </w:p>
    <w:p>
      <w:pPr>
        <w:pStyle w:val="ListParagraph"/>
        <w:numPr>
          <w:ilvl w:val="0"/>
          <w:numId w:val="2"/>
        </w:numPr>
        <w:spacing w:after="60" w:before="60"/>
      </w:pPr>
      <w:r>
        <w:rPr>
          <w:rFonts w:ascii="Arial" w:cs="Arial" w:eastAsia="Arial" w:hAnsi="Arial"/>
          <w:color w:val="1A1A1A"/>
          <w:sz w:val="22"/>
          <w:szCs w:val="22"/>
        </w:rPr>
        <w:t xml:space="preserve">Communication peaks in December and January, consistent with exam season behavior. March 2025 data is a partial month.</w:t>
      </w:r>
    </w:p>
    <w:p>
      <w:pPr>
        <w:pStyle w:val="ListParagraph"/>
        <w:numPr>
          <w:ilvl w:val="0"/>
          <w:numId w:val="2"/>
        </w:numPr>
        <w:spacing w:after="60" w:before="60"/>
      </w:pPr>
      <w:r>
        <w:rPr>
          <w:rFonts w:ascii="Arial" w:cs="Arial" w:eastAsia="Arial" w:hAnsi="Arial"/>
          <w:color w:val="1A1A1A"/>
          <w:sz w:val="22"/>
          <w:szCs w:val="22"/>
        </w:rPr>
        <w:t xml:space="preserve">Students with active communication score only marginally different from silent students (69.90 vs 69.97), suggesting communication volume alone is not sufficient — quality and follow-through matter more.</w:t>
      </w:r>
    </w:p>
    <w:p>
      <w:pPr>
        <w:spacing w:after="100" w:before="100"/>
      </w:pPr>
    </w:p>
    <w:p>
      <w:pPr>
        <w:pStyle w:val="Heading2"/>
        <w:spacing w:after="140" w:before="280"/>
      </w:pPr>
      <w:r>
        <w:rPr>
          <w:rFonts w:ascii="Arial" w:cs="Arial" w:eastAsia="Arial" w:hAnsi="Arial"/>
          <w:b/>
          <w:bCs/>
          <w:color w:val="2E75B6"/>
          <w:sz w:val="26"/>
          <w:szCs w:val="26"/>
        </w:rPr>
        <w:t xml:space="preserve">6.6 At-Risk Students</w:t>
      </w:r>
    </w:p>
    <w:p>
      <w:pPr>
        <w:pStyle w:val="ListParagraph"/>
        <w:numPr>
          <w:ilvl w:val="0"/>
          <w:numId w:val="2"/>
        </w:numPr>
        <w:spacing w:after="60" w:before="60"/>
      </w:pPr>
      <w:r>
        <w:rPr>
          <w:rFonts w:ascii="Arial" w:cs="Arial" w:eastAsia="Arial" w:hAnsi="Arial"/>
          <w:color w:val="1A1A1A"/>
          <w:sz w:val="22"/>
          <w:szCs w:val="22"/>
        </w:rPr>
        <w:t xml:space="preserve">Approximately 2,000 students (12.41% of the school) are flagged as at-risk based on three simultaneous conditions: attendance below 20%, average exam score below 60, and more than 3 missed assignments.</w:t>
      </w:r>
    </w:p>
    <w:p>
      <w:pPr>
        <w:pStyle w:val="ListParagraph"/>
        <w:numPr>
          <w:ilvl w:val="0"/>
          <w:numId w:val="2"/>
        </w:numPr>
        <w:spacing w:after="60" w:before="60"/>
      </w:pPr>
      <w:r>
        <w:rPr>
          <w:rFonts w:ascii="Arial" w:cs="Arial" w:eastAsia="Arial" w:hAnsi="Arial"/>
          <w:color w:val="1A1A1A"/>
          <w:sz w:val="22"/>
          <w:szCs w:val="22"/>
        </w:rPr>
        <w:t xml:space="preserve">The majority of at-risk students have parent communication records. This means contact is happening but not translating into improvement — the intervention strategy, not its frequency, needs to change.</w:t>
      </w:r>
    </w:p>
    <w:p>
      <w:pPr>
        <w:pStyle w:val="ListParagraph"/>
        <w:numPr>
          <w:ilvl w:val="0"/>
          <w:numId w:val="2"/>
        </w:numPr>
        <w:spacing w:after="60" w:before="60"/>
      </w:pPr>
      <w:r>
        <w:rPr>
          <w:rFonts w:ascii="Arial" w:cs="Arial" w:eastAsia="Arial" w:hAnsi="Arial"/>
          <w:color w:val="1A1A1A"/>
          <w:sz w:val="22"/>
          <w:szCs w:val="22"/>
        </w:rPr>
        <w:t xml:space="preserve">Students with no parent contact and failing indicators represent the highest-risk tier requiring immediate action.</w:t>
      </w:r>
    </w:p>
    <w:p>
      <w:pPr>
        <w:spacing w:after="100" w:before="100"/>
      </w:pPr>
    </w:p>
    <w:p>
      <w:r>
        <w:br w:type="page"/>
      </w:r>
    </w:p>
    <w:p>
      <w:pPr>
        <w:pStyle w:val="Heading1"/>
        <w:spacing w:after="200" w:before="400"/>
      </w:pPr>
      <w:r>
        <w:rPr>
          <w:rFonts w:ascii="Arial" w:cs="Arial" w:eastAsia="Arial" w:hAnsi="Arial"/>
          <w:b/>
          <w:bCs/>
          <w:color w:val="1A3C6B"/>
          <w:sz w:val="32"/>
          <w:szCs w:val="32"/>
        </w:rPr>
        <w:t xml:space="preserve">7. Recommendations</w:t>
      </w:r>
    </w:p>
    <w:p>
      <w:pPr>
        <w:pStyle w:val="Heading2"/>
        <w:spacing w:after="140" w:before="280"/>
      </w:pPr>
      <w:r>
        <w:rPr>
          <w:rFonts w:ascii="Arial" w:cs="Arial" w:eastAsia="Arial" w:hAnsi="Arial"/>
          <w:b/>
          <w:bCs/>
          <w:color w:val="2E75B6"/>
          <w:sz w:val="26"/>
          <w:szCs w:val="26"/>
        </w:rPr>
        <w:t xml:space="preserve">7.1 Immediate Actions</w:t>
      </w:r>
    </w:p>
    <w:p>
      <w:pPr>
        <w:pStyle w:val="ListParagraph"/>
        <w:numPr>
          <w:ilvl w:val="0"/>
          <w:numId w:val="2"/>
        </w:numPr>
        <w:spacing w:after="60" w:before="60"/>
      </w:pPr>
      <w:r>
        <w:rPr>
          <w:rFonts w:ascii="Arial" w:cs="Arial" w:eastAsia="Arial" w:hAnsi="Arial"/>
          <w:color w:val="1A1A1A"/>
          <w:sz w:val="22"/>
          <w:szCs w:val="22"/>
        </w:rPr>
        <w:t xml:space="preserve">Deploy the At-Risk Intervention page as a working tool for grade supervisors. Each row in the table is a student requiring a direct conversation before the academic year ends.</w:t>
      </w:r>
    </w:p>
    <w:p>
      <w:pPr>
        <w:pStyle w:val="ListParagraph"/>
        <w:numPr>
          <w:ilvl w:val="0"/>
          <w:numId w:val="2"/>
        </w:numPr>
        <w:spacing w:after="60" w:before="60"/>
      </w:pPr>
      <w:r>
        <w:rPr>
          <w:rFonts w:ascii="Arial" w:cs="Arial" w:eastAsia="Arial" w:hAnsi="Arial"/>
          <w:color w:val="1A1A1A"/>
          <w:sz w:val="22"/>
          <w:szCs w:val="22"/>
        </w:rPr>
        <w:t xml:space="preserve">Establish a Grade 1 parent onboarding protocol. A 14.73% communication gap at the entry grade is a systemic issue that needs a structural fix, not ad-hoc outreach.</w:t>
      </w:r>
    </w:p>
    <w:p>
      <w:pPr>
        <w:pStyle w:val="ListParagraph"/>
        <w:numPr>
          <w:ilvl w:val="0"/>
          <w:numId w:val="2"/>
        </w:numPr>
        <w:spacing w:after="60" w:before="60"/>
      </w:pPr>
      <w:r>
        <w:rPr>
          <w:rFonts w:ascii="Arial" w:cs="Arial" w:eastAsia="Arial" w:hAnsi="Arial"/>
          <w:color w:val="1A1A1A"/>
          <w:sz w:val="22"/>
          <w:szCs w:val="22"/>
        </w:rPr>
        <w:t xml:space="preserve">Review the communication strategy for the ~200 at-risk students who have active contact but declining performance. Volume is not the problem for this group.</w:t>
      </w:r>
    </w:p>
    <w:p>
      <w:pPr>
        <w:spacing w:after="100" w:before="100"/>
      </w:pPr>
    </w:p>
    <w:p>
      <w:pPr>
        <w:pStyle w:val="Heading2"/>
        <w:spacing w:after="140" w:before="280"/>
      </w:pPr>
      <w:r>
        <w:rPr>
          <w:rFonts w:ascii="Arial" w:cs="Arial" w:eastAsia="Arial" w:hAnsi="Arial"/>
          <w:b/>
          <w:bCs/>
          <w:color w:val="2E75B6"/>
          <w:sz w:val="26"/>
          <w:szCs w:val="26"/>
        </w:rPr>
        <w:t xml:space="preserve">7.2 Data Quality Improvements</w:t>
      </w:r>
    </w:p>
    <w:p>
      <w:pPr>
        <w:pStyle w:val="ListParagraph"/>
        <w:numPr>
          <w:ilvl w:val="0"/>
          <w:numId w:val="2"/>
        </w:numPr>
        <w:spacing w:after="60" w:before="60"/>
      </w:pPr>
      <w:r>
        <w:rPr>
          <w:rFonts w:ascii="Arial" w:cs="Arial" w:eastAsia="Arial" w:hAnsi="Arial"/>
          <w:color w:val="1A1A1A"/>
          <w:sz w:val="22"/>
          <w:szCs w:val="22"/>
        </w:rPr>
        <w:t xml:space="preserve">Standardize the Attendance_Status field at point of entry. The ABSNT typo and casing inconsistencies indicate manual data entry without validation.</w:t>
      </w:r>
    </w:p>
    <w:p>
      <w:pPr>
        <w:pStyle w:val="ListParagraph"/>
        <w:numPr>
          <w:ilvl w:val="0"/>
          <w:numId w:val="2"/>
        </w:numPr>
        <w:spacing w:after="60" w:before="60"/>
      </w:pPr>
      <w:r>
        <w:rPr>
          <w:rFonts w:ascii="Arial" w:cs="Arial" w:eastAsia="Arial" w:hAnsi="Arial"/>
          <w:color w:val="1A1A1A"/>
          <w:sz w:val="22"/>
          <w:szCs w:val="22"/>
        </w:rPr>
        <w:t xml:space="preserve">Replace emoji-based homework status encoding with a dropdown selection in the source system. Emoji values are fragile across database imports and require manual mapping on every pipeline run.</w:t>
      </w:r>
    </w:p>
    <w:p>
      <w:pPr>
        <w:pStyle w:val="ListParagraph"/>
        <w:numPr>
          <w:ilvl w:val="0"/>
          <w:numId w:val="2"/>
        </w:numPr>
        <w:spacing w:after="60" w:before="60"/>
      </w:pPr>
      <w:r>
        <w:rPr>
          <w:rFonts w:ascii="Arial" w:cs="Arial" w:eastAsia="Arial" w:hAnsi="Arial"/>
          <w:color w:val="1A1A1A"/>
          <w:sz w:val="22"/>
          <w:szCs w:val="22"/>
        </w:rPr>
        <w:t xml:space="preserve">Set a hard constraint on the Date_of_Birth field to enforce a single date format. The mixed ISO/US format causes silent parsing errors that make age analysis unreliable.</w:t>
      </w:r>
    </w:p>
    <w:p>
      <w:pPr>
        <w:spacing w:after="100" w:before="100"/>
      </w:pPr>
    </w:p>
    <w:p>
      <w:pPr>
        <w:pStyle w:val="Heading2"/>
        <w:spacing w:after="140" w:before="280"/>
      </w:pPr>
      <w:r>
        <w:rPr>
          <w:rFonts w:ascii="Arial" w:cs="Arial" w:eastAsia="Arial" w:hAnsi="Arial"/>
          <w:b/>
          <w:bCs/>
          <w:color w:val="2E75B6"/>
          <w:sz w:val="26"/>
          <w:szCs w:val="26"/>
        </w:rPr>
        <w:t xml:space="preserve">7.3 Next Pipeline Iteration</w:t>
      </w:r>
    </w:p>
    <w:p>
      <w:pPr>
        <w:pStyle w:val="ListParagraph"/>
        <w:numPr>
          <w:ilvl w:val="0"/>
          <w:numId w:val="2"/>
        </w:numPr>
        <w:spacing w:after="60" w:before="60"/>
      </w:pPr>
      <w:r>
        <w:rPr>
          <w:rFonts w:ascii="Arial" w:cs="Arial" w:eastAsia="Arial" w:hAnsi="Arial"/>
          <w:color w:val="1A1A1A"/>
          <w:sz w:val="22"/>
          <w:szCs w:val="22"/>
        </w:rPr>
        <w:t xml:space="preserve">Add a time-series attendance model that flags declining attendance trends for individual students before they cross the at-risk threshold.</w:t>
      </w:r>
    </w:p>
    <w:p>
      <w:pPr>
        <w:pStyle w:val="ListParagraph"/>
        <w:numPr>
          <w:ilvl w:val="0"/>
          <w:numId w:val="2"/>
        </w:numPr>
        <w:spacing w:after="60" w:before="60"/>
      </w:pPr>
      <w:r>
        <w:rPr>
          <w:rFonts w:ascii="Arial" w:cs="Arial" w:eastAsia="Arial" w:hAnsi="Arial"/>
          <w:color w:val="1A1A1A"/>
          <w:sz w:val="22"/>
          <w:szCs w:val="22"/>
        </w:rPr>
        <w:t xml:space="preserve">Build a subject-level performance model that identifies whether a student's low score in one subject is isolated or part of a broader academic decline.</w:t>
      </w:r>
    </w:p>
    <w:p>
      <w:pPr>
        <w:spacing w:after="100" w:before="100"/>
      </w:pPr>
    </w:p>
    <w:p>
      <w:r>
        <w:br w:type="page"/>
      </w:r>
    </w:p>
    <w:p>
      <w:pPr>
        <w:pStyle w:val="Heading1"/>
        <w:spacing w:after="200" w:before="400"/>
      </w:pPr>
      <w:r>
        <w:rPr>
          <w:rFonts w:ascii="Arial" w:cs="Arial" w:eastAsia="Arial" w:hAnsi="Arial"/>
          <w:b/>
          <w:bCs/>
          <w:color w:val="1A3C6B"/>
          <w:sz w:val="32"/>
          <w:szCs w:val="32"/>
        </w:rPr>
        <w:t xml:space="preserve">8. Repository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1A3C6B"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File / Folder</w:t>
            </w:r>
          </w:p>
        </w:tc>
        <w:tc>
          <w:tcPr>
            <w:tcW w:type="dxa" w:w="4680"/>
            <w:tcBorders>
              <w:top w:val="single" w:color="CCCCCC" w:sz="1"/>
              <w:left w:val="single" w:color="CCCCCC" w:sz="1"/>
              <w:bottom w:val="single" w:color="CCCCCC" w:sz="1"/>
              <w:right w:val="single" w:color="CCCCCC" w:sz="1"/>
            </w:tcBorders>
            <w:shd w:fill="1A3C6B"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Description</w:t>
            </w:r>
          </w:p>
        </w:tc>
      </w:tr>
      <w:tr>
        <w:tc>
          <w:tcPr>
            <w:tcW w:type="dxa" w:w="468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data/raw/</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Original five CSV files as received</w:t>
            </w:r>
          </w:p>
        </w:tc>
      </w:tr>
      <w:tr>
        <w:tc>
          <w:tcPr>
            <w:tcW w:type="dxa" w:w="468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data/clean/</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Five cleaned CSVs exported from Python phase</w:t>
            </w:r>
          </w:p>
        </w:tc>
      </w:tr>
      <w:tr>
        <w:tc>
          <w:tcPr>
            <w:tcW w:type="dxa" w:w="468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storytelling.sql</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Phase 1 — six-chapter SQL storytelling script</w:t>
            </w:r>
          </w:p>
        </w:tc>
      </w:tr>
      <w:tr>
        <w:tc>
          <w:tcPr>
            <w:tcW w:type="dxa" w:w="468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education_cleaning.ipynb</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Phase 2 — Python cleaning and feature engineering notebook</w:t>
            </w:r>
          </w:p>
        </w:tc>
      </w:tr>
      <w:tr>
        <w:tc>
          <w:tcPr>
            <w:tcW w:type="dxa" w:w="468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Final Education.pbix</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Phase 3 — six-page Power BI dashboard</w:t>
            </w:r>
          </w:p>
        </w:tc>
      </w:tr>
      <w:tr>
        <w:tc>
          <w:tcPr>
            <w:tcW w:type="dxa" w:w="468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README.md</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0"/>
                <w:szCs w:val="20"/>
              </w:rPr>
              <w:t xml:space="preserve">Visual-first project overview for the GitHub repository</w:t>
            </w:r>
          </w:p>
        </w:tc>
      </w:tr>
    </w:tbl>
    <w:p>
      <w:pPr>
        <w:spacing w:after="100" w:before="200"/>
      </w:pPr>
    </w:p>
    <w:p>
      <w:pPr>
        <w:pBdr>
          <w:bottom w:val="single" w:color="2E75B6" w:sz="4" w:space="1"/>
        </w:pBdr>
        <w:spacing w:after="200" w:before="200"/>
      </w:pPr>
    </w:p>
    <w:p>
      <w:pPr>
        <w:spacing w:after="100" w:before="200"/>
      </w:pPr>
    </w:p>
    <w:p>
      <w:pPr>
        <w:jc w:val="center"/>
      </w:pPr>
      <w:r>
        <w:rPr>
          <w:rFonts w:ascii="Arial" w:cs="Arial" w:eastAsia="Arial" w:hAnsi="Arial"/>
          <w:color w:val="888888"/>
          <w:sz w:val="18"/>
          <w:szCs w:val="18"/>
        </w:rPr>
        <w:t xml:space="preserve">Nour Hatem  |  DEPI x NTI Data Analysis Track  |  nourhatem.netlify.app</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1"/>
      </w:pBdr>
      <w:tabs>
        <w:tab w:val="right" w:pos="9026"/>
      </w:tabs>
      <w:spacing w:before="120"/>
    </w:pPr>
    <w:r>
      <w:rPr>
        <w:rFonts w:ascii="Arial" w:cs="Arial" w:eastAsia="Arial" w:hAnsi="Arial"/>
        <w:color w:val="888888"/>
        <w:sz w:val="18"/>
        <w:szCs w:val="18"/>
      </w:rPr>
      <w:t xml:space="preserve">Nour Hatem  |  DEPI x NTI Data Analysis Track</w:t>
    </w:r>
    <w:r>
      <w:rPr>
        <w:rFonts w:ascii="Arial" w:cs="Arial" w:eastAsia="Arial" w:hAnsi="Arial"/>
        <w:sz w:val="18"/>
        <w:szCs w:val="18"/>
      </w:rPr>
      <w:t xml:space="preserve">	</w:t>
    </w:r>
    <w:r>
      <w:rPr>
        <w:rFonts w:ascii="Arial" w:cs="Arial" w:eastAsia="Arial" w:hAnsi="Arial"/>
        <w:color w:val="888888"/>
        <w:sz w:val="18"/>
        <w:szCs w:val="18"/>
      </w:rPr>
      <w:t xml:space="preserve">Page </w:t>
    </w:r>
    <w:fldSimple w:instr="[object Object]"/>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spacing w:after="120"/>
    </w:pPr>
    <w:r>
      <w:rPr>
        <w:rFonts w:ascii="Arial" w:cs="Arial" w:eastAsia="Arial" w:hAnsi="Arial"/>
        <w:color w:val="888888"/>
        <w:sz w:val="18"/>
        <w:szCs w:val="18"/>
      </w:rPr>
      <w:t xml:space="preserve">NTI Academic Success &amp; Intervention  |  Project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1A3C6B"/>
      <w:sz w:val="32"/>
      <w:szCs w:val="32"/>
    </w:rPr>
  </w:style>
  <w:style w:type="paragraph" w:styleId="Heading2">
    <w:name w:val="Heading 2"/>
    <w:basedOn w:val="Normal"/>
    <w:next w:val="Normal"/>
    <w:qFormat/>
    <w:pPr>
      <w:spacing w:after="14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2026-05-06T05:58:17.741Z</dcterms:created>
  <dcterms:modified xsi:type="dcterms:W3CDTF">2026-05-06T05:58:17.741Z</dcterms:modified>
</cp:coreProperties>
</file>

<file path=docProps/custom.xml><?xml version="1.0" encoding="utf-8"?>
<Properties xmlns="http://schemas.openxmlformats.org/officeDocument/2006/custom-properties" xmlns:vt="http://schemas.openxmlformats.org/officeDocument/2006/docPropsVTypes"/>
</file>