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264" w:lineRule="auto"/>
      </w:pPr>
      <w:r>
        <w:rPr>
          <w:rFonts w:ascii="Calibri" w:hAnsi="Calibri"/>
          <w:b/>
          <w:color w:val="606B89"/>
          <w:sz w:val="22"/>
        </w:rPr>
        <w:t>Rapport technique</w:t>
      </w:r>
    </w:p>
    <w:p>
      <w:pPr>
        <w:spacing w:before="0" w:after="80" w:line="264" w:lineRule="auto"/>
      </w:pPr>
      <w:r>
        <w:rPr>
          <w:rFonts w:ascii="Calibri" w:hAnsi="Calibri"/>
          <w:b/>
          <w:color w:val="111A3B"/>
          <w:sz w:val="48"/>
        </w:rPr>
        <w:t>Pipeline de l'application pour la préparation des données</w:t>
      </w:r>
    </w:p>
    <w:p>
      <w:pPr>
        <w:spacing w:before="0" w:after="280" w:line="264" w:lineRule="auto"/>
      </w:pPr>
      <w:r>
        <w:rPr>
          <w:rFonts w:ascii="Calibri" w:hAnsi="Calibri"/>
          <w:color w:val="606B89"/>
          <w:sz w:val="26"/>
        </w:rPr>
        <w:t>Projet DocuAI - Extraction intelligente de documents</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600"/>
        <w:gridCol w:w="6760"/>
      </w:tblGrid>
      <w:tr>
        <w:tc>
          <w:tcPr>
            <w:tcW w:type="dxa" w:w="260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Élément</w:t>
            </w:r>
          </w:p>
        </w:tc>
        <w:tc>
          <w:tcPr>
            <w:tcW w:type="dxa" w:w="676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Description</w:t>
            </w:r>
          </w:p>
        </w:tc>
      </w:tr>
      <w:tr>
        <w:tc>
          <w:tcPr>
            <w:tcW w:type="dxa" w:w="2600"/>
          </w:tcPr>
          <w:p>
            <w:pPr>
              <w:spacing w:before="0" w:after="0" w:line="259" w:lineRule="auto"/>
            </w:pPr>
            <w:r>
              <w:rPr>
                <w:rFonts w:ascii="Calibri" w:hAnsi="Calibri"/>
                <w:color w:val="111A3B"/>
                <w:sz w:val="18"/>
              </w:rPr>
              <w:t>Chapitre concerné</w:t>
            </w:r>
          </w:p>
        </w:tc>
        <w:tc>
          <w:tcPr>
            <w:tcW w:type="dxa" w:w="6760"/>
          </w:tcPr>
          <w:p>
            <w:pPr>
              <w:spacing w:before="0" w:after="0" w:line="259" w:lineRule="auto"/>
            </w:pPr>
            <w:r>
              <w:rPr>
                <w:rFonts w:ascii="Calibri" w:hAnsi="Calibri"/>
                <w:color w:val="111A3B"/>
                <w:sz w:val="18"/>
              </w:rPr>
              <w:t>Compréhension et préparation des données</w:t>
            </w:r>
          </w:p>
        </w:tc>
      </w:tr>
      <w:tr>
        <w:tc>
          <w:tcPr>
            <w:tcW w:type="dxa" w:w="2600"/>
          </w:tcPr>
          <w:p>
            <w:pPr>
              <w:spacing w:before="0" w:after="0" w:line="259" w:lineRule="auto"/>
            </w:pPr>
            <w:r>
              <w:rPr>
                <w:rFonts w:ascii="Calibri" w:hAnsi="Calibri"/>
                <w:color w:val="111A3B"/>
                <w:sz w:val="18"/>
              </w:rPr>
              <w:t>Portée</w:t>
            </w:r>
          </w:p>
        </w:tc>
        <w:tc>
          <w:tcPr>
            <w:tcW w:type="dxa" w:w="6760"/>
          </w:tcPr>
          <w:p>
            <w:pPr>
              <w:spacing w:before="0" w:after="0" w:line="259" w:lineRule="auto"/>
            </w:pPr>
            <w:r>
              <w:rPr>
                <w:rFonts w:ascii="Calibri" w:hAnsi="Calibri"/>
                <w:color w:val="111A3B"/>
                <w:sz w:val="18"/>
              </w:rPr>
              <w:t>Importation, prétraitement, OCR, extraction, JSON, validation et stockage</w:t>
            </w:r>
          </w:p>
        </w:tc>
      </w:tr>
      <w:tr>
        <w:tc>
          <w:tcPr>
            <w:tcW w:type="dxa" w:w="2600"/>
          </w:tcPr>
          <w:p>
            <w:pPr>
              <w:spacing w:before="0" w:after="0" w:line="259" w:lineRule="auto"/>
            </w:pPr>
            <w:r>
              <w:rPr>
                <w:rFonts w:ascii="Calibri" w:hAnsi="Calibri"/>
                <w:color w:val="111A3B"/>
                <w:sz w:val="18"/>
              </w:rPr>
              <w:t>Documents traités</w:t>
            </w:r>
          </w:p>
        </w:tc>
        <w:tc>
          <w:tcPr>
            <w:tcW w:type="dxa" w:w="6760"/>
          </w:tcPr>
          <w:p>
            <w:pPr>
              <w:spacing w:before="0" w:after="0" w:line="259" w:lineRule="auto"/>
            </w:pPr>
            <w:r>
              <w:rPr>
                <w:rFonts w:ascii="Calibri" w:hAnsi="Calibri"/>
                <w:color w:val="111A3B"/>
                <w:sz w:val="18"/>
              </w:rPr>
              <w:t>Factures STEG, analyses médicales, tickets de caisse, factures fournisseurs</w:t>
            </w:r>
          </w:p>
        </w:tc>
      </w:tr>
      <w:tr>
        <w:tc>
          <w:tcPr>
            <w:tcW w:type="dxa" w:w="2600"/>
          </w:tcPr>
          <w:p>
            <w:pPr>
              <w:spacing w:before="0" w:after="0" w:line="259" w:lineRule="auto"/>
            </w:pPr>
            <w:r>
              <w:rPr>
                <w:rFonts w:ascii="Calibri" w:hAnsi="Calibri"/>
                <w:color w:val="111A3B"/>
                <w:sz w:val="18"/>
              </w:rPr>
              <w:t>Pipeline principal</w:t>
            </w:r>
          </w:p>
        </w:tc>
        <w:tc>
          <w:tcPr>
            <w:tcW w:type="dxa" w:w="6760"/>
          </w:tcPr>
          <w:p>
            <w:pPr>
              <w:spacing w:before="0" w:after="0" w:line="259" w:lineRule="auto"/>
            </w:pPr>
            <w:r>
              <w:rPr>
                <w:rFonts w:ascii="Calibri" w:hAnsi="Calibri"/>
                <w:color w:val="111A3B"/>
                <w:sz w:val="18"/>
              </w:rPr>
              <w:t>Docling + PaddleOCR + Qwen local via Ollama</w:t>
            </w:r>
          </w:p>
        </w:tc>
      </w:tr>
      <w:tr>
        <w:tc>
          <w:tcPr>
            <w:tcW w:type="dxa" w:w="2600"/>
          </w:tcPr>
          <w:p>
            <w:pPr>
              <w:spacing w:before="0" w:after="0" w:line="259" w:lineRule="auto"/>
            </w:pPr>
            <w:r>
              <w:rPr>
                <w:rFonts w:ascii="Calibri" w:hAnsi="Calibri"/>
                <w:color w:val="111A3B"/>
                <w:sz w:val="18"/>
              </w:rPr>
              <w:t>Alternative</w:t>
            </w:r>
          </w:p>
        </w:tc>
        <w:tc>
          <w:tcPr>
            <w:tcW w:type="dxa" w:w="6760"/>
          </w:tcPr>
          <w:p>
            <w:pPr>
              <w:spacing w:before="0" w:after="0" w:line="259" w:lineRule="auto"/>
            </w:pPr>
            <w:r>
              <w:rPr>
                <w:rFonts w:ascii="Calibri" w:hAnsi="Calibri"/>
                <w:color w:val="111A3B"/>
                <w:sz w:val="18"/>
              </w:rPr>
              <w:t>API Gemini lorsque cette méthode est sélectionnée</w:t>
            </w:r>
          </w:p>
        </w:tc>
      </w:tr>
    </w:tbl>
    <w:p>
      <w:pPr>
        <w:pBdr>
          <w:bottom w:val="single" w:sz="8" w:space="6" w:color="2E74B5"/>
        </w:pBdr>
      </w:pPr>
    </w:p>
    <w:p>
      <w:pPr>
        <w:pStyle w:val="Heading1"/>
        <w:spacing w:before="320" w:after="160" w:line="264" w:lineRule="auto"/>
      </w:pPr>
      <w:r>
        <w:rPr>
          <w:rFonts w:ascii="Calibri" w:hAnsi="Calibri"/>
          <w:b/>
          <w:color w:val="2E74B5"/>
          <w:sz w:val="32"/>
        </w:rPr>
        <w:t>1. Objectif du rapport</w:t>
      </w:r>
    </w:p>
    <w:p>
      <w:pPr>
        <w:spacing w:before="0" w:after="120" w:line="264" w:lineRule="auto"/>
      </w:pPr>
      <w:r>
        <w:rPr>
          <w:rFonts w:ascii="Calibri" w:hAnsi="Calibri"/>
          <w:b w:val="0"/>
          <w:i w:val="0"/>
        </w:rPr>
        <w:t>Ce rapport décrit le pipeline de l'application lié au chapitre de compréhension et de préparation des données. Il explique comment un document brut est contrôlé, prétraité, analysé par OCR ou par intelligence artificielle, puis transformé en données JSON exploitables par la plateforme.</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tcMar>
              <w:top w:w="80" w:type="dxa"/>
              <w:start w:w="120" w:type="dxa"/>
              <w:bottom w:w="80" w:type="dxa"/>
              <w:end w:w="120" w:type="dxa"/>
            </w:tcMar>
            <w:vAlign w:val="center"/>
            <w:shd w:fill="EEF4FF"/>
          </w:tcPr>
          <w:p>
            <w:pPr>
              <w:spacing w:before="0" w:after="40" w:line="264" w:lineRule="auto"/>
            </w:pPr>
            <w:r>
              <w:rPr>
                <w:rFonts w:ascii="Calibri" w:hAnsi="Calibri"/>
                <w:b/>
                <w:color w:val="1F4D78"/>
                <w:sz w:val="22"/>
              </w:rPr>
              <w:t>Idée centrale</w:t>
            </w:r>
          </w:p>
          <w:p>
            <w:pPr>
              <w:spacing w:before="0" w:after="0" w:line="264" w:lineRule="auto"/>
            </w:pPr>
            <w:r>
              <w:rPr>
                <w:rFonts w:ascii="Calibri" w:hAnsi="Calibri"/>
                <w:color w:val="111A3B"/>
                <w:sz w:val="21"/>
              </w:rPr>
              <w:t>Le rôle de ce pipeline est de transformer des documents hétérogènes et parfois bruités en informations fiables, normalisées et directement utilisables dans l'interface DocuAI.</w:t>
            </w:r>
          </w:p>
        </w:tc>
      </w:tr>
    </w:tbl>
    <w:p>
      <w:pPr>
        <w:spacing w:before="0" w:after="80" w:line="264" w:lineRule="auto"/>
      </w:pPr>
    </w:p>
    <w:p>
      <w:pPr>
        <w:pStyle w:val="Heading1"/>
        <w:spacing w:before="320" w:after="160" w:line="264" w:lineRule="auto"/>
      </w:pPr>
      <w:r>
        <w:rPr>
          <w:rFonts w:ascii="Calibri" w:hAnsi="Calibri"/>
          <w:b/>
          <w:color w:val="2E74B5"/>
          <w:sz w:val="32"/>
        </w:rPr>
        <w:t>2. Données et documents concernés</w:t>
      </w:r>
    </w:p>
    <w:p>
      <w:pPr>
        <w:spacing w:before="0" w:after="120" w:line="264" w:lineRule="auto"/>
      </w:pPr>
      <w:r>
        <w:rPr>
          <w:rFonts w:ascii="Calibri" w:hAnsi="Calibri"/>
          <w:b w:val="0"/>
          <w:i w:val="0"/>
        </w:rPr>
        <w:t>La plateforme traite plusieurs familles de documents. Chaque famille possède une structure propre, des champs importants à extraire et des difficultés spécifiques liées à la qualité de l'image ou à la variabilité du format.</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00"/>
        <w:gridCol w:w="4100"/>
        <w:gridCol w:w="3360"/>
      </w:tblGrid>
      <w:tr>
        <w:tc>
          <w:tcPr>
            <w:tcW w:type="dxa" w:w="190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Type</w:t>
            </w:r>
          </w:p>
        </w:tc>
        <w:tc>
          <w:tcPr>
            <w:tcW w:type="dxa" w:w="410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Champs principaux</w:t>
            </w:r>
          </w:p>
        </w:tc>
        <w:tc>
          <w:tcPr>
            <w:tcW w:type="dxa" w:w="336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Difficultés</w:t>
            </w:r>
          </w:p>
        </w:tc>
      </w:tr>
      <w:tr>
        <w:tc>
          <w:tcPr>
            <w:tcW w:type="dxa" w:w="1900"/>
          </w:tcPr>
          <w:p>
            <w:pPr>
              <w:spacing w:before="0" w:after="0" w:line="259" w:lineRule="auto"/>
            </w:pPr>
            <w:r>
              <w:rPr>
                <w:rFonts w:ascii="Calibri" w:hAnsi="Calibri"/>
                <w:color w:val="111A3B"/>
                <w:sz w:val="18"/>
              </w:rPr>
              <w:t>Facture STEG</w:t>
            </w:r>
          </w:p>
        </w:tc>
        <w:tc>
          <w:tcPr>
            <w:tcW w:type="dxa" w:w="4100"/>
          </w:tcPr>
          <w:p>
            <w:pPr>
              <w:spacing w:before="0" w:after="0" w:line="259" w:lineRule="auto"/>
            </w:pPr>
            <w:r>
              <w:rPr>
                <w:rFonts w:ascii="Calibri" w:hAnsi="Calibri"/>
                <w:color w:val="111A3B"/>
                <w:sz w:val="18"/>
              </w:rPr>
              <w:t>Référence client, numéro compteur, date facture, montant à payer</w:t>
            </w:r>
          </w:p>
        </w:tc>
        <w:tc>
          <w:tcPr>
            <w:tcW w:type="dxa" w:w="3360"/>
          </w:tcPr>
          <w:p>
            <w:pPr>
              <w:spacing w:before="0" w:after="0" w:line="259" w:lineRule="auto"/>
            </w:pPr>
            <w:r>
              <w:rPr>
                <w:rFonts w:ascii="Calibri" w:hAnsi="Calibri"/>
                <w:color w:val="111A3B"/>
                <w:sz w:val="18"/>
              </w:rPr>
              <w:t>Structure stable mais qualité d'image variable</w:t>
            </w:r>
          </w:p>
        </w:tc>
      </w:tr>
      <w:tr>
        <w:tc>
          <w:tcPr>
            <w:tcW w:type="dxa" w:w="1900"/>
          </w:tcPr>
          <w:p>
            <w:pPr>
              <w:spacing w:before="0" w:after="0" w:line="259" w:lineRule="auto"/>
            </w:pPr>
            <w:r>
              <w:rPr>
                <w:rFonts w:ascii="Calibri" w:hAnsi="Calibri"/>
                <w:color w:val="111A3B"/>
                <w:sz w:val="18"/>
              </w:rPr>
              <w:t>Analyse médicale</w:t>
            </w:r>
          </w:p>
        </w:tc>
        <w:tc>
          <w:tcPr>
            <w:tcW w:type="dxa" w:w="4100"/>
          </w:tcPr>
          <w:p>
            <w:pPr>
              <w:spacing w:before="0" w:after="0" w:line="259" w:lineRule="auto"/>
            </w:pPr>
            <w:r>
              <w:rPr>
                <w:rFonts w:ascii="Calibri" w:hAnsi="Calibri"/>
                <w:color w:val="111A3B"/>
                <w:sz w:val="18"/>
              </w:rPr>
              <w:t>Laboratoire, patient, dossier, dates, médecin, résultats des examens</w:t>
            </w:r>
          </w:p>
        </w:tc>
        <w:tc>
          <w:tcPr>
            <w:tcW w:type="dxa" w:w="3360"/>
          </w:tcPr>
          <w:p>
            <w:pPr>
              <w:spacing w:before="0" w:after="0" w:line="259" w:lineRule="auto"/>
            </w:pPr>
            <w:r>
              <w:rPr>
                <w:rFonts w:ascii="Calibri" w:hAnsi="Calibri"/>
                <w:color w:val="111A3B"/>
                <w:sz w:val="18"/>
              </w:rPr>
              <w:t>Tableaux complexes, unités, valeurs numériques et formats variables</w:t>
            </w:r>
          </w:p>
        </w:tc>
      </w:tr>
      <w:tr>
        <w:tc>
          <w:tcPr>
            <w:tcW w:type="dxa" w:w="1900"/>
          </w:tcPr>
          <w:p>
            <w:pPr>
              <w:spacing w:before="0" w:after="0" w:line="259" w:lineRule="auto"/>
            </w:pPr>
            <w:r>
              <w:rPr>
                <w:rFonts w:ascii="Calibri" w:hAnsi="Calibri"/>
                <w:color w:val="111A3B"/>
                <w:sz w:val="18"/>
              </w:rPr>
              <w:t>Ticket de caisse</w:t>
            </w:r>
          </w:p>
        </w:tc>
        <w:tc>
          <w:tcPr>
            <w:tcW w:type="dxa" w:w="4100"/>
          </w:tcPr>
          <w:p>
            <w:pPr>
              <w:spacing w:before="0" w:after="0" w:line="259" w:lineRule="auto"/>
            </w:pPr>
            <w:r>
              <w:rPr>
                <w:rFonts w:ascii="Calibri" w:hAnsi="Calibri"/>
                <w:color w:val="111A3B"/>
                <w:sz w:val="18"/>
              </w:rPr>
              <w:t>Magasin, date, numéro ticket, articles, total, paiement</w:t>
            </w:r>
          </w:p>
        </w:tc>
        <w:tc>
          <w:tcPr>
            <w:tcW w:type="dxa" w:w="3360"/>
          </w:tcPr>
          <w:p>
            <w:pPr>
              <w:spacing w:before="0" w:after="0" w:line="259" w:lineRule="auto"/>
            </w:pPr>
            <w:r>
              <w:rPr>
                <w:rFonts w:ascii="Calibri" w:hAnsi="Calibri"/>
                <w:color w:val="111A3B"/>
                <w:sz w:val="18"/>
              </w:rPr>
              <w:t>Petit texte, papier thermique, bruit et faible contraste</w:t>
            </w:r>
          </w:p>
        </w:tc>
      </w:tr>
      <w:tr>
        <w:tc>
          <w:tcPr>
            <w:tcW w:type="dxa" w:w="1900"/>
          </w:tcPr>
          <w:p>
            <w:pPr>
              <w:spacing w:before="0" w:after="0" w:line="259" w:lineRule="auto"/>
            </w:pPr>
            <w:r>
              <w:rPr>
                <w:rFonts w:ascii="Calibri" w:hAnsi="Calibri"/>
                <w:color w:val="111A3B"/>
                <w:sz w:val="18"/>
              </w:rPr>
              <w:t>Facture fournisseur</w:t>
            </w:r>
          </w:p>
        </w:tc>
        <w:tc>
          <w:tcPr>
            <w:tcW w:type="dxa" w:w="4100"/>
          </w:tcPr>
          <w:p>
            <w:pPr>
              <w:spacing w:before="0" w:after="0" w:line="259" w:lineRule="auto"/>
            </w:pPr>
            <w:r>
              <w:rPr>
                <w:rFonts w:ascii="Calibri" w:hAnsi="Calibri"/>
                <w:color w:val="111A3B"/>
                <w:sz w:val="18"/>
              </w:rPr>
              <w:t>Fournisseur, client, numéro facture, articles, taxes, total TTC</w:t>
            </w:r>
          </w:p>
        </w:tc>
        <w:tc>
          <w:tcPr>
            <w:tcW w:type="dxa" w:w="3360"/>
          </w:tcPr>
          <w:p>
            <w:pPr>
              <w:spacing w:before="0" w:after="0" w:line="259" w:lineRule="auto"/>
            </w:pPr>
            <w:r>
              <w:rPr>
                <w:rFonts w:ascii="Calibri" w:hAnsi="Calibri"/>
                <w:color w:val="111A3B"/>
                <w:sz w:val="18"/>
              </w:rPr>
              <w:t>Mise en page très variable selon l'émetteur</w:t>
            </w:r>
          </w:p>
        </w:tc>
      </w:tr>
    </w:tbl>
    <w:p>
      <w:pPr>
        <w:pStyle w:val="Heading1"/>
        <w:spacing w:before="320" w:after="160" w:line="264" w:lineRule="auto"/>
      </w:pPr>
      <w:r>
        <w:rPr>
          <w:rFonts w:ascii="Calibri" w:hAnsi="Calibri"/>
          <w:b/>
          <w:color w:val="2E74B5"/>
          <w:sz w:val="32"/>
        </w:rPr>
        <w:t>3. Pipeline global de l'application</w:t>
      </w:r>
    </w:p>
    <w:p>
      <w:pPr>
        <w:spacing w:before="0" w:after="120" w:line="264" w:lineRule="auto"/>
      </w:pPr>
      <w:r>
        <w:rPr>
          <w:rFonts w:ascii="Calibri" w:hAnsi="Calibri"/>
          <w:b w:val="0"/>
          <w:i w:val="0"/>
        </w:rPr>
        <w:t>Le pipeline global suit une chaîne de traitement progressive. Chaque étape prépare la suivante afin de réduire les erreurs et de produire un résultat structuré.</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520"/>
        <w:gridCol w:w="1600"/>
        <w:gridCol w:w="5200"/>
        <w:gridCol w:w="2040"/>
      </w:tblGrid>
      <w:tr>
        <w:tc>
          <w:tcPr>
            <w:tcW w:type="dxa" w:w="52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N°</w:t>
            </w:r>
          </w:p>
        </w:tc>
        <w:tc>
          <w:tcPr>
            <w:tcW w:type="dxa" w:w="160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Étape</w:t>
            </w:r>
          </w:p>
        </w:tc>
        <w:tc>
          <w:tcPr>
            <w:tcW w:type="dxa" w:w="520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Traitement</w:t>
            </w:r>
          </w:p>
        </w:tc>
        <w:tc>
          <w:tcPr>
            <w:tcW w:type="dxa" w:w="204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Sortie</w:t>
            </w:r>
          </w:p>
        </w:tc>
      </w:tr>
      <w:tr>
        <w:tc>
          <w:tcPr>
            <w:tcW w:type="dxa" w:w="520"/>
          </w:tcPr>
          <w:p>
            <w:pPr>
              <w:spacing w:before="0" w:after="0" w:line="259" w:lineRule="auto"/>
            </w:pPr>
            <w:r>
              <w:rPr>
                <w:rFonts w:ascii="Calibri" w:hAnsi="Calibri"/>
                <w:color w:val="111A3B"/>
                <w:sz w:val="18"/>
              </w:rPr>
              <w:t>1</w:t>
            </w:r>
          </w:p>
        </w:tc>
        <w:tc>
          <w:tcPr>
            <w:tcW w:type="dxa" w:w="1600"/>
          </w:tcPr>
          <w:p>
            <w:pPr>
              <w:spacing w:before="0" w:after="0" w:line="259" w:lineRule="auto"/>
            </w:pPr>
            <w:r>
              <w:rPr>
                <w:rFonts w:ascii="Calibri" w:hAnsi="Calibri"/>
                <w:color w:val="111A3B"/>
                <w:sz w:val="18"/>
              </w:rPr>
              <w:t>Importation</w:t>
            </w:r>
          </w:p>
        </w:tc>
        <w:tc>
          <w:tcPr>
            <w:tcW w:type="dxa" w:w="5200"/>
          </w:tcPr>
          <w:p>
            <w:pPr>
              <w:spacing w:before="0" w:after="0" w:line="259" w:lineRule="auto"/>
            </w:pPr>
            <w:r>
              <w:rPr>
                <w:rFonts w:ascii="Calibri" w:hAnsi="Calibri"/>
                <w:color w:val="111A3B"/>
                <w:sz w:val="18"/>
              </w:rPr>
              <w:t>L'utilisateur dépose un PDF ou une image depuis l'interface web.</w:t>
            </w:r>
          </w:p>
        </w:tc>
        <w:tc>
          <w:tcPr>
            <w:tcW w:type="dxa" w:w="2040"/>
          </w:tcPr>
          <w:p>
            <w:pPr>
              <w:spacing w:before="0" w:after="0" w:line="259" w:lineRule="auto"/>
            </w:pPr>
            <w:r>
              <w:rPr>
                <w:rFonts w:ascii="Calibri" w:hAnsi="Calibri"/>
                <w:color w:val="111A3B"/>
                <w:sz w:val="18"/>
              </w:rPr>
              <w:t>Fichier brut</w:t>
            </w:r>
          </w:p>
        </w:tc>
      </w:tr>
      <w:tr>
        <w:tc>
          <w:tcPr>
            <w:tcW w:type="dxa" w:w="520"/>
          </w:tcPr>
          <w:p>
            <w:pPr>
              <w:spacing w:before="0" w:after="0" w:line="259" w:lineRule="auto"/>
            </w:pPr>
            <w:r>
              <w:rPr>
                <w:rFonts w:ascii="Calibri" w:hAnsi="Calibri"/>
                <w:color w:val="111A3B"/>
                <w:sz w:val="18"/>
              </w:rPr>
              <w:t>2</w:t>
            </w:r>
          </w:p>
        </w:tc>
        <w:tc>
          <w:tcPr>
            <w:tcW w:type="dxa" w:w="1600"/>
          </w:tcPr>
          <w:p>
            <w:pPr>
              <w:spacing w:before="0" w:after="0" w:line="259" w:lineRule="auto"/>
            </w:pPr>
            <w:r>
              <w:rPr>
                <w:rFonts w:ascii="Calibri" w:hAnsi="Calibri"/>
                <w:color w:val="111A3B"/>
                <w:sz w:val="18"/>
              </w:rPr>
              <w:t>Validation</w:t>
            </w:r>
          </w:p>
        </w:tc>
        <w:tc>
          <w:tcPr>
            <w:tcW w:type="dxa" w:w="5200"/>
          </w:tcPr>
          <w:p>
            <w:pPr>
              <w:spacing w:before="0" w:after="0" w:line="259" w:lineRule="auto"/>
            </w:pPr>
            <w:r>
              <w:rPr>
                <w:rFonts w:ascii="Calibri" w:hAnsi="Calibri"/>
                <w:color w:val="111A3B"/>
                <w:sz w:val="18"/>
              </w:rPr>
              <w:t>Contrôle du format, de la taille et de la lisibilité du document.</w:t>
            </w:r>
          </w:p>
        </w:tc>
        <w:tc>
          <w:tcPr>
            <w:tcW w:type="dxa" w:w="2040"/>
          </w:tcPr>
          <w:p>
            <w:pPr>
              <w:spacing w:before="0" w:after="0" w:line="259" w:lineRule="auto"/>
            </w:pPr>
            <w:r>
              <w:rPr>
                <w:rFonts w:ascii="Calibri" w:hAnsi="Calibri"/>
                <w:color w:val="111A3B"/>
                <w:sz w:val="18"/>
              </w:rPr>
              <w:t>Fichier accepté ou erreur</w:t>
            </w:r>
          </w:p>
        </w:tc>
      </w:tr>
      <w:tr>
        <w:tc>
          <w:tcPr>
            <w:tcW w:type="dxa" w:w="520"/>
          </w:tcPr>
          <w:p>
            <w:pPr>
              <w:spacing w:before="0" w:after="0" w:line="259" w:lineRule="auto"/>
            </w:pPr>
            <w:r>
              <w:rPr>
                <w:rFonts w:ascii="Calibri" w:hAnsi="Calibri"/>
                <w:color w:val="111A3B"/>
                <w:sz w:val="18"/>
              </w:rPr>
              <w:t>3</w:t>
            </w:r>
          </w:p>
        </w:tc>
        <w:tc>
          <w:tcPr>
            <w:tcW w:type="dxa" w:w="1600"/>
          </w:tcPr>
          <w:p>
            <w:pPr>
              <w:spacing w:before="0" w:after="0" w:line="259" w:lineRule="auto"/>
            </w:pPr>
            <w:r>
              <w:rPr>
                <w:rFonts w:ascii="Calibri" w:hAnsi="Calibri"/>
                <w:color w:val="111A3B"/>
                <w:sz w:val="18"/>
              </w:rPr>
              <w:t>Prétraitement</w:t>
            </w:r>
          </w:p>
        </w:tc>
        <w:tc>
          <w:tcPr>
            <w:tcW w:type="dxa" w:w="5200"/>
          </w:tcPr>
          <w:p>
            <w:pPr>
              <w:spacing w:before="0" w:after="0" w:line="259" w:lineRule="auto"/>
            </w:pPr>
            <w:r>
              <w:rPr>
                <w:rFonts w:ascii="Calibri" w:hAnsi="Calibri"/>
                <w:color w:val="111A3B"/>
                <w:sz w:val="18"/>
              </w:rPr>
              <w:t>Correction de l'orientation, redimensionnement, perspective, inclinaison et contraste.</w:t>
            </w:r>
          </w:p>
        </w:tc>
        <w:tc>
          <w:tcPr>
            <w:tcW w:type="dxa" w:w="2040"/>
          </w:tcPr>
          <w:p>
            <w:pPr>
              <w:spacing w:before="0" w:after="0" w:line="259" w:lineRule="auto"/>
            </w:pPr>
            <w:r>
              <w:rPr>
                <w:rFonts w:ascii="Calibri" w:hAnsi="Calibri"/>
                <w:color w:val="111A3B"/>
                <w:sz w:val="18"/>
              </w:rPr>
              <w:t>Image ou PDF préparé</w:t>
            </w:r>
          </w:p>
        </w:tc>
      </w:tr>
      <w:tr>
        <w:tc>
          <w:tcPr>
            <w:tcW w:type="dxa" w:w="520"/>
          </w:tcPr>
          <w:p>
            <w:pPr>
              <w:spacing w:before="0" w:after="0" w:line="259" w:lineRule="auto"/>
            </w:pPr>
            <w:r>
              <w:rPr>
                <w:rFonts w:ascii="Calibri" w:hAnsi="Calibri"/>
                <w:color w:val="111A3B"/>
                <w:sz w:val="18"/>
              </w:rPr>
              <w:t>4</w:t>
            </w:r>
          </w:p>
        </w:tc>
        <w:tc>
          <w:tcPr>
            <w:tcW w:type="dxa" w:w="1600"/>
          </w:tcPr>
          <w:p>
            <w:pPr>
              <w:spacing w:before="0" w:after="0" w:line="259" w:lineRule="auto"/>
            </w:pPr>
            <w:r>
              <w:rPr>
                <w:rFonts w:ascii="Calibri" w:hAnsi="Calibri"/>
                <w:color w:val="111A3B"/>
                <w:sz w:val="18"/>
              </w:rPr>
              <w:t>Détection du type</w:t>
            </w:r>
          </w:p>
        </w:tc>
        <w:tc>
          <w:tcPr>
            <w:tcW w:type="dxa" w:w="5200"/>
          </w:tcPr>
          <w:p>
            <w:pPr>
              <w:spacing w:before="0" w:after="0" w:line="259" w:lineRule="auto"/>
            </w:pPr>
            <w:r>
              <w:rPr>
                <w:rFonts w:ascii="Calibri" w:hAnsi="Calibri"/>
                <w:color w:val="111A3B"/>
                <w:sz w:val="18"/>
              </w:rPr>
              <w:t>Identification automatique du document à partir du nom, des mots-clés et du texte OCR.</w:t>
            </w:r>
          </w:p>
        </w:tc>
        <w:tc>
          <w:tcPr>
            <w:tcW w:type="dxa" w:w="2040"/>
          </w:tcPr>
          <w:p>
            <w:pPr>
              <w:spacing w:before="0" w:after="0" w:line="259" w:lineRule="auto"/>
            </w:pPr>
            <w:r>
              <w:rPr>
                <w:rFonts w:ascii="Calibri" w:hAnsi="Calibri"/>
                <w:color w:val="111A3B"/>
                <w:sz w:val="18"/>
              </w:rPr>
              <w:t>Type documentaire</w:t>
            </w:r>
          </w:p>
        </w:tc>
      </w:tr>
      <w:tr>
        <w:tc>
          <w:tcPr>
            <w:tcW w:type="dxa" w:w="520"/>
          </w:tcPr>
          <w:p>
            <w:pPr>
              <w:spacing w:before="0" w:after="0" w:line="259" w:lineRule="auto"/>
            </w:pPr>
            <w:r>
              <w:rPr>
                <w:rFonts w:ascii="Calibri" w:hAnsi="Calibri"/>
                <w:color w:val="111A3B"/>
                <w:sz w:val="18"/>
              </w:rPr>
              <w:t>5</w:t>
            </w:r>
          </w:p>
        </w:tc>
        <w:tc>
          <w:tcPr>
            <w:tcW w:type="dxa" w:w="1600"/>
          </w:tcPr>
          <w:p>
            <w:pPr>
              <w:spacing w:before="0" w:after="0" w:line="259" w:lineRule="auto"/>
            </w:pPr>
            <w:r>
              <w:rPr>
                <w:rFonts w:ascii="Calibri" w:hAnsi="Calibri"/>
                <w:color w:val="111A3B"/>
                <w:sz w:val="18"/>
              </w:rPr>
              <w:t>Extraction</w:t>
            </w:r>
          </w:p>
        </w:tc>
        <w:tc>
          <w:tcPr>
            <w:tcW w:type="dxa" w:w="5200"/>
          </w:tcPr>
          <w:p>
            <w:pPr>
              <w:spacing w:before="0" w:after="0" w:line="259" w:lineRule="auto"/>
            </w:pPr>
            <w:r>
              <w:rPr>
                <w:rFonts w:ascii="Calibri" w:hAnsi="Calibri"/>
                <w:color w:val="111A3B"/>
                <w:sz w:val="18"/>
              </w:rPr>
              <w:t>Docling, PaddleOCR, Tesseract, Qwen local ou Gemini selon la méthode choisie.</w:t>
            </w:r>
          </w:p>
        </w:tc>
        <w:tc>
          <w:tcPr>
            <w:tcW w:type="dxa" w:w="2040"/>
          </w:tcPr>
          <w:p>
            <w:pPr>
              <w:spacing w:before="0" w:after="0" w:line="259" w:lineRule="auto"/>
            </w:pPr>
            <w:r>
              <w:rPr>
                <w:rFonts w:ascii="Calibri" w:hAnsi="Calibri"/>
                <w:color w:val="111A3B"/>
                <w:sz w:val="18"/>
              </w:rPr>
              <w:t>Texte et champs extraits</w:t>
            </w:r>
          </w:p>
        </w:tc>
      </w:tr>
      <w:tr>
        <w:tc>
          <w:tcPr>
            <w:tcW w:type="dxa" w:w="520"/>
          </w:tcPr>
          <w:p>
            <w:pPr>
              <w:spacing w:before="0" w:after="0" w:line="259" w:lineRule="auto"/>
            </w:pPr>
            <w:r>
              <w:rPr>
                <w:rFonts w:ascii="Calibri" w:hAnsi="Calibri"/>
                <w:color w:val="111A3B"/>
                <w:sz w:val="18"/>
              </w:rPr>
              <w:t>6</w:t>
            </w:r>
          </w:p>
        </w:tc>
        <w:tc>
          <w:tcPr>
            <w:tcW w:type="dxa" w:w="1600"/>
          </w:tcPr>
          <w:p>
            <w:pPr>
              <w:spacing w:before="0" w:after="0" w:line="259" w:lineRule="auto"/>
            </w:pPr>
            <w:r>
              <w:rPr>
                <w:rFonts w:ascii="Calibri" w:hAnsi="Calibri"/>
                <w:color w:val="111A3B"/>
                <w:sz w:val="18"/>
              </w:rPr>
              <w:t>Structuration</w:t>
            </w:r>
          </w:p>
        </w:tc>
        <w:tc>
          <w:tcPr>
            <w:tcW w:type="dxa" w:w="5200"/>
          </w:tcPr>
          <w:p>
            <w:pPr>
              <w:spacing w:before="0" w:after="0" w:line="259" w:lineRule="auto"/>
            </w:pPr>
            <w:r>
              <w:rPr>
                <w:rFonts w:ascii="Calibri" w:hAnsi="Calibri"/>
                <w:color w:val="111A3B"/>
                <w:sz w:val="18"/>
              </w:rPr>
              <w:t>Conversion des champs extraits en JSON selon un schéma métier.</w:t>
            </w:r>
          </w:p>
        </w:tc>
        <w:tc>
          <w:tcPr>
            <w:tcW w:type="dxa" w:w="2040"/>
          </w:tcPr>
          <w:p>
            <w:pPr>
              <w:spacing w:before="0" w:after="0" w:line="259" w:lineRule="auto"/>
            </w:pPr>
            <w:r>
              <w:rPr>
                <w:rFonts w:ascii="Calibri" w:hAnsi="Calibri"/>
                <w:color w:val="111A3B"/>
                <w:sz w:val="18"/>
              </w:rPr>
              <w:t>Objet JSON</w:t>
            </w:r>
          </w:p>
        </w:tc>
      </w:tr>
      <w:tr>
        <w:tc>
          <w:tcPr>
            <w:tcW w:type="dxa" w:w="520"/>
          </w:tcPr>
          <w:p>
            <w:pPr>
              <w:spacing w:before="0" w:after="0" w:line="259" w:lineRule="auto"/>
            </w:pPr>
            <w:r>
              <w:rPr>
                <w:rFonts w:ascii="Calibri" w:hAnsi="Calibri"/>
                <w:color w:val="111A3B"/>
                <w:sz w:val="18"/>
              </w:rPr>
              <w:t>7</w:t>
            </w:r>
          </w:p>
        </w:tc>
        <w:tc>
          <w:tcPr>
            <w:tcW w:type="dxa" w:w="1600"/>
          </w:tcPr>
          <w:p>
            <w:pPr>
              <w:spacing w:before="0" w:after="0" w:line="259" w:lineRule="auto"/>
            </w:pPr>
            <w:r>
              <w:rPr>
                <w:rFonts w:ascii="Calibri" w:hAnsi="Calibri"/>
                <w:color w:val="111A3B"/>
                <w:sz w:val="18"/>
              </w:rPr>
              <w:t>Validation</w:t>
            </w:r>
          </w:p>
        </w:tc>
        <w:tc>
          <w:tcPr>
            <w:tcW w:type="dxa" w:w="5200"/>
          </w:tcPr>
          <w:p>
            <w:pPr>
              <w:spacing w:before="0" w:after="0" w:line="259" w:lineRule="auto"/>
            </w:pPr>
            <w:r>
              <w:rPr>
                <w:rFonts w:ascii="Calibri" w:hAnsi="Calibri"/>
                <w:color w:val="111A3B"/>
                <w:sz w:val="18"/>
              </w:rPr>
              <w:t>Contrôle des champs obligatoires et génération d'avertissements.</w:t>
            </w:r>
          </w:p>
        </w:tc>
        <w:tc>
          <w:tcPr>
            <w:tcW w:type="dxa" w:w="2040"/>
          </w:tcPr>
          <w:p>
            <w:pPr>
              <w:spacing w:before="0" w:after="0" w:line="259" w:lineRule="auto"/>
            </w:pPr>
            <w:r>
              <w:rPr>
                <w:rFonts w:ascii="Calibri" w:hAnsi="Calibri"/>
                <w:color w:val="111A3B"/>
                <w:sz w:val="18"/>
              </w:rPr>
              <w:t>Résultat qualifié</w:t>
            </w:r>
          </w:p>
        </w:tc>
      </w:tr>
      <w:tr>
        <w:tc>
          <w:tcPr>
            <w:tcW w:type="dxa" w:w="520"/>
          </w:tcPr>
          <w:p>
            <w:pPr>
              <w:spacing w:before="0" w:after="0" w:line="259" w:lineRule="auto"/>
            </w:pPr>
            <w:r>
              <w:rPr>
                <w:rFonts w:ascii="Calibri" w:hAnsi="Calibri"/>
                <w:color w:val="111A3B"/>
                <w:sz w:val="18"/>
              </w:rPr>
              <w:t>8</w:t>
            </w:r>
          </w:p>
        </w:tc>
        <w:tc>
          <w:tcPr>
            <w:tcW w:type="dxa" w:w="1600"/>
          </w:tcPr>
          <w:p>
            <w:pPr>
              <w:spacing w:before="0" w:after="0" w:line="259" w:lineRule="auto"/>
            </w:pPr>
            <w:r>
              <w:rPr>
                <w:rFonts w:ascii="Calibri" w:hAnsi="Calibri"/>
                <w:color w:val="111A3B"/>
                <w:sz w:val="18"/>
              </w:rPr>
              <w:t>Stockage</w:t>
            </w:r>
          </w:p>
        </w:tc>
        <w:tc>
          <w:tcPr>
            <w:tcW w:type="dxa" w:w="5200"/>
          </w:tcPr>
          <w:p>
            <w:pPr>
              <w:spacing w:before="0" w:after="0" w:line="259" w:lineRule="auto"/>
            </w:pPr>
            <w:r>
              <w:rPr>
                <w:rFonts w:ascii="Calibri" w:hAnsi="Calibri"/>
                <w:color w:val="111A3B"/>
                <w:sz w:val="18"/>
              </w:rPr>
              <w:t>Archivage du fichier source, du JSON, du statut, du score et de la méthode.</w:t>
            </w:r>
          </w:p>
        </w:tc>
        <w:tc>
          <w:tcPr>
            <w:tcW w:type="dxa" w:w="2040"/>
          </w:tcPr>
          <w:p>
            <w:pPr>
              <w:spacing w:before="0" w:after="0" w:line="259" w:lineRule="auto"/>
            </w:pPr>
            <w:r>
              <w:rPr>
                <w:rFonts w:ascii="Calibri" w:hAnsi="Calibri"/>
                <w:color w:val="111A3B"/>
                <w:sz w:val="18"/>
              </w:rPr>
              <w:t>Historique exploitable</w:t>
            </w:r>
          </w:p>
        </w:tc>
      </w:tr>
    </w:tbl>
    <w:p>
      <w:pPr>
        <w:pStyle w:val="Heading1"/>
        <w:spacing w:before="320" w:after="160" w:line="264" w:lineRule="auto"/>
      </w:pPr>
      <w:r>
        <w:rPr>
          <w:rFonts w:ascii="Calibri" w:hAnsi="Calibri"/>
          <w:b/>
          <w:color w:val="2E74B5"/>
          <w:sz w:val="32"/>
        </w:rPr>
        <w:t>4. Prétraitement des documents avec OpenCV</w:t>
      </w:r>
    </w:p>
    <w:p>
      <w:pPr>
        <w:spacing w:before="0" w:after="120" w:line="264" w:lineRule="auto"/>
      </w:pPr>
      <w:r>
        <w:rPr>
          <w:rFonts w:ascii="Calibri" w:hAnsi="Calibri"/>
          <w:b w:val="0"/>
          <w:i w:val="0"/>
        </w:rPr>
        <w:t>Le prétraitement vise à améliorer la lisibilité du document avant l'OCR. Dans l'application, les images sont normalisées puis renforcées afin d'augmenter la qualité du texte détecté.</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800"/>
        <w:gridCol w:w="6560"/>
      </w:tblGrid>
      <w:tr>
        <w:tc>
          <w:tcPr>
            <w:tcW w:type="dxa" w:w="280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Opération</w:t>
            </w:r>
          </w:p>
        </w:tc>
        <w:tc>
          <w:tcPr>
            <w:tcW w:type="dxa" w:w="656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Rôle dans le pipeline</w:t>
            </w:r>
          </w:p>
        </w:tc>
      </w:tr>
      <w:tr>
        <w:tc>
          <w:tcPr>
            <w:tcW w:type="dxa" w:w="2800"/>
          </w:tcPr>
          <w:p>
            <w:pPr>
              <w:spacing w:before="0" w:after="0" w:line="259" w:lineRule="auto"/>
            </w:pPr>
            <w:r>
              <w:rPr>
                <w:rFonts w:ascii="Calibri" w:hAnsi="Calibri"/>
                <w:color w:val="111A3B"/>
                <w:sz w:val="18"/>
              </w:rPr>
              <w:t>Validation du format</w:t>
            </w:r>
          </w:p>
        </w:tc>
        <w:tc>
          <w:tcPr>
            <w:tcW w:type="dxa" w:w="6560"/>
          </w:tcPr>
          <w:p>
            <w:pPr>
              <w:spacing w:before="0" w:after="0" w:line="259" w:lineRule="auto"/>
            </w:pPr>
            <w:r>
              <w:rPr>
                <w:rFonts w:ascii="Calibri" w:hAnsi="Calibri"/>
                <w:color w:val="111A3B"/>
                <w:sz w:val="18"/>
              </w:rPr>
              <w:t>Vérifie les extensions autorisées : PDF, JPG, PNG, TIFF, WEBP et BMP.</w:t>
            </w:r>
          </w:p>
        </w:tc>
      </w:tr>
      <w:tr>
        <w:tc>
          <w:tcPr>
            <w:tcW w:type="dxa" w:w="2800"/>
          </w:tcPr>
          <w:p>
            <w:pPr>
              <w:spacing w:before="0" w:after="0" w:line="259" w:lineRule="auto"/>
            </w:pPr>
            <w:r>
              <w:rPr>
                <w:rFonts w:ascii="Calibri" w:hAnsi="Calibri"/>
                <w:color w:val="111A3B"/>
                <w:sz w:val="18"/>
              </w:rPr>
              <w:t>Correction d'orientation</w:t>
            </w:r>
          </w:p>
        </w:tc>
        <w:tc>
          <w:tcPr>
            <w:tcW w:type="dxa" w:w="6560"/>
          </w:tcPr>
          <w:p>
            <w:pPr>
              <w:spacing w:before="0" w:after="0" w:line="259" w:lineRule="auto"/>
            </w:pPr>
            <w:r>
              <w:rPr>
                <w:rFonts w:ascii="Calibri" w:hAnsi="Calibri"/>
                <w:color w:val="111A3B"/>
                <w:sz w:val="18"/>
              </w:rPr>
              <w:t>Corrige l'orientation EXIF et teste les rotations possibles lorsque c'est nécessaire.</w:t>
            </w:r>
          </w:p>
        </w:tc>
      </w:tr>
      <w:tr>
        <w:tc>
          <w:tcPr>
            <w:tcW w:type="dxa" w:w="2800"/>
          </w:tcPr>
          <w:p>
            <w:pPr>
              <w:spacing w:before="0" w:after="0" w:line="259" w:lineRule="auto"/>
            </w:pPr>
            <w:r>
              <w:rPr>
                <w:rFonts w:ascii="Calibri" w:hAnsi="Calibri"/>
                <w:color w:val="111A3B"/>
                <w:sz w:val="18"/>
              </w:rPr>
              <w:t>Redimensionnement</w:t>
            </w:r>
          </w:p>
        </w:tc>
        <w:tc>
          <w:tcPr>
            <w:tcW w:type="dxa" w:w="6560"/>
          </w:tcPr>
          <w:p>
            <w:pPr>
              <w:spacing w:before="0" w:after="0" w:line="259" w:lineRule="auto"/>
            </w:pPr>
            <w:r>
              <w:rPr>
                <w:rFonts w:ascii="Calibri" w:hAnsi="Calibri"/>
                <w:color w:val="111A3B"/>
                <w:sz w:val="18"/>
              </w:rPr>
              <w:t>Réduit ou agrandit l'image pour obtenir une taille exploitable par l'OCR.</w:t>
            </w:r>
          </w:p>
        </w:tc>
      </w:tr>
      <w:tr>
        <w:tc>
          <w:tcPr>
            <w:tcW w:type="dxa" w:w="2800"/>
          </w:tcPr>
          <w:p>
            <w:pPr>
              <w:spacing w:before="0" w:after="0" w:line="259" w:lineRule="auto"/>
            </w:pPr>
            <w:r>
              <w:rPr>
                <w:rFonts w:ascii="Calibri" w:hAnsi="Calibri"/>
                <w:color w:val="111A3B"/>
                <w:sz w:val="18"/>
              </w:rPr>
              <w:t>Correction de perspective</w:t>
            </w:r>
          </w:p>
        </w:tc>
        <w:tc>
          <w:tcPr>
            <w:tcW w:type="dxa" w:w="6560"/>
          </w:tcPr>
          <w:p>
            <w:pPr>
              <w:spacing w:before="0" w:after="0" w:line="259" w:lineRule="auto"/>
            </w:pPr>
            <w:r>
              <w:rPr>
                <w:rFonts w:ascii="Calibri" w:hAnsi="Calibri"/>
                <w:color w:val="111A3B"/>
                <w:sz w:val="18"/>
              </w:rPr>
              <w:t>Détecte le contour du document et redresse la zone utile.</w:t>
            </w:r>
          </w:p>
        </w:tc>
      </w:tr>
      <w:tr>
        <w:tc>
          <w:tcPr>
            <w:tcW w:type="dxa" w:w="2800"/>
          </w:tcPr>
          <w:p>
            <w:pPr>
              <w:spacing w:before="0" w:after="0" w:line="259" w:lineRule="auto"/>
            </w:pPr>
            <w:r>
              <w:rPr>
                <w:rFonts w:ascii="Calibri" w:hAnsi="Calibri"/>
                <w:color w:val="111A3B"/>
                <w:sz w:val="18"/>
              </w:rPr>
              <w:t>Correction d'inclinaison</w:t>
            </w:r>
          </w:p>
        </w:tc>
        <w:tc>
          <w:tcPr>
            <w:tcW w:type="dxa" w:w="6560"/>
          </w:tcPr>
          <w:p>
            <w:pPr>
              <w:spacing w:before="0" w:after="0" w:line="259" w:lineRule="auto"/>
            </w:pPr>
            <w:r>
              <w:rPr>
                <w:rFonts w:ascii="Calibri" w:hAnsi="Calibri"/>
                <w:color w:val="111A3B"/>
                <w:sz w:val="18"/>
              </w:rPr>
              <w:t>Utilise les lignes du document pour réduire l'effet de document penché.</w:t>
            </w:r>
          </w:p>
        </w:tc>
      </w:tr>
      <w:tr>
        <w:tc>
          <w:tcPr>
            <w:tcW w:type="dxa" w:w="2800"/>
          </w:tcPr>
          <w:p>
            <w:pPr>
              <w:spacing w:before="0" w:after="0" w:line="259" w:lineRule="auto"/>
            </w:pPr>
            <w:r>
              <w:rPr>
                <w:rFonts w:ascii="Calibri" w:hAnsi="Calibri"/>
                <w:color w:val="111A3B"/>
                <w:sz w:val="18"/>
              </w:rPr>
              <w:t>Amélioration du contraste</w:t>
            </w:r>
          </w:p>
        </w:tc>
        <w:tc>
          <w:tcPr>
            <w:tcW w:type="dxa" w:w="6560"/>
          </w:tcPr>
          <w:p>
            <w:pPr>
              <w:spacing w:before="0" w:after="0" w:line="259" w:lineRule="auto"/>
            </w:pPr>
            <w:r>
              <w:rPr>
                <w:rFonts w:ascii="Calibri" w:hAnsi="Calibri"/>
                <w:color w:val="111A3B"/>
                <w:sz w:val="18"/>
              </w:rPr>
              <w:t>Applique CLAHE et renforcement de netteté pour mieux séparer texte et arrière-plan.</w:t>
            </w:r>
          </w:p>
        </w:tc>
      </w:tr>
    </w:tbl>
    <w:p>
      <w:pPr>
        <w:pStyle w:val="Heading1"/>
        <w:spacing w:before="320" w:after="160" w:line="264" w:lineRule="auto"/>
      </w:pPr>
      <w:r>
        <w:rPr>
          <w:rFonts w:ascii="Calibri" w:hAnsi="Calibri"/>
          <w:b/>
          <w:color w:val="2E74B5"/>
          <w:sz w:val="32"/>
        </w:rPr>
        <w:t>5. Pipeline local : Docling, PaddleOCR et Qwen</w:t>
      </w:r>
    </w:p>
    <w:p>
      <w:pPr>
        <w:spacing w:before="0" w:after="120" w:line="264" w:lineRule="auto"/>
      </w:pPr>
      <w:r>
        <w:rPr>
          <w:rFonts w:ascii="Calibri" w:hAnsi="Calibri"/>
          <w:b w:val="0"/>
          <w:i w:val="0"/>
        </w:rPr>
        <w:t>Le pipeline local est la méthode principale. Il permet de traiter les documents sans envoyer les données vers un service externe. Il combine extraction documentaire, OCR et modèle de langage local.</w:t>
      </w:r>
    </w:p>
    <w:p>
      <w:pPr>
        <w:pStyle w:val="ListNumber"/>
        <w:spacing w:before="0" w:after="80" w:line="264" w:lineRule="auto"/>
        <w:ind w:left="720" w:hanging="360"/>
      </w:pPr>
      <w:r>
        <w:rPr>
          <w:rFonts w:ascii="Calibri" w:hAnsi="Calibri"/>
          <w:color w:val="111A3B"/>
          <w:sz w:val="21"/>
        </w:rPr>
        <w:t>Docling tente de convertir le document en texte ou en Markdown structuré.</w:t>
      </w:r>
    </w:p>
    <w:p>
      <w:pPr>
        <w:pStyle w:val="ListNumber"/>
        <w:spacing w:before="0" w:after="80" w:line="264" w:lineRule="auto"/>
        <w:ind w:left="720" w:hanging="360"/>
      </w:pPr>
      <w:r>
        <w:rPr>
          <w:rFonts w:ascii="Calibri" w:hAnsi="Calibri"/>
          <w:color w:val="111A3B"/>
          <w:sz w:val="21"/>
        </w:rPr>
        <w:t>L'application évalue la qualité du contenu extrait : nombre de caractères, mots, lignes, chiffres et tableaux.</w:t>
      </w:r>
    </w:p>
    <w:p>
      <w:pPr>
        <w:pStyle w:val="ListNumber"/>
        <w:spacing w:before="0" w:after="80" w:line="264" w:lineRule="auto"/>
        <w:ind w:left="720" w:hanging="360"/>
      </w:pPr>
      <w:r>
        <w:rPr>
          <w:rFonts w:ascii="Calibri" w:hAnsi="Calibri"/>
          <w:color w:val="111A3B"/>
          <w:sz w:val="21"/>
        </w:rPr>
        <w:t>Si Docling est insuffisant, le pipeline bascule vers PaddleOCR.</w:t>
      </w:r>
    </w:p>
    <w:p>
      <w:pPr>
        <w:pStyle w:val="ListNumber"/>
        <w:spacing w:before="0" w:after="80" w:line="264" w:lineRule="auto"/>
        <w:ind w:left="720" w:hanging="360"/>
      </w:pPr>
      <w:r>
        <w:rPr>
          <w:rFonts w:ascii="Calibri" w:hAnsi="Calibri"/>
          <w:color w:val="111A3B"/>
          <w:sz w:val="21"/>
        </w:rPr>
        <w:t>Si PaddleOCR échoue ou dépasse le délai, Tesseract OCR est utilisé comme secours rapide.</w:t>
      </w:r>
    </w:p>
    <w:p>
      <w:pPr>
        <w:pStyle w:val="ListNumber"/>
        <w:spacing w:before="0" w:after="80" w:line="264" w:lineRule="auto"/>
        <w:ind w:left="720" w:hanging="360"/>
      </w:pPr>
      <w:r>
        <w:rPr>
          <w:rFonts w:ascii="Calibri" w:hAnsi="Calibri"/>
          <w:color w:val="111A3B"/>
          <w:sz w:val="21"/>
        </w:rPr>
        <w:t>Le texte obtenu est envoyé à Qwen local via Ollama avec un schéma JSON attendu.</w:t>
      </w:r>
    </w:p>
    <w:p>
      <w:pPr>
        <w:pStyle w:val="ListNumber"/>
        <w:spacing w:before="0" w:after="80" w:line="264" w:lineRule="auto"/>
        <w:ind w:left="720" w:hanging="360"/>
      </w:pPr>
      <w:r>
        <w:rPr>
          <w:rFonts w:ascii="Calibri" w:hAnsi="Calibri"/>
          <w:color w:val="111A3B"/>
          <w:sz w:val="21"/>
        </w:rPr>
        <w:t>Qwen retourne un objet JSON contenant les champs métier détectés.</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100"/>
        <w:gridCol w:w="7260"/>
      </w:tblGrid>
      <w:tr>
        <w:tc>
          <w:tcPr>
            <w:tcW w:type="dxa" w:w="210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Composant</w:t>
            </w:r>
          </w:p>
        </w:tc>
        <w:tc>
          <w:tcPr>
            <w:tcW w:type="dxa" w:w="726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Rôle</w:t>
            </w:r>
          </w:p>
        </w:tc>
      </w:tr>
      <w:tr>
        <w:tc>
          <w:tcPr>
            <w:tcW w:type="dxa" w:w="2100"/>
          </w:tcPr>
          <w:p>
            <w:pPr>
              <w:spacing w:before="0" w:after="0" w:line="259" w:lineRule="auto"/>
            </w:pPr>
            <w:r>
              <w:rPr>
                <w:rFonts w:ascii="Calibri" w:hAnsi="Calibri"/>
                <w:color w:val="111A3B"/>
                <w:sz w:val="18"/>
              </w:rPr>
              <w:t>Docling</w:t>
            </w:r>
          </w:p>
        </w:tc>
        <w:tc>
          <w:tcPr>
            <w:tcW w:type="dxa" w:w="7260"/>
          </w:tcPr>
          <w:p>
            <w:pPr>
              <w:spacing w:before="0" w:after="0" w:line="259" w:lineRule="auto"/>
            </w:pPr>
            <w:r>
              <w:rPr>
                <w:rFonts w:ascii="Calibri" w:hAnsi="Calibri"/>
                <w:color w:val="111A3B"/>
                <w:sz w:val="18"/>
              </w:rPr>
              <w:t>Extraction de contenu documentaire structuré, surtout utile pour les PDF.</w:t>
            </w:r>
          </w:p>
        </w:tc>
      </w:tr>
      <w:tr>
        <w:tc>
          <w:tcPr>
            <w:tcW w:type="dxa" w:w="2100"/>
          </w:tcPr>
          <w:p>
            <w:pPr>
              <w:spacing w:before="0" w:after="0" w:line="259" w:lineRule="auto"/>
            </w:pPr>
            <w:r>
              <w:rPr>
                <w:rFonts w:ascii="Calibri" w:hAnsi="Calibri"/>
                <w:color w:val="111A3B"/>
                <w:sz w:val="18"/>
              </w:rPr>
              <w:t>PaddleOCR</w:t>
            </w:r>
          </w:p>
        </w:tc>
        <w:tc>
          <w:tcPr>
            <w:tcW w:type="dxa" w:w="7260"/>
          </w:tcPr>
          <w:p>
            <w:pPr>
              <w:spacing w:before="0" w:after="0" w:line="259" w:lineRule="auto"/>
            </w:pPr>
            <w:r>
              <w:rPr>
                <w:rFonts w:ascii="Calibri" w:hAnsi="Calibri"/>
                <w:color w:val="111A3B"/>
                <w:sz w:val="18"/>
              </w:rPr>
              <w:t>OCR robuste utilisé comme fallback lorsque Docling ne fournit pas assez de texte.</w:t>
            </w:r>
          </w:p>
        </w:tc>
      </w:tr>
      <w:tr>
        <w:tc>
          <w:tcPr>
            <w:tcW w:type="dxa" w:w="2100"/>
          </w:tcPr>
          <w:p>
            <w:pPr>
              <w:spacing w:before="0" w:after="0" w:line="259" w:lineRule="auto"/>
            </w:pPr>
            <w:r>
              <w:rPr>
                <w:rFonts w:ascii="Calibri" w:hAnsi="Calibri"/>
                <w:color w:val="111A3B"/>
                <w:sz w:val="18"/>
              </w:rPr>
              <w:t>Tesseract OCR</w:t>
            </w:r>
          </w:p>
        </w:tc>
        <w:tc>
          <w:tcPr>
            <w:tcW w:type="dxa" w:w="7260"/>
          </w:tcPr>
          <w:p>
            <w:pPr>
              <w:spacing w:before="0" w:after="0" w:line="259" w:lineRule="auto"/>
            </w:pPr>
            <w:r>
              <w:rPr>
                <w:rFonts w:ascii="Calibri" w:hAnsi="Calibri"/>
                <w:color w:val="111A3B"/>
                <w:sz w:val="18"/>
              </w:rPr>
              <w:t>Secours local rapide pour obtenir du texte minimal exploitable.</w:t>
            </w:r>
          </w:p>
        </w:tc>
      </w:tr>
      <w:tr>
        <w:tc>
          <w:tcPr>
            <w:tcW w:type="dxa" w:w="2100"/>
          </w:tcPr>
          <w:p>
            <w:pPr>
              <w:spacing w:before="0" w:after="0" w:line="259" w:lineRule="auto"/>
            </w:pPr>
            <w:r>
              <w:rPr>
                <w:rFonts w:ascii="Calibri" w:hAnsi="Calibri"/>
                <w:color w:val="111A3B"/>
                <w:sz w:val="18"/>
              </w:rPr>
              <w:t>Qwen local</w:t>
            </w:r>
          </w:p>
        </w:tc>
        <w:tc>
          <w:tcPr>
            <w:tcW w:type="dxa" w:w="7260"/>
          </w:tcPr>
          <w:p>
            <w:pPr>
              <w:spacing w:before="0" w:after="0" w:line="259" w:lineRule="auto"/>
            </w:pPr>
            <w:r>
              <w:rPr>
                <w:rFonts w:ascii="Calibri" w:hAnsi="Calibri"/>
                <w:color w:val="111A3B"/>
                <w:sz w:val="18"/>
              </w:rPr>
              <w:t>Transformation du texte en JSON structuré selon le type de document.</w:t>
            </w:r>
          </w:p>
        </w:tc>
      </w:tr>
      <w:tr>
        <w:tc>
          <w:tcPr>
            <w:tcW w:type="dxa" w:w="2100"/>
          </w:tcPr>
          <w:p>
            <w:pPr>
              <w:spacing w:before="0" w:after="0" w:line="259" w:lineRule="auto"/>
            </w:pPr>
            <w:r>
              <w:rPr>
                <w:rFonts w:ascii="Calibri" w:hAnsi="Calibri"/>
                <w:color w:val="111A3B"/>
                <w:sz w:val="18"/>
              </w:rPr>
              <w:t>Ollama</w:t>
            </w:r>
          </w:p>
        </w:tc>
        <w:tc>
          <w:tcPr>
            <w:tcW w:type="dxa" w:w="7260"/>
          </w:tcPr>
          <w:p>
            <w:pPr>
              <w:spacing w:before="0" w:after="0" w:line="259" w:lineRule="auto"/>
            </w:pPr>
            <w:r>
              <w:rPr>
                <w:rFonts w:ascii="Calibri" w:hAnsi="Calibri"/>
                <w:color w:val="111A3B"/>
                <w:sz w:val="18"/>
              </w:rPr>
              <w:t>Serveur local qui exécute le modèle Qwen sur la machine.</w:t>
            </w:r>
          </w:p>
        </w:tc>
      </w:tr>
    </w:tbl>
    <w:p>
      <w:pPr>
        <w:pStyle w:val="Heading1"/>
        <w:spacing w:before="320" w:after="160" w:line="264" w:lineRule="auto"/>
      </w:pPr>
      <w:r>
        <w:rPr>
          <w:rFonts w:ascii="Calibri" w:hAnsi="Calibri"/>
          <w:b/>
          <w:color w:val="2E74B5"/>
          <w:sz w:val="32"/>
        </w:rPr>
        <w:t>6. Pipeline Gemini</w:t>
      </w:r>
    </w:p>
    <w:p>
      <w:pPr>
        <w:spacing w:before="0" w:after="120" w:line="264" w:lineRule="auto"/>
      </w:pPr>
      <w:r>
        <w:rPr>
          <w:rFonts w:ascii="Calibri" w:hAnsi="Calibri"/>
          <w:b w:val="0"/>
          <w:i w:val="0"/>
        </w:rPr>
        <w:t>L'application conserve une méthode basée sur l'API Gemini. Cette méthode est utilisée lorsque l'utilisateur la sélectionne explicitement, notamment pour comparer les résultats avec le pipeline local ou traiter certains documents complexes.</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tcMar>
              <w:top w:w="80" w:type="dxa"/>
              <w:start w:w="120" w:type="dxa"/>
              <w:bottom w:w="80" w:type="dxa"/>
              <w:end w:w="120" w:type="dxa"/>
            </w:tcMar>
            <w:vAlign w:val="center"/>
            <w:shd w:fill="EEF4FF"/>
          </w:tcPr>
          <w:p>
            <w:pPr>
              <w:spacing w:before="0" w:after="40" w:line="264" w:lineRule="auto"/>
            </w:pPr>
            <w:r>
              <w:rPr>
                <w:rFonts w:ascii="Calibri" w:hAnsi="Calibri"/>
                <w:b/>
                <w:color w:val="1F4D78"/>
                <w:sz w:val="22"/>
              </w:rPr>
              <w:t>Différence principale</w:t>
            </w:r>
          </w:p>
          <w:p>
            <w:pPr>
              <w:spacing w:before="0" w:after="0" w:line="264" w:lineRule="auto"/>
            </w:pPr>
            <w:r>
              <w:rPr>
                <w:rFonts w:ascii="Calibri" w:hAnsi="Calibri"/>
                <w:color w:val="111A3B"/>
                <w:sz w:val="21"/>
              </w:rPr>
              <w:t>Le pipeline local garde les données dans l'environnement de l'utilisateur, alors que Gemini s'appuie sur une API externe. Les résultats Gemini sont ensuite normalisés pour rester compatibles avec les mêmes pages Documents, Historiques et Tableau de bord.</w:t>
            </w:r>
          </w:p>
        </w:tc>
      </w:tr>
    </w:tbl>
    <w:p>
      <w:pPr>
        <w:spacing w:before="0" w:after="80" w:line="264" w:lineRule="auto"/>
      </w:pPr>
    </w:p>
    <w:p>
      <w:pPr>
        <w:pStyle w:val="Heading1"/>
        <w:spacing w:before="320" w:after="160" w:line="264" w:lineRule="auto"/>
      </w:pPr>
      <w:r>
        <w:rPr>
          <w:rFonts w:ascii="Calibri" w:hAnsi="Calibri"/>
          <w:b/>
          <w:color w:val="2E74B5"/>
          <w:sz w:val="32"/>
        </w:rPr>
        <w:t>7. Normalisation et résultat JSON</w:t>
      </w:r>
    </w:p>
    <w:p>
      <w:pPr>
        <w:spacing w:before="0" w:after="120" w:line="264" w:lineRule="auto"/>
      </w:pPr>
      <w:r>
        <w:rPr>
          <w:rFonts w:ascii="Calibri" w:hAnsi="Calibri"/>
          <w:b w:val="0"/>
          <w:i w:val="0"/>
        </w:rPr>
        <w:t>Après l'extraction, les champs sont convertis dans une structure JSON standardisée. Cette normalisation rend l'affichage, le stockage, la recherche et l'export PDF cohérents pour tous les types de documents.</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9360"/>
      </w:tblGrid>
      <w:tr>
        <w:tc>
          <w:tcPr>
            <w:tcW w:type="dxa" w:w="9360"/>
            <w:tcMar>
              <w:top w:w="80" w:type="dxa"/>
              <w:start w:w="120" w:type="dxa"/>
              <w:bottom w:w="80" w:type="dxa"/>
              <w:end w:w="120" w:type="dxa"/>
            </w:tcMar>
            <w:vAlign w:val="center"/>
            <w:shd w:fill="F8FAFD"/>
          </w:tcPr>
          <w:p>
            <w:pPr>
              <w:spacing w:before="0" w:after="0" w:line="240" w:lineRule="auto"/>
            </w:pPr>
            <w:r>
              <w:rPr>
                <w:rFonts w:ascii="Consolas" w:hAnsi="Consolas"/>
                <w:color w:val="111A3B"/>
                <w:sz w:val="18"/>
              </w:rPr>
              <w:t>{</w:t>
              <w:br/>
              <w:t xml:space="preserve">  "document_type": "steg_invoice",</w:t>
              <w:br/>
              <w:t xml:space="preserve">  "reference": "123456789",</w:t>
              <w:br/>
              <w:t xml:space="preserve">  "numero_compteur": "456789",</w:t>
              <w:br/>
              <w:t xml:space="preserve">  "date_facture": "2025-05-12",</w:t>
              <w:br/>
              <w:t xml:space="preserve">  "montant_a_payer": "185.750",</w:t>
              <w:br/>
              <w:t xml:space="preserve">  "warnings": []</w:t>
              <w:br/>
              <w:t>}</w:t>
            </w:r>
          </w:p>
        </w:tc>
      </w:tr>
    </w:tbl>
    <w:p>
      <w:pPr>
        <w:pStyle w:val="Heading1"/>
        <w:spacing w:before="320" w:after="160" w:line="264" w:lineRule="auto"/>
      </w:pPr>
      <w:r>
        <w:rPr>
          <w:rFonts w:ascii="Calibri" w:hAnsi="Calibri"/>
          <w:b/>
          <w:color w:val="2E74B5"/>
          <w:sz w:val="32"/>
        </w:rPr>
        <w:t>8. Validation métier et score qualité</w:t>
      </w:r>
    </w:p>
    <w:p>
      <w:pPr>
        <w:spacing w:before="0" w:after="120" w:line="264" w:lineRule="auto"/>
      </w:pPr>
      <w:r>
        <w:rPr>
          <w:rFonts w:ascii="Calibri" w:hAnsi="Calibri"/>
          <w:b w:val="0"/>
          <w:i w:val="0"/>
        </w:rPr>
        <w:t>Avant l'enregistrement, l'application vérifie que les champs importants sont présents. Cette étape évite de considérer comme satisfaisant un résultat incomplet.</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00"/>
        <w:gridCol w:w="6860"/>
      </w:tblGrid>
      <w:tr>
        <w:tc>
          <w:tcPr>
            <w:tcW w:type="dxa" w:w="250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Type de document</w:t>
            </w:r>
          </w:p>
        </w:tc>
        <w:tc>
          <w:tcPr>
            <w:tcW w:type="dxa" w:w="686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Champs obligatoires contrôlés</w:t>
            </w:r>
          </w:p>
        </w:tc>
      </w:tr>
      <w:tr>
        <w:tc>
          <w:tcPr>
            <w:tcW w:type="dxa" w:w="2500"/>
          </w:tcPr>
          <w:p>
            <w:pPr>
              <w:spacing w:before="0" w:after="0" w:line="259" w:lineRule="auto"/>
            </w:pPr>
            <w:r>
              <w:rPr>
                <w:rFonts w:ascii="Calibri" w:hAnsi="Calibri"/>
                <w:color w:val="111A3B"/>
                <w:sz w:val="18"/>
              </w:rPr>
              <w:t>Facture STEG</w:t>
            </w:r>
          </w:p>
        </w:tc>
        <w:tc>
          <w:tcPr>
            <w:tcW w:type="dxa" w:w="6860"/>
          </w:tcPr>
          <w:p>
            <w:pPr>
              <w:spacing w:before="0" w:after="0" w:line="259" w:lineRule="auto"/>
            </w:pPr>
            <w:r>
              <w:rPr>
                <w:rFonts w:ascii="Calibri" w:hAnsi="Calibri"/>
                <w:color w:val="111A3B"/>
                <w:sz w:val="18"/>
              </w:rPr>
              <w:t>Référence, numéro compteur, date facture, montant à payer</w:t>
            </w:r>
          </w:p>
        </w:tc>
      </w:tr>
      <w:tr>
        <w:tc>
          <w:tcPr>
            <w:tcW w:type="dxa" w:w="2500"/>
          </w:tcPr>
          <w:p>
            <w:pPr>
              <w:spacing w:before="0" w:after="0" w:line="259" w:lineRule="auto"/>
            </w:pPr>
            <w:r>
              <w:rPr>
                <w:rFonts w:ascii="Calibri" w:hAnsi="Calibri"/>
                <w:color w:val="111A3B"/>
                <w:sz w:val="18"/>
              </w:rPr>
              <w:t>Analyse médicale</w:t>
            </w:r>
          </w:p>
        </w:tc>
        <w:tc>
          <w:tcPr>
            <w:tcW w:type="dxa" w:w="6860"/>
          </w:tcPr>
          <w:p>
            <w:pPr>
              <w:spacing w:before="0" w:after="0" w:line="259" w:lineRule="auto"/>
            </w:pPr>
            <w:r>
              <w:rPr>
                <w:rFonts w:ascii="Calibri" w:hAnsi="Calibri"/>
                <w:color w:val="111A3B"/>
                <w:sz w:val="18"/>
              </w:rPr>
              <w:t>Patient et résultats des examens</w:t>
            </w:r>
          </w:p>
        </w:tc>
      </w:tr>
      <w:tr>
        <w:tc>
          <w:tcPr>
            <w:tcW w:type="dxa" w:w="2500"/>
          </w:tcPr>
          <w:p>
            <w:pPr>
              <w:spacing w:before="0" w:after="0" w:line="259" w:lineRule="auto"/>
            </w:pPr>
            <w:r>
              <w:rPr>
                <w:rFonts w:ascii="Calibri" w:hAnsi="Calibri"/>
                <w:color w:val="111A3B"/>
                <w:sz w:val="18"/>
              </w:rPr>
              <w:t>Ticket de caisse</w:t>
            </w:r>
          </w:p>
        </w:tc>
        <w:tc>
          <w:tcPr>
            <w:tcW w:type="dxa" w:w="6860"/>
          </w:tcPr>
          <w:p>
            <w:pPr>
              <w:spacing w:before="0" w:after="0" w:line="259" w:lineRule="auto"/>
            </w:pPr>
            <w:r>
              <w:rPr>
                <w:rFonts w:ascii="Calibri" w:hAnsi="Calibri"/>
                <w:color w:val="111A3B"/>
                <w:sz w:val="18"/>
              </w:rPr>
              <w:t>Magasin et total</w:t>
            </w:r>
          </w:p>
        </w:tc>
      </w:tr>
      <w:tr>
        <w:tc>
          <w:tcPr>
            <w:tcW w:type="dxa" w:w="2500"/>
          </w:tcPr>
          <w:p>
            <w:pPr>
              <w:spacing w:before="0" w:after="0" w:line="259" w:lineRule="auto"/>
            </w:pPr>
            <w:r>
              <w:rPr>
                <w:rFonts w:ascii="Calibri" w:hAnsi="Calibri"/>
                <w:color w:val="111A3B"/>
                <w:sz w:val="18"/>
              </w:rPr>
              <w:t>Facture fournisseur</w:t>
            </w:r>
          </w:p>
        </w:tc>
        <w:tc>
          <w:tcPr>
            <w:tcW w:type="dxa" w:w="6860"/>
          </w:tcPr>
          <w:p>
            <w:pPr>
              <w:spacing w:before="0" w:after="0" w:line="259" w:lineRule="auto"/>
            </w:pPr>
            <w:r>
              <w:rPr>
                <w:rFonts w:ascii="Calibri" w:hAnsi="Calibri"/>
                <w:color w:val="111A3B"/>
                <w:sz w:val="18"/>
              </w:rPr>
              <w:t>Numéro facture et total</w:t>
            </w:r>
          </w:p>
        </w:tc>
      </w:tr>
    </w:tbl>
    <w:p>
      <w:pPr>
        <w:spacing w:before="0" w:after="120" w:line="264" w:lineRule="auto"/>
      </w:pPr>
      <w:r>
        <w:rPr>
          <w:rFonts w:ascii="Calibri" w:hAnsi="Calibri"/>
          <w:b w:val="0"/>
          <w:i w:val="0"/>
        </w:rPr>
        <w:t>Un score qualité est calculé à partir des champs détectés. Dans l'interface, ce score permet de classer le résultat comme fiable, correct ou à vérifier.</w:t>
      </w:r>
    </w:p>
    <w:p>
      <w:pPr>
        <w:pStyle w:val="Heading1"/>
        <w:spacing w:before="320" w:after="160" w:line="264" w:lineRule="auto"/>
      </w:pPr>
      <w:r>
        <w:rPr>
          <w:rFonts w:ascii="Calibri" w:hAnsi="Calibri"/>
          <w:b/>
          <w:color w:val="2E74B5"/>
          <w:sz w:val="32"/>
        </w:rPr>
        <w:t>9. Stockage et exploitation dans l'application</w:t>
      </w:r>
    </w:p>
    <w:p>
      <w:pPr>
        <w:spacing w:before="0" w:after="120" w:line="264" w:lineRule="auto"/>
      </w:pPr>
      <w:r>
        <w:rPr>
          <w:rFonts w:ascii="Calibri" w:hAnsi="Calibri"/>
          <w:b w:val="0"/>
          <w:i w:val="0"/>
        </w:rPr>
        <w:t>Une fois le traitement terminé, le fichier source et le JSON sont archivés dans l'historique. Les informations sont ensuite disponibles dans les pages Documents, Historiques et Tableau de bord.</w:t>
      </w:r>
    </w:p>
    <w:tbl>
      <w:tblPr>
        <w:tblW w:type="dxa" w:w="9360"/>
        <w:jc w:val="left"/>
        <w:tblLayout w:type="fixed"/>
        <w:tblLook w:firstColumn="1" w:firstRow="1" w:lastColumn="0" w:lastRow="0" w:noHBand="0" w:noVBand="1" w:val="04A0"/>
        <w:tblInd w:w="12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500"/>
        <w:gridCol w:w="6860"/>
      </w:tblGrid>
      <w:tr>
        <w:tc>
          <w:tcPr>
            <w:tcW w:type="dxa" w:w="250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Élément stocké</w:t>
            </w:r>
          </w:p>
        </w:tc>
        <w:tc>
          <w:tcPr>
            <w:tcW w:type="dxa" w:w="6860"/>
            <w:tcMar>
              <w:top w:w="80" w:type="dxa"/>
              <w:start w:w="120" w:type="dxa"/>
              <w:bottom w:w="80" w:type="dxa"/>
              <w:end w:w="120" w:type="dxa"/>
            </w:tcMar>
            <w:vAlign w:val="center"/>
            <w:shd w:fill="F2F4F7"/>
          </w:tcPr>
          <w:p>
            <w:pPr>
              <w:spacing w:before="0" w:after="0" w:line="264" w:lineRule="auto"/>
            </w:pPr>
            <w:r>
              <w:rPr>
                <w:rFonts w:ascii="Calibri" w:hAnsi="Calibri"/>
                <w:b/>
                <w:color w:val="111A3B"/>
                <w:sz w:val="19"/>
              </w:rPr>
              <w:t>Utilité</w:t>
            </w:r>
          </w:p>
        </w:tc>
      </w:tr>
      <w:tr>
        <w:tc>
          <w:tcPr>
            <w:tcW w:type="dxa" w:w="2500"/>
          </w:tcPr>
          <w:p>
            <w:pPr>
              <w:spacing w:before="0" w:after="0" w:line="259" w:lineRule="auto"/>
            </w:pPr>
            <w:r>
              <w:rPr>
                <w:rFonts w:ascii="Calibri" w:hAnsi="Calibri"/>
                <w:color w:val="111A3B"/>
                <w:sz w:val="18"/>
              </w:rPr>
              <w:t>Fichier source</w:t>
            </w:r>
          </w:p>
        </w:tc>
        <w:tc>
          <w:tcPr>
            <w:tcW w:type="dxa" w:w="6860"/>
          </w:tcPr>
          <w:p>
            <w:pPr>
              <w:spacing w:before="0" w:after="0" w:line="259" w:lineRule="auto"/>
            </w:pPr>
            <w:r>
              <w:rPr>
                <w:rFonts w:ascii="Calibri" w:hAnsi="Calibri"/>
                <w:color w:val="111A3B"/>
                <w:sz w:val="18"/>
              </w:rPr>
              <w:t>Permet de consulter le document original après extraction.</w:t>
            </w:r>
          </w:p>
        </w:tc>
      </w:tr>
      <w:tr>
        <w:tc>
          <w:tcPr>
            <w:tcW w:type="dxa" w:w="2500"/>
          </w:tcPr>
          <w:p>
            <w:pPr>
              <w:spacing w:before="0" w:after="0" w:line="259" w:lineRule="auto"/>
            </w:pPr>
            <w:r>
              <w:rPr>
                <w:rFonts w:ascii="Calibri" w:hAnsi="Calibri"/>
                <w:color w:val="111A3B"/>
                <w:sz w:val="18"/>
              </w:rPr>
              <w:t>Résultat JSON</w:t>
            </w:r>
          </w:p>
        </w:tc>
        <w:tc>
          <w:tcPr>
            <w:tcW w:type="dxa" w:w="6860"/>
          </w:tcPr>
          <w:p>
            <w:pPr>
              <w:spacing w:before="0" w:after="0" w:line="259" w:lineRule="auto"/>
            </w:pPr>
            <w:r>
              <w:rPr>
                <w:rFonts w:ascii="Calibri" w:hAnsi="Calibri"/>
                <w:color w:val="111A3B"/>
                <w:sz w:val="18"/>
              </w:rPr>
              <w:t>Contient les champs extraits et les métadonnées techniques.</w:t>
            </w:r>
          </w:p>
        </w:tc>
      </w:tr>
      <w:tr>
        <w:tc>
          <w:tcPr>
            <w:tcW w:type="dxa" w:w="2500"/>
          </w:tcPr>
          <w:p>
            <w:pPr>
              <w:spacing w:before="0" w:after="0" w:line="259" w:lineRule="auto"/>
            </w:pPr>
            <w:r>
              <w:rPr>
                <w:rFonts w:ascii="Calibri" w:hAnsi="Calibri"/>
                <w:color w:val="111A3B"/>
                <w:sz w:val="18"/>
              </w:rPr>
              <w:t>Méthode utilisée</w:t>
            </w:r>
          </w:p>
        </w:tc>
        <w:tc>
          <w:tcPr>
            <w:tcW w:type="dxa" w:w="6860"/>
          </w:tcPr>
          <w:p>
            <w:pPr>
              <w:spacing w:before="0" w:after="0" w:line="259" w:lineRule="auto"/>
            </w:pPr>
            <w:r>
              <w:rPr>
                <w:rFonts w:ascii="Calibri" w:hAnsi="Calibri"/>
                <w:color w:val="111A3B"/>
                <w:sz w:val="18"/>
              </w:rPr>
              <w:t>Indique si le document vient de l'OCR local, du pipeline local ou de Gemini.</w:t>
            </w:r>
          </w:p>
        </w:tc>
      </w:tr>
      <w:tr>
        <w:tc>
          <w:tcPr>
            <w:tcW w:type="dxa" w:w="2500"/>
          </w:tcPr>
          <w:p>
            <w:pPr>
              <w:spacing w:before="0" w:after="0" w:line="259" w:lineRule="auto"/>
            </w:pPr>
            <w:r>
              <w:rPr>
                <w:rFonts w:ascii="Calibri" w:hAnsi="Calibri"/>
                <w:color w:val="111A3B"/>
                <w:sz w:val="18"/>
              </w:rPr>
              <w:t>Statut</w:t>
            </w:r>
          </w:p>
        </w:tc>
        <w:tc>
          <w:tcPr>
            <w:tcW w:type="dxa" w:w="6860"/>
          </w:tcPr>
          <w:p>
            <w:pPr>
              <w:spacing w:before="0" w:after="0" w:line="259" w:lineRule="auto"/>
            </w:pPr>
            <w:r>
              <w:rPr>
                <w:rFonts w:ascii="Calibri" w:hAnsi="Calibri"/>
                <w:color w:val="111A3B"/>
                <w:sz w:val="18"/>
              </w:rPr>
              <w:t>Indique si le traitement est en succès ou en erreur.</w:t>
            </w:r>
          </w:p>
        </w:tc>
      </w:tr>
      <w:tr>
        <w:tc>
          <w:tcPr>
            <w:tcW w:type="dxa" w:w="2500"/>
          </w:tcPr>
          <w:p>
            <w:pPr>
              <w:spacing w:before="0" w:after="0" w:line="259" w:lineRule="auto"/>
            </w:pPr>
            <w:r>
              <w:rPr>
                <w:rFonts w:ascii="Calibri" w:hAnsi="Calibri"/>
                <w:color w:val="111A3B"/>
                <w:sz w:val="18"/>
              </w:rPr>
              <w:t>Rapport PDF</w:t>
            </w:r>
          </w:p>
        </w:tc>
        <w:tc>
          <w:tcPr>
            <w:tcW w:type="dxa" w:w="6860"/>
          </w:tcPr>
          <w:p>
            <w:pPr>
              <w:spacing w:before="0" w:after="0" w:line="259" w:lineRule="auto"/>
            </w:pPr>
            <w:r>
              <w:rPr>
                <w:rFonts w:ascii="Calibri" w:hAnsi="Calibri"/>
                <w:color w:val="111A3B"/>
                <w:sz w:val="18"/>
              </w:rPr>
              <w:t>Permet l'export du résultat sous forme de rapport lisible.</w:t>
            </w:r>
          </w:p>
        </w:tc>
      </w:tr>
    </w:tbl>
    <w:p>
      <w:pPr>
        <w:pStyle w:val="Heading1"/>
        <w:spacing w:before="320" w:after="160" w:line="264" w:lineRule="auto"/>
      </w:pPr>
      <w:r>
        <w:rPr>
          <w:rFonts w:ascii="Calibri" w:hAnsi="Calibri"/>
          <w:b/>
          <w:color w:val="2E74B5"/>
          <w:sz w:val="32"/>
        </w:rPr>
        <w:t>10. Synthèse</w:t>
      </w:r>
    </w:p>
    <w:p>
      <w:pPr>
        <w:spacing w:before="0" w:after="120" w:line="264" w:lineRule="auto"/>
      </w:pPr>
      <w:r>
        <w:rPr>
          <w:rFonts w:ascii="Calibri" w:hAnsi="Calibri"/>
          <w:b w:val="0"/>
          <w:i w:val="0"/>
        </w:rPr>
        <w:t>Le pipeline de l'application associe le prétraitement d'image, l'OCR et l'intelligence artificielle afin de transformer des documents hétérogènes en données structurées. Cette approche hybride améliore la robustesse du système face aux documents flous, inclinés, bruités ou présentant des mises en page différentes.</w:t>
      </w:r>
    </w:p>
    <w:p>
      <w:pPr>
        <w:spacing w:before="0" w:after="120" w:line="264" w:lineRule="auto"/>
      </w:pPr>
      <w:r>
        <w:rPr>
          <w:rFonts w:ascii="Calibri" w:hAnsi="Calibri"/>
          <w:b w:val="0"/>
          <w:i w:val="0"/>
        </w:rPr>
        <w:t>Ce pipeline constitue la base technique nécessaire aux étapes suivantes du projet : choix des modèles, évaluation des performances, comparaison entre OCR local, Docling, PaddleOCR, Qwen local et Gemini, puis exploitation des résultats dans l'interface web.</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64" w:lineRule="auto"/>
      <w:jc w:val="right"/>
    </w:pPr>
    <w:r>
      <w:rPr>
        <w:rFonts w:ascii="Calibri" w:hAnsi="Calibri"/>
        <w:color w:val="606B89"/>
        <w:sz w:val="18"/>
      </w:rPr>
      <w:t xml:space="preserve">Rapport pipeline application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A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