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
        <w:jc w:val="center"/>
      </w:pPr>
      <w:r>
        <w:rPr>
          <w:rFonts w:ascii="Calibri" w:cs="Calibri" w:eastAsia="Calibri" w:hAnsi="Calibri"/>
          <w:b/>
          <w:bCs/>
          <w:color w:val="0B1D35"/>
          <w:spacing w:val="280"/>
          <w:sz w:val="60"/>
          <w:szCs w:val="60"/>
        </w:rPr>
        <w:t xml:space="preserve">DALĪL GROUP</w:t>
      </w:r>
    </w:p>
    <w:p>
      <w:pPr>
        <w:spacing w:after="20"/>
        <w:jc w:val="center"/>
      </w:pPr>
      <w:r>
        <w:rPr>
          <w:rFonts w:ascii="Calibri" w:cs="Calibri" w:eastAsia="Calibri" w:hAnsi="Calibri"/>
          <w:b/>
          <w:bCs/>
          <w:color w:val="1A6B8A"/>
          <w:sz w:val="44"/>
          <w:szCs w:val="44"/>
        </w:rPr>
        <w:t xml:space="preserve">دليل</w:t>
      </w:r>
    </w:p>
    <w:p>
      <w:pPr>
        <w:spacing w:after="60"/>
      </w:pPr>
    </w:p>
    <w:p>
      <w:pPr>
        <w:pBdr>
          <w:top w:val="single" w:color="1A6B8A" w:sz="2" w:space="14"/>
          <w:bottom w:val="single" w:color="1A6B8A" w:sz="2" w:space="14"/>
        </w:pBdr>
        <w:spacing w:after="60"/>
        <w:jc w:val="center"/>
      </w:pPr>
      <w:r>
        <w:rPr>
          <w:rFonts w:ascii="Calibri" w:cs="Calibri" w:eastAsia="Calibri" w:hAnsi="Calibri"/>
          <w:i/>
          <w:iCs/>
          <w:color w:val="1A6B8A"/>
          <w:sz w:val="24"/>
          <w:szCs w:val="24"/>
        </w:rPr>
        <w:t xml:space="preserve">Evidence-Led AI. Guided by Rigour.</w:t>
      </w:r>
    </w:p>
    <w:p>
      <w:pPr>
        <w:spacing w:after="250"/>
      </w:pPr>
    </w:p>
    <w:p>
      <w:pPr>
        <w:spacing w:after="40"/>
        <w:jc w:val="center"/>
      </w:pPr>
      <w:r>
        <w:rPr>
          <w:rFonts w:ascii="Calibri" w:cs="Calibri" w:eastAsia="Calibri" w:hAnsi="Calibri"/>
          <w:b/>
          <w:bCs/>
          <w:color w:val="1E293B"/>
          <w:sz w:val="30"/>
          <w:szCs w:val="30"/>
        </w:rPr>
        <w:t xml:space="preserve">COMPANY MARKETING PROFILE</w:t>
      </w:r>
    </w:p>
    <w:p>
      <w:pPr>
        <w:spacing w:after="500"/>
      </w:pPr>
    </w:p>
    <w:p>
      <w:pPr>
        <w:spacing w:after="30"/>
        <w:jc w:val="center"/>
      </w:pPr>
      <w:r>
        <w:rPr>
          <w:rFonts w:ascii="Calibri" w:cs="Calibri" w:eastAsia="Calibri" w:hAnsi="Calibri"/>
          <w:color w:val="64748B"/>
          <w:sz w:val="22"/>
          <w:szCs w:val="22"/>
        </w:rPr>
        <w:t xml:space="preserve">2026</w:t>
      </w:r>
    </w:p>
    <w:p>
      <w:pPr>
        <w:jc w:val="center"/>
      </w:pPr>
      <w:r>
        <w:rPr>
          <w:rFonts w:ascii="Calibri" w:cs="Calibri" w:eastAsia="Calibri" w:hAnsi="Calibri"/>
          <w:i/>
          <w:iCs/>
          <w:color w:val="64748B"/>
          <w:sz w:val="18"/>
          <w:szCs w:val="18"/>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Brand Identity</w:t>
      </w:r>
    </w:p>
    <w:p>
      <w:pPr>
        <w:pStyle w:val="Heading2"/>
      </w:pPr>
      <w:r>
        <w:t xml:space="preserve">1.1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COMPANY NAME</w:t>
            </w:r>
          </w:p>
          <w:p>
            <w:pPr>
              <w:spacing w:after="35"/>
            </w:pPr>
            <w:r>
              <w:rPr>
                <w:rFonts w:ascii="Calibri" w:cs="Calibri" w:eastAsia="Calibri" w:hAnsi="Calibri"/>
                <w:color w:val="334155"/>
                <w:sz w:val="20"/>
                <w:szCs w:val="20"/>
              </w:rPr>
              <w:t xml:space="preserve">English: Dalīl Group</w:t>
            </w:r>
          </w:p>
          <w:p>
            <w:pPr>
              <w:spacing w:after="35"/>
            </w:pPr>
            <w:r>
              <w:rPr>
                <w:rFonts w:ascii="Calibri" w:cs="Calibri" w:eastAsia="Calibri" w:hAnsi="Calibri"/>
                <w:color w:val="334155"/>
                <w:sz w:val="20"/>
                <w:szCs w:val="20"/>
              </w:rPr>
              <w:t xml:space="preserve">Arabic: دليل جروب</w:t>
            </w:r>
          </w:p>
          <w:p>
            <w:pPr>
              <w:spacing w:after="35"/>
            </w:pPr>
            <w:r>
              <w:rPr>
                <w:rFonts w:ascii="Calibri" w:cs="Calibri" w:eastAsia="Calibri" w:hAnsi="Calibri"/>
                <w:color w:val="334155"/>
                <w:sz w:val="20"/>
                <w:szCs w:val="20"/>
              </w:rPr>
              <w:t xml:space="preserve">Pronunciation: dah-LEEL</w:t>
            </w:r>
          </w:p>
          <w:p>
            <w:pPr>
              <w:spacing w:after="35"/>
            </w:pPr>
            <w:r>
              <w:rPr>
                <w:rFonts w:ascii="Calibri" w:cs="Calibri" w:eastAsia="Calibri" w:hAnsi="Calibri"/>
                <w:color w:val="334155"/>
                <w:sz w:val="20"/>
                <w:szCs w:val="20"/>
              </w:rPr>
              <w:t xml:space="preserve">Legal: Dalīl Group Ltd (Companies House)</w:t>
            </w:r>
          </w:p>
          <w:p>
            <w:pPr>
              <w:spacing w:after="35"/>
            </w:pPr>
            <w:r>
              <w:rPr>
                <w:rFonts w:ascii="Calibri" w:cs="Calibri" w:eastAsia="Calibri" w:hAnsi="Calibri"/>
                <w:color w:val="334155"/>
                <w:sz w:val="20"/>
                <w:szCs w:val="20"/>
              </w:rPr>
              <w:t xml:space="preserve">Domain: dalilgroup.com / dalil.ai</w:t>
            </w:r>
          </w:p>
        </w:tc>
      </w:tr>
    </w:tbl>
    <w:p>
      <w:pPr>
        <w:spacing w:after="80"/>
      </w:pPr>
    </w:p>
    <w:p>
      <w:pPr>
        <w:pStyle w:val="Heading2"/>
      </w:pPr>
      <w:r>
        <w:t xml:space="preserve">1.2 Name Meaning</w:t>
      </w:r>
    </w:p>
    <w:p>
      <w:pPr>
        <w:spacing w:after="130" w:line="276"/>
      </w:pPr>
      <w:r>
        <w:rPr>
          <w:rFonts w:ascii="Calibri" w:cs="Calibri" w:eastAsia="Calibri" w:hAnsi="Calibri"/>
          <w:b/>
          <w:bCs/>
          <w:color w:val="0B1D35"/>
          <w:sz w:val="21"/>
          <w:szCs w:val="21"/>
        </w:rPr>
        <w:t xml:space="preserve">Dalīl</w:t>
      </w:r>
      <w:r>
        <w:rPr>
          <w:rFonts w:ascii="Calibri" w:cs="Calibri" w:eastAsia="Calibri" w:hAnsi="Calibri"/>
          <w:color w:val="334155"/>
          <w:sz w:val="21"/>
          <w:szCs w:val="21"/>
        </w:rPr>
        <w:t xml:space="preserve"> (دليل) carries dual meaning in Arabic:</w:t>
      </w:r>
    </w:p>
    <w:p>
      <w:pPr>
        <w:pStyle w:val="ListParagraph"/>
        <w:numPr>
          <w:ilvl w:val="0"/>
          <w:numId w:val="2"/>
        </w:numPr>
        <w:spacing w:after="65" w:line="264"/>
      </w:pPr>
      <w:r>
        <w:rPr>
          <w:rFonts w:ascii="Calibri" w:cs="Calibri" w:eastAsia="Calibri" w:hAnsi="Calibri"/>
          <w:b/>
          <w:bCs/>
          <w:color w:val="1E293B"/>
          <w:sz w:val="21"/>
          <w:szCs w:val="21"/>
        </w:rPr>
        <w:t xml:space="preserve">Evidence and proof. </w:t>
      </w:r>
      <w:r>
        <w:rPr>
          <w:rFonts w:ascii="Calibri" w:cs="Calibri" w:eastAsia="Calibri" w:hAnsi="Calibri"/>
          <w:color w:val="334155"/>
          <w:sz w:val="21"/>
          <w:szCs w:val="21"/>
        </w:rPr>
        <w:t xml:space="preserve">In classical and formal Arabic, dalīl refers to evidence, proof, or a demonstrable indicator of truth. In legal and scholarly contexts, it means the proof on which a judgment is based.</w:t>
      </w:r>
    </w:p>
    <w:p>
      <w:pPr>
        <w:pStyle w:val="ListParagraph"/>
        <w:numPr>
          <w:ilvl w:val="0"/>
          <w:numId w:val="2"/>
        </w:numPr>
        <w:spacing w:after="65" w:line="264"/>
      </w:pPr>
      <w:r>
        <w:rPr>
          <w:rFonts w:ascii="Calibri" w:cs="Calibri" w:eastAsia="Calibri" w:hAnsi="Calibri"/>
          <w:b/>
          <w:bCs/>
          <w:color w:val="1E293B"/>
          <w:sz w:val="21"/>
          <w:szCs w:val="21"/>
        </w:rPr>
        <w:t xml:space="preserve">Guide. </w:t>
      </w:r>
      <w:r>
        <w:rPr>
          <w:rFonts w:ascii="Calibri" w:cs="Calibri" w:eastAsia="Calibri" w:hAnsi="Calibri"/>
          <w:color w:val="334155"/>
          <w:sz w:val="21"/>
          <w:szCs w:val="21"/>
        </w:rPr>
        <w:t xml:space="preserve">In everyday Arabic, dalīl means a guide — someone or something that shows the way. A travel guide, a user manual, and an instruction book are all called dalīl.</w:t>
      </w:r>
    </w:p>
    <w:p>
      <w:pPr>
        <w:spacing w:after="40"/>
      </w:pPr>
    </w:p>
    <w:p>
      <w:pPr>
        <w:spacing w:after="130" w:line="276"/>
      </w:pPr>
      <w:r>
        <w:rPr>
          <w:rFonts w:ascii="Calibri" w:cs="Calibri" w:eastAsia="Calibri" w:hAnsi="Calibri"/>
          <w:color w:val="334155"/>
          <w:sz w:val="21"/>
          <w:szCs w:val="21"/>
        </w:rPr>
        <w:t xml:space="preserve">This duality is the brand’s foundation. Dalīl Group provides evidence that guides decisions. We produce proof that shows organisations the way. Whether evaluating AI systems, designing deployments, or advising on governance, the promise is the same: evidence you can act on, guidance you can trust.</w:t>
      </w:r>
    </w:p>
    <w:p>
      <w:pPr>
        <w:spacing w:after="80"/>
      </w:pPr>
    </w:p>
    <w:p>
      <w:pPr>
        <w:pStyle w:val="Heading2"/>
      </w:pPr>
      <w:r>
        <w:t xml:space="preserve">1.3 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PRIMARY TAGLINE</w:t>
            </w:r>
          </w:p>
          <w:p>
            <w:pPr>
              <w:spacing w:after="35"/>
            </w:pPr>
            <w:r>
              <w:rPr>
                <w:rFonts w:ascii="Calibri" w:cs="Calibri" w:eastAsia="Calibri" w:hAnsi="Calibri"/>
                <w:color w:val="334155"/>
                <w:sz w:val="20"/>
                <w:szCs w:val="20"/>
              </w:rPr>
              <w:t xml:space="preserve">Evidence-Led AI. Guided by Rigour.</w:t>
            </w:r>
          </w:p>
        </w:tc>
      </w:tr>
    </w:tbl>
    <w:p>
      <w:pPr>
        <w:spacing w:after="40"/>
      </w:pPr>
    </w:p>
    <w:p>
      <w:pPr>
        <w:spacing w:after="130" w:line="276"/>
      </w:pPr>
      <w:r>
        <w:rPr>
          <w:rFonts w:ascii="Calibri" w:cs="Calibri" w:eastAsia="Calibri" w:hAnsi="Calibri"/>
          <w:color w:val="334155"/>
          <w:sz w:val="21"/>
          <w:szCs w:val="21"/>
        </w:rPr>
        <w:t xml:space="preserve">Alternative taglines for different contexts: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Context</w:t>
            </w:r>
          </w:p>
        </w:tc>
        <w:tc>
          <w:tcPr>
            <w:tcW w:type="dxa" w:w="6026"/>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Tagline</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General / website hero</w:t>
            </w:r>
          </w:p>
        </w:tc>
        <w:tc>
          <w:tcPr>
            <w:tcW w:type="dxa" w:w="60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Evidence-Led AI. Guided by Rigour.</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Service-specific</w:t>
            </w:r>
          </w:p>
        </w:tc>
        <w:tc>
          <w:tcPr>
            <w:tcW w:type="dxa" w:w="60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Evaluate. De-risk. Deploy.</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Sales conversations</w:t>
            </w:r>
          </w:p>
        </w:tc>
        <w:tc>
          <w:tcPr>
            <w:tcW w:type="dxa" w:w="60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Evidence before deployment.</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LinkedIn bio</w:t>
            </w:r>
          </w:p>
        </w:tc>
        <w:tc>
          <w:tcPr>
            <w:tcW w:type="dxa" w:w="60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We help organisations know whether their AI is ready.</w:t>
            </w:r>
          </w:p>
        </w:tc>
      </w:tr>
      <w:tr>
        <w:tc>
          <w:tcPr>
            <w:tcW w:type="dxa" w:w="3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GCC-focused</w:t>
            </w:r>
          </w:p>
        </w:tc>
        <w:tc>
          <w:tcPr>
            <w:tcW w:type="dxa" w:w="60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Trusted AI for Arabic-English systems.</w:t>
            </w:r>
          </w:p>
        </w:tc>
      </w:tr>
      <w:tr>
        <w:tc>
          <w:tcPr>
            <w:tcW w:type="dxa" w:w="30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Expansion / broad services</w:t>
            </w:r>
          </w:p>
        </w:tc>
        <w:tc>
          <w:tcPr>
            <w:tcW w:type="dxa" w:w="60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Rigorous AI. From evaluation to deployment.</w:t>
            </w:r>
          </w:p>
        </w:tc>
      </w:tr>
    </w:tbl>
    <w:p>
      <w:pPr>
        <w:spacing w:after="80"/>
      </w:pPr>
    </w:p>
    <w:p>
      <w:pPr>
        <w:pStyle w:val="Heading2"/>
      </w:pPr>
      <w:r>
        <w:t xml:space="preserve">1.4 Brand Personality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We Are</w:t>
            </w:r>
          </w:p>
        </w:tc>
        <w:tc>
          <w:tcPr>
            <w:tcW w:type="dxa" w:w="4513"/>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We Are Not</w:t>
            </w:r>
          </w:p>
        </w:tc>
      </w:tr>
      <w:tr>
        <w:tc>
          <w:tcPr>
            <w:tcW w:type="dxa" w:w="4513"/>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Authoritative — we speak from evidence and expertise</w:t>
            </w:r>
          </w:p>
        </w:tc>
        <w:tc>
          <w:tcPr>
            <w:tcW w:type="dxa" w:w="4513"/>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Arrogant — we never claim to know everything</w:t>
            </w:r>
          </w:p>
        </w:tc>
      </w:tr>
      <w:tr>
        <w:tc>
          <w:tcPr>
            <w:tcW w:type="dxa" w:w="4513"/>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Precise — we use exact language and measurable findings</w:t>
            </w:r>
          </w:p>
        </w:tc>
        <w:tc>
          <w:tcPr>
            <w:tcW w:type="dxa" w:w="4513"/>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Vague — we never hide behind buzzwords</w:t>
            </w:r>
          </w:p>
        </w:tc>
      </w:tr>
      <w:tr>
        <w:tc>
          <w:tcPr>
            <w:tcW w:type="dxa" w:w="4513"/>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Calm — we present findings with composure</w:t>
            </w:r>
          </w:p>
        </w:tc>
        <w:tc>
          <w:tcPr>
            <w:tcW w:type="dxa" w:w="4513"/>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Alarmist — we never exaggerate risks to sell</w:t>
            </w:r>
          </w:p>
        </w:tc>
      </w:tr>
      <w:tr>
        <w:tc>
          <w:tcPr>
            <w:tcW w:type="dxa" w:w="4513"/>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Independent — we have no vendor allegiance</w:t>
            </w:r>
          </w:p>
        </w:tc>
        <w:tc>
          <w:tcPr>
            <w:tcW w:type="dxa" w:w="4513"/>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Promotional — we never recommend products we benefit from</w:t>
            </w:r>
          </w:p>
        </w:tc>
      </w:tr>
      <w:tr>
        <w:tc>
          <w:tcPr>
            <w:tcW w:type="dxa" w:w="4513"/>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Practical — every report ends with actionable steps</w:t>
            </w:r>
          </w:p>
        </w:tc>
        <w:tc>
          <w:tcPr>
            <w:tcW w:type="dxa" w:w="4513"/>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Academic-only — we translate research into business decisions</w:t>
            </w:r>
          </w:p>
        </w:tc>
      </w:tr>
    </w:tbl>
    <w:p>
      <w:r>
        <w:br w:type="page"/>
      </w:r>
    </w:p>
    <w:p>
      <w:pPr>
        <w:pStyle w:val="Heading1"/>
      </w:pPr>
      <w:r>
        <w:t xml:space="preserve">2. Positioning</w:t>
      </w:r>
    </w:p>
    <w:p>
      <w:pPr>
        <w:pStyle w:val="Heading2"/>
      </w:pPr>
      <w:r>
        <w:t xml:space="preserve">2.1 One-Sentence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POSITIONING STATEMENT</w:t>
            </w:r>
          </w:p>
          <w:p>
            <w:pPr>
              <w:spacing w:after="35"/>
            </w:pPr>
            <w:r>
              <w:rPr>
                <w:rFonts w:ascii="Calibri" w:cs="Calibri" w:eastAsia="Calibri" w:hAnsi="Calibri"/>
                <w:color w:val="334155"/>
                <w:sz w:val="20"/>
                <w:szCs w:val="20"/>
              </w:rPr>
              <w:t xml:space="preserve">Dalīl Group helps organisations evaluate, de-risk, and deploy AI systems with</w:t>
            </w:r>
          </w:p>
          <w:p>
            <w:pPr>
              <w:spacing w:after="35"/>
            </w:pPr>
            <w:r>
              <w:rPr>
                <w:rFonts w:ascii="Calibri" w:cs="Calibri" w:eastAsia="Calibri" w:hAnsi="Calibri"/>
                <w:color w:val="334155"/>
                <w:sz w:val="20"/>
                <w:szCs w:val="20"/>
              </w:rPr>
              <w:t xml:space="preserve">confidence — specialising in Arabic-English multilingual environments where accuracy,</w:t>
            </w:r>
          </w:p>
          <w:p>
            <w:pPr>
              <w:spacing w:after="35"/>
            </w:pPr>
            <w:r>
              <w:rPr>
                <w:rFonts w:ascii="Calibri" w:cs="Calibri" w:eastAsia="Calibri" w:hAnsi="Calibri"/>
                <w:color w:val="334155"/>
                <w:sz w:val="20"/>
                <w:szCs w:val="20"/>
              </w:rPr>
              <w:t xml:space="preserve">fairness, and trust are non-negotiable.</w:t>
            </w:r>
          </w:p>
        </w:tc>
      </w:tr>
    </w:tbl>
    <w:p>
      <w:pPr>
        <w:spacing w:after="80"/>
      </w:pPr>
    </w:p>
    <w:p>
      <w:pPr>
        <w:pStyle w:val="Heading2"/>
      </w:pPr>
      <w:r>
        <w:t xml:space="preserve">2.2 Elevator Pitch (30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ELEVATOR PITCH</w:t>
            </w:r>
          </w:p>
          <w:p>
            <w:pPr>
              <w:spacing w:after="35"/>
            </w:pPr>
            <w:r>
              <w:rPr>
                <w:rFonts w:ascii="Calibri" w:cs="Calibri" w:eastAsia="Calibri" w:hAnsi="Calibri"/>
                <w:color w:val="334155"/>
                <w:sz w:val="20"/>
                <w:szCs w:val="20"/>
              </w:rPr>
              <w:t xml:space="preserve">Most AI systems work well in English but perform measurably worse in Arabic — more bias,</w:t>
            </w:r>
          </w:p>
          <w:p>
            <w:pPr>
              <w:spacing w:after="35"/>
            </w:pPr>
            <w:r>
              <w:rPr>
                <w:rFonts w:ascii="Calibri" w:cs="Calibri" w:eastAsia="Calibri" w:hAnsi="Calibri"/>
                <w:color w:val="334155"/>
                <w:sz w:val="20"/>
                <w:szCs w:val="20"/>
              </w:rPr>
              <w:t xml:space="preserve">more hallucination, less consistency. Most organisations don’t know this because they only</w:t>
            </w:r>
          </w:p>
          <w:p>
            <w:pPr>
              <w:spacing w:after="35"/>
            </w:pPr>
            <w:r>
              <w:rPr>
                <w:rFonts w:ascii="Calibri" w:cs="Calibri" w:eastAsia="Calibri" w:hAnsi="Calibri"/>
                <w:color w:val="334155"/>
                <w:sz w:val="20"/>
                <w:szCs w:val="20"/>
              </w:rPr>
              <w:t xml:space="preserve">test in English. Dalīl Group tests in both languages and tells you whether your AI is ready</w:t>
            </w:r>
          </w:p>
          <w:p>
            <w:pPr>
              <w:spacing w:after="35"/>
            </w:pPr>
            <w:r>
              <w:rPr>
                <w:rFonts w:ascii="Calibri" w:cs="Calibri" w:eastAsia="Calibri" w:hAnsi="Calibri"/>
                <w:color w:val="334155"/>
                <w:sz w:val="20"/>
                <w:szCs w:val="20"/>
              </w:rPr>
              <w:t xml:space="preserve">for deployment, what the risks are, and what to do about it. We provide the evidence.</w:t>
            </w:r>
          </w:p>
          <w:p>
            <w:pPr>
              <w:spacing w:after="35"/>
            </w:pPr>
            <w:r>
              <w:rPr>
                <w:rFonts w:ascii="Calibri" w:cs="Calibri" w:eastAsia="Calibri" w:hAnsi="Calibri"/>
                <w:color w:val="334155"/>
                <w:sz w:val="20"/>
                <w:szCs w:val="20"/>
              </w:rPr>
              <w:t xml:space="preserve">You make the decision.</w:t>
            </w:r>
          </w:p>
        </w:tc>
      </w:tr>
    </w:tbl>
    <w:p>
      <w:pPr>
        <w:spacing w:after="80"/>
      </w:pPr>
    </w:p>
    <w:p>
      <w:pPr>
        <w:pStyle w:val="Heading2"/>
      </w:pPr>
      <w:r>
        <w:t xml:space="preserve">2.3 Extended Positioning (for about pages / proposals)</w:t>
      </w:r>
    </w:p>
    <w:p>
      <w:pPr>
        <w:spacing w:after="130" w:line="276"/>
      </w:pPr>
      <w:r>
        <w:rPr>
          <w:rFonts w:ascii="Calibri" w:cs="Calibri" w:eastAsia="Calibri" w:hAnsi="Calibri"/>
          <w:color w:val="334155"/>
          <w:sz w:val="21"/>
          <w:szCs w:val="21"/>
        </w:rPr>
        <w:t xml:space="preserve">Dalīl Group is a specialist AI evaluation and deployment practice. We help organisations across the UK and GCC understand whether their AI systems are reliable, fair, and ready for use in high-trust bilingual environments.</w:t>
      </w:r>
    </w:p>
    <w:p>
      <w:pPr>
        <w:spacing w:after="130" w:line="276"/>
      </w:pPr>
      <w:r>
        <w:rPr>
          <w:rFonts w:ascii="Calibri" w:cs="Calibri" w:eastAsia="Calibri" w:hAnsi="Calibri"/>
          <w:color w:val="334155"/>
          <w:sz w:val="21"/>
          <w:szCs w:val="21"/>
        </w:rPr>
        <w:t xml:space="preserve">Our services span the full lifecycle from initial readiness assessment through bias auditing and cultural integrity review to bounded pilot deployment and ongoing assurance. We work with government bodies, universities, financial institutions, and enterprises that cannot afford guesswork when adopting AI.</w:t>
      </w:r>
    </w:p>
    <w:p>
      <w:pPr>
        <w:spacing w:after="130" w:line="276"/>
      </w:pPr>
      <w:r>
        <w:rPr>
          <w:rFonts w:ascii="Calibri" w:cs="Calibri" w:eastAsia="Calibri" w:hAnsi="Calibri"/>
          <w:color w:val="334155"/>
          <w:sz w:val="21"/>
          <w:szCs w:val="21"/>
        </w:rPr>
        <w:t xml:space="preserve">What makes Dalīl different is depth. Our evaluation framework is built on published research in cross-lingual AI bias, multilingual NLP, and mechanistic interpretability. Our Arabic bias detection uses linguistic analysis developed through years of doctoral study, not off-the-shelf sentiment tools. And our independence means we have no vendor preference — only the truth of the evaluation.</w:t>
      </w:r>
    </w:p>
    <w:p>
      <w:pPr>
        <w:spacing w:after="80"/>
      </w:pPr>
    </w:p>
    <w:p>
      <w:pPr>
        <w:pStyle w:val="Heading2"/>
      </w:pPr>
      <w:r>
        <w:t xml:space="preserve">2.4 The Metaphor</w:t>
      </w:r>
    </w:p>
    <w:p>
      <w:pPr>
        <w:spacing w:after="130" w:line="276"/>
      </w:pPr>
      <w:r>
        <w:rPr>
          <w:rFonts w:ascii="Calibri" w:cs="Calibri" w:eastAsia="Calibri" w:hAnsi="Calibri"/>
          <w:b/>
          <w:bCs/>
          <w:color w:val="0B1D35"/>
          <w:sz w:val="21"/>
          <w:szCs w:val="21"/>
        </w:rPr>
        <w:t xml:space="preserve">Dalīl Group is the structural surveyor for AI systems. </w:t>
      </w:r>
      <w:r>
        <w:rPr>
          <w:rFonts w:ascii="Calibri" w:cs="Calibri" w:eastAsia="Calibri" w:hAnsi="Calibri"/>
          <w:color w:val="334155"/>
          <w:sz w:val="21"/>
          <w:szCs w:val="21"/>
        </w:rPr>
        <w:t xml:space="preserve">Just as no building is occupied without a survey, no bilingual AI system should be deployed without evidence that it works safely in both languages. We provide that evidence.</w:t>
      </w:r>
    </w:p>
    <w:p>
      <w:r>
        <w:br w:type="page"/>
      </w:r>
    </w:p>
    <w:p>
      <w:pPr>
        <w:pStyle w:val="Heading1"/>
      </w:pPr>
      <w:r>
        <w:t xml:space="preserve">3. Website Copy</w:t>
      </w:r>
    </w:p>
    <w:p>
      <w:pPr>
        <w:pStyle w:val="Heading2"/>
      </w:pPr>
      <w:r>
        <w:t xml:space="preserve">3.1 Home Page</w:t>
      </w:r>
    </w:p>
    <w:p>
      <w:pPr>
        <w:spacing w:after="40"/>
      </w:pPr>
    </w:p>
    <w:p>
      <w:pPr>
        <w:pStyle w:val="Heading3"/>
      </w:pPr>
      <w:r>
        <w:t xml:space="preserve">Hero Section</w:t>
      </w:r>
    </w:p>
    <w:p>
      <w:pPr>
        <w:spacing w:after="130" w:line="276"/>
      </w:pPr>
      <w:r>
        <w:rPr>
          <w:rFonts w:ascii="Calibri" w:cs="Calibri" w:eastAsia="Calibri" w:hAnsi="Calibri"/>
          <w:b/>
          <w:bCs/>
          <w:color w:val="0B1D35"/>
          <w:sz w:val="28"/>
          <w:szCs w:val="28"/>
        </w:rPr>
        <w:t xml:space="preserve">Know whether your AI is ready.</w:t>
      </w:r>
    </w:p>
    <w:p>
      <w:pPr>
        <w:spacing w:after="20"/>
      </w:pPr>
    </w:p>
    <w:p>
      <w:pPr>
        <w:spacing w:after="130" w:line="276"/>
      </w:pPr>
      <w:r>
        <w:rPr>
          <w:rFonts w:ascii="Calibri" w:cs="Calibri" w:eastAsia="Calibri" w:hAnsi="Calibri"/>
          <w:color w:val="334155"/>
          <w:sz w:val="21"/>
          <w:szCs w:val="21"/>
        </w:rPr>
        <w:t xml:space="preserve">Dalīl Group evaluates, de-risks, and deploys AI systems for organisations that need evidence before deployment — especially across Arabic and English.</w:t>
      </w:r>
    </w:p>
    <w:p>
      <w:pPr>
        <w:spacing w:after="20"/>
      </w:pPr>
    </w:p>
    <w:p>
      <w:pPr>
        <w:spacing w:after="130" w:line="276"/>
      </w:pPr>
      <w:r>
        <w:rPr>
          <w:rFonts w:ascii="Calibri" w:cs="Calibri" w:eastAsia="Calibri" w:hAnsi="Calibri"/>
          <w:color w:val="334155"/>
          <w:sz w:val="21"/>
          <w:szCs w:val="21"/>
        </w:rPr>
        <w:t xml:space="preserve">[Primary CTA: Book a Readiness Assessment]</w:t>
      </w:r>
    </w:p>
    <w:p>
      <w:pPr>
        <w:spacing w:after="130" w:line="276"/>
      </w:pPr>
      <w:r>
        <w:rPr>
          <w:rFonts w:ascii="Calibri" w:cs="Calibri" w:eastAsia="Calibri" w:hAnsi="Calibri"/>
          <w:color w:val="334155"/>
          <w:sz w:val="21"/>
          <w:szCs w:val="21"/>
        </w:rPr>
        <w:t xml:space="preserve">[Secondary CTA: See Our Platform]</w:t>
      </w:r>
    </w:p>
    <w:p>
      <w:pPr>
        <w:spacing w:after="40"/>
      </w:pPr>
    </w:p>
    <w:p>
      <w:pPr>
        <w:pStyle w:val="Heading3"/>
      </w:pPr>
      <w:r>
        <w:t xml:space="preserve">Trust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TRUST LINE</w:t>
            </w:r>
          </w:p>
          <w:p>
            <w:pPr>
              <w:spacing w:after="35"/>
            </w:pPr>
            <w:r>
              <w:rPr>
                <w:rFonts w:ascii="Calibri" w:cs="Calibri" w:eastAsia="Calibri" w:hAnsi="Calibri"/>
                <w:color w:val="334155"/>
                <w:sz w:val="20"/>
                <w:szCs w:val="20"/>
              </w:rPr>
              <w:t xml:space="preserve">Built for organisations operating across Arabic and English,</w:t>
            </w:r>
          </w:p>
          <w:p>
            <w:pPr>
              <w:spacing w:after="35"/>
            </w:pPr>
            <w:r>
              <w:rPr>
                <w:rFonts w:ascii="Calibri" w:cs="Calibri" w:eastAsia="Calibri" w:hAnsi="Calibri"/>
                <w:color w:val="334155"/>
                <w:sz w:val="20"/>
                <w:szCs w:val="20"/>
              </w:rPr>
              <w:t xml:space="preserve">where accuracy, consistency, and trust matter.</w:t>
            </w:r>
          </w:p>
        </w:tc>
      </w:tr>
    </w:tbl>
    <w:p>
      <w:pPr>
        <w:spacing w:after="40"/>
      </w:pPr>
    </w:p>
    <w:p>
      <w:pPr>
        <w:pStyle w:val="Heading3"/>
      </w:pPr>
      <w:r>
        <w:t xml:space="preserve">What We Do</w:t>
      </w:r>
    </w:p>
    <w:p>
      <w:pPr>
        <w:spacing w:after="130" w:line="276"/>
      </w:pPr>
      <w:r>
        <w:rPr>
          <w:rFonts w:ascii="Calibri" w:cs="Calibri" w:eastAsia="Calibri" w:hAnsi="Calibri"/>
          <w:b/>
          <w:bCs/>
          <w:color w:val="0B1D35"/>
          <w:sz w:val="21"/>
          <w:szCs w:val="21"/>
        </w:rPr>
        <w:t xml:space="preserve">Three pillars. One promise: evidence before deployment.</w:t>
      </w:r>
    </w:p>
    <w:p>
      <w:pPr>
        <w:spacing w:after="20"/>
      </w:pPr>
    </w:p>
    <w:p>
      <w:pPr>
        <w:pStyle w:val="ListParagraph"/>
        <w:numPr>
          <w:ilvl w:val="0"/>
          <w:numId w:val="2"/>
        </w:numPr>
        <w:spacing w:after="65" w:line="264"/>
      </w:pPr>
      <w:r>
        <w:rPr>
          <w:rFonts w:ascii="Calibri" w:cs="Calibri" w:eastAsia="Calibri" w:hAnsi="Calibri"/>
          <w:b/>
          <w:bCs/>
          <w:color w:val="1E293B"/>
          <w:sz w:val="21"/>
          <w:szCs w:val="21"/>
        </w:rPr>
        <w:t xml:space="preserve">Evaluate. </w:t>
      </w:r>
      <w:r>
        <w:rPr>
          <w:rFonts w:ascii="Calibri" w:cs="Calibri" w:eastAsia="Calibri" w:hAnsi="Calibri"/>
          <w:color w:val="334155"/>
          <w:sz w:val="21"/>
          <w:szCs w:val="21"/>
        </w:rPr>
        <w:t xml:space="preserve">We benchmark AI systems across Arabic and English before deployment. Our platform tests models on accuracy, bias, hallucination, consistency, cultural integrity, and fluency — then delivers a decision-ready Readiness Report.</w:t>
      </w:r>
    </w:p>
    <w:p>
      <w:pPr>
        <w:pStyle w:val="ListParagraph"/>
        <w:numPr>
          <w:ilvl w:val="0"/>
          <w:numId w:val="2"/>
        </w:numPr>
        <w:spacing w:after="65" w:line="264"/>
      </w:pPr>
      <w:r>
        <w:rPr>
          <w:rFonts w:ascii="Calibri" w:cs="Calibri" w:eastAsia="Calibri" w:hAnsi="Calibri"/>
          <w:b/>
          <w:bCs/>
          <w:color w:val="1E293B"/>
          <w:sz w:val="21"/>
          <w:szCs w:val="21"/>
        </w:rPr>
        <w:t xml:space="preserve">De-risk. </w:t>
      </w:r>
      <w:r>
        <w:rPr>
          <w:rFonts w:ascii="Calibri" w:cs="Calibri" w:eastAsia="Calibri" w:hAnsi="Calibri"/>
          <w:color w:val="334155"/>
          <w:sz w:val="21"/>
          <w:szCs w:val="21"/>
        </w:rPr>
        <w:t xml:space="preserve">We identify cross-lingual inconsistency, gender bias, hallucination patterns, and cultural misalignment. For regulated sectors, we produce compliance-ready documentation aligned with SDAIA, ICO, and EU AI Act requirements.</w:t>
      </w:r>
    </w:p>
    <w:p>
      <w:pPr>
        <w:pStyle w:val="ListParagraph"/>
        <w:numPr>
          <w:ilvl w:val="0"/>
          <w:numId w:val="2"/>
        </w:numPr>
        <w:spacing w:after="65" w:line="264"/>
      </w:pPr>
      <w:r>
        <w:rPr>
          <w:rFonts w:ascii="Calibri" w:cs="Calibri" w:eastAsia="Calibri" w:hAnsi="Calibri"/>
          <w:b/>
          <w:bCs/>
          <w:color w:val="1E293B"/>
          <w:sz w:val="21"/>
          <w:szCs w:val="21"/>
        </w:rPr>
        <w:t xml:space="preserve">Deploy. </w:t>
      </w:r>
      <w:r>
        <w:rPr>
          <w:rFonts w:ascii="Calibri" w:cs="Calibri" w:eastAsia="Calibri" w:hAnsi="Calibri"/>
          <w:color w:val="334155"/>
          <w:sz w:val="21"/>
          <w:szCs w:val="21"/>
        </w:rPr>
        <w:t xml:space="preserve">We build bounded, high-trust AI pilots with bilingual capability, source attribution, governance guardrails, and handover documentation. One workflow at a time, with evidence at every step.</w:t>
      </w:r>
    </w:p>
    <w:p>
      <w:pPr>
        <w:spacing w:after="40"/>
      </w:pPr>
    </w:p>
    <w:p>
      <w:pPr>
        <w:pStyle w:val="Heading3"/>
      </w:pPr>
      <w:r>
        <w:t xml:space="preserve">Why Dalīl Group</w:t>
      </w:r>
    </w:p>
    <w:p>
      <w:pPr>
        <w:spacing w:after="130" w:line="276"/>
      </w:pPr>
      <w:r>
        <w:rPr>
          <w:rFonts w:ascii="Calibri" w:cs="Calibri" w:eastAsia="Calibri" w:hAnsi="Calibri"/>
          <w:i/>
          <w:iCs/>
          <w:color w:val="64748B"/>
          <w:sz w:val="21"/>
          <w:szCs w:val="21"/>
        </w:rPr>
        <w:t xml:space="preserve">Most AI providers show what a model can do.</w:t>
      </w:r>
    </w:p>
    <w:p>
      <w:pPr>
        <w:spacing w:after="130" w:line="276"/>
      </w:pPr>
      <w:r>
        <w:rPr>
          <w:rFonts w:ascii="Calibri" w:cs="Calibri" w:eastAsia="Calibri" w:hAnsi="Calibri"/>
          <w:b/>
          <w:bCs/>
          <w:color w:val="0B1D35"/>
          <w:sz w:val="21"/>
          <w:szCs w:val="21"/>
        </w:rPr>
        <w:t xml:space="preserve">We show whether it’s ready to be trusted.</w:t>
      </w:r>
    </w:p>
    <w:p>
      <w:pPr>
        <w:spacing w:after="20"/>
      </w:pPr>
    </w:p>
    <w:p>
      <w:pPr>
        <w:spacing w:after="130" w:line="276"/>
      </w:pPr>
      <w:r>
        <w:rPr>
          <w:rFonts w:ascii="Calibri" w:cs="Calibri" w:eastAsia="Calibri" w:hAnsi="Calibri"/>
          <w:color w:val="334155"/>
          <w:sz w:val="21"/>
          <w:szCs w:val="21"/>
        </w:rPr>
        <w:t xml:space="preserve">Dalīl Group combines multilingual AI evaluation, bias auditing, cultural integrity assessment, and practical deployment support for organisations that cannot afford guesswork in high-trust environments. Our methods are grounded in published research. Our evaluations are independent. Our reports give you evidence, not opinions.</w:t>
      </w:r>
    </w:p>
    <w:p>
      <w:pPr>
        <w:spacing w:after="40"/>
      </w:pPr>
    </w:p>
    <w:p>
      <w:pPr>
        <w:pStyle w:val="Heading3"/>
      </w:pPr>
      <w:r>
        <w:t xml:space="preserve">Services (summary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Service</w:t>
            </w:r>
          </w:p>
        </w:tc>
        <w:tc>
          <w:tcPr>
            <w:tcW w:type="dxa" w:w="6426"/>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One-Line Description</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Multilingual AI Readiness Assessment</w:t>
            </w:r>
          </w:p>
        </w:tc>
        <w:tc>
          <w:tcPr>
            <w:tcW w:type="dxa" w:w="64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 structured evaluation that tells you whether your AI is ready for bilingual deployment.</w:t>
            </w:r>
          </w:p>
        </w:tc>
      </w:tr>
      <w:t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Cross-Lingual Bias &amp; Reliability Audit</w:t>
            </w:r>
          </w:p>
        </w:tc>
        <w:tc>
          <w:tcPr>
            <w:tcW w:type="dxa" w:w="64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A deep technical review of bias, fairness, hallucination, and consistency.</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Cultural Integrity Assessment</w:t>
            </w:r>
          </w:p>
        </w:tc>
        <w:tc>
          <w:tcPr>
            <w:tcW w:type="dxa" w:w="64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An evaluation of whether your AI understands Arabic culture, not just Arabic words.</w:t>
            </w:r>
          </w:p>
        </w:tc>
      </w:tr>
      <w:t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High-Trust AI Pilot</w:t>
            </w:r>
          </w:p>
        </w:tc>
        <w:tc>
          <w:tcPr>
            <w:tcW w:type="dxa" w:w="64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A fixed-scope deployment for one real workflow, with governance built in.</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Assurance &amp; Monitoring</w:t>
            </w:r>
          </w:p>
        </w:tc>
        <w:tc>
          <w:tcPr>
            <w:tcW w:type="dxa" w:w="64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Continuous evaluation and drift monitoring for deployed systems.</w:t>
            </w:r>
          </w:p>
        </w:tc>
      </w:tr>
    </w:tbl>
    <w:p>
      <w:pPr>
        <w:spacing w:after="40"/>
      </w:pPr>
    </w:p>
    <w:p>
      <w:pPr>
        <w:pStyle w:val="Heading3"/>
      </w:pPr>
      <w:r>
        <w:t xml:space="preserve">Sectors</w:t>
      </w:r>
    </w:p>
    <w:p>
      <w:pPr>
        <w:spacing w:after="130" w:line="276"/>
      </w:pPr>
      <w:r>
        <w:rPr>
          <w:rFonts w:ascii="Calibri" w:cs="Calibri" w:eastAsia="Calibri" w:hAnsi="Calibri"/>
          <w:color w:val="334155"/>
          <w:sz w:val="21"/>
          <w:szCs w:val="21"/>
        </w:rPr>
        <w:t xml:space="preserve">We serve organisations where bilingual AI performance is business-critical:</w:t>
      </w:r>
    </w:p>
    <w:p>
      <w:pPr>
        <w:pStyle w:val="ListParagraph"/>
        <w:numPr>
          <w:ilvl w:val="0"/>
          <w:numId w:val="2"/>
        </w:numPr>
        <w:spacing w:after="55" w:line="264"/>
      </w:pPr>
      <w:r>
        <w:rPr>
          <w:rFonts w:ascii="Calibri" w:cs="Calibri" w:eastAsia="Calibri" w:hAnsi="Calibri"/>
          <w:color w:val="334155"/>
          <w:sz w:val="21"/>
          <w:szCs w:val="21"/>
        </w:rPr>
        <w:t xml:space="preserve">Government and public services</w:t>
      </w:r>
    </w:p>
    <w:p>
      <w:pPr>
        <w:pStyle w:val="ListParagraph"/>
        <w:numPr>
          <w:ilvl w:val="0"/>
          <w:numId w:val="2"/>
        </w:numPr>
        <w:spacing w:after="55" w:line="264"/>
      </w:pPr>
      <w:r>
        <w:rPr>
          <w:rFonts w:ascii="Calibri" w:cs="Calibri" w:eastAsia="Calibri" w:hAnsi="Calibri"/>
          <w:color w:val="334155"/>
          <w:sz w:val="21"/>
          <w:szCs w:val="21"/>
        </w:rPr>
        <w:t xml:space="preserve">Universities and research organisations</w:t>
      </w:r>
    </w:p>
    <w:p>
      <w:pPr>
        <w:pStyle w:val="ListParagraph"/>
        <w:numPr>
          <w:ilvl w:val="0"/>
          <w:numId w:val="2"/>
        </w:numPr>
        <w:spacing w:after="55" w:line="264"/>
      </w:pPr>
      <w:r>
        <w:rPr>
          <w:rFonts w:ascii="Calibri" w:cs="Calibri" w:eastAsia="Calibri" w:hAnsi="Calibri"/>
          <w:color w:val="334155"/>
          <w:sz w:val="21"/>
          <w:szCs w:val="21"/>
        </w:rPr>
        <w:t xml:space="preserve">Banking and financial services</w:t>
      </w:r>
    </w:p>
    <w:p>
      <w:pPr>
        <w:pStyle w:val="ListParagraph"/>
        <w:numPr>
          <w:ilvl w:val="0"/>
          <w:numId w:val="2"/>
        </w:numPr>
        <w:spacing w:after="55" w:line="264"/>
      </w:pPr>
      <w:r>
        <w:rPr>
          <w:rFonts w:ascii="Calibri" w:cs="Calibri" w:eastAsia="Calibri" w:hAnsi="Calibri"/>
          <w:color w:val="334155"/>
          <w:sz w:val="21"/>
          <w:szCs w:val="21"/>
        </w:rPr>
        <w:t xml:space="preserve">Healthcare and life sciences</w:t>
      </w:r>
    </w:p>
    <w:p>
      <w:pPr>
        <w:pStyle w:val="ListParagraph"/>
        <w:numPr>
          <w:ilvl w:val="0"/>
          <w:numId w:val="2"/>
        </w:numPr>
        <w:spacing w:after="55" w:line="264"/>
      </w:pPr>
      <w:r>
        <w:rPr>
          <w:rFonts w:ascii="Calibri" w:cs="Calibri" w:eastAsia="Calibri" w:hAnsi="Calibri"/>
          <w:color w:val="334155"/>
          <w:sz w:val="21"/>
          <w:szCs w:val="21"/>
        </w:rPr>
        <w:t xml:space="preserve">Consulting and professional services</w:t>
      </w:r>
    </w:p>
    <w:p>
      <w:pPr>
        <w:pStyle w:val="ListParagraph"/>
        <w:numPr>
          <w:ilvl w:val="0"/>
          <w:numId w:val="2"/>
        </w:numPr>
        <w:spacing w:after="55" w:line="264"/>
      </w:pPr>
      <w:r>
        <w:rPr>
          <w:rFonts w:ascii="Calibri" w:cs="Calibri" w:eastAsia="Calibri" w:hAnsi="Calibri"/>
          <w:color w:val="334155"/>
          <w:sz w:val="21"/>
          <w:szCs w:val="21"/>
        </w:rPr>
        <w:t xml:space="preserve">UK firms entering GCC markets</w:t>
      </w:r>
    </w:p>
    <w:p>
      <w:pPr>
        <w:pStyle w:val="ListParagraph"/>
        <w:numPr>
          <w:ilvl w:val="0"/>
          <w:numId w:val="2"/>
        </w:numPr>
        <w:spacing w:after="55" w:line="264"/>
      </w:pPr>
      <w:r>
        <w:rPr>
          <w:rFonts w:ascii="Calibri" w:cs="Calibri" w:eastAsia="Calibri" w:hAnsi="Calibri"/>
          <w:color w:val="334155"/>
          <w:sz w:val="21"/>
          <w:szCs w:val="21"/>
        </w:rPr>
        <w:t xml:space="preserve">GCC organisations deploying Arabic-English AI</w:t>
      </w:r>
    </w:p>
    <w:p>
      <w:pPr>
        <w:spacing w:after="40"/>
      </w:pPr>
    </w:p>
    <w:p>
      <w:pPr>
        <w:pStyle w:val="Heading3"/>
      </w:pPr>
      <w:r>
        <w:t xml:space="preserve">Closing CTA</w:t>
      </w:r>
    </w:p>
    <w:p>
      <w:pPr>
        <w:spacing w:after="130" w:line="276"/>
      </w:pPr>
      <w:r>
        <w:rPr>
          <w:rFonts w:ascii="Calibri" w:cs="Calibri" w:eastAsia="Calibri" w:hAnsi="Calibri"/>
          <w:b/>
          <w:bCs/>
          <w:color w:val="0B1D35"/>
          <w:sz w:val="21"/>
          <w:szCs w:val="21"/>
        </w:rPr>
        <w:t xml:space="preserve">Before you deploy an Arabic-English AI system, know whether it’s ready.</w:t>
      </w:r>
    </w:p>
    <w:p>
      <w:pPr>
        <w:spacing w:after="130" w:line="276"/>
      </w:pPr>
      <w:r>
        <w:rPr>
          <w:rFonts w:ascii="Calibri" w:cs="Calibri" w:eastAsia="Calibri" w:hAnsi="Calibri"/>
          <w:color w:val="334155"/>
          <w:sz w:val="21"/>
          <w:szCs w:val="21"/>
        </w:rPr>
        <w:t xml:space="preserve">[CTA: Talk to Us] [CTA: See the Platform Demo]</w:t>
      </w:r>
    </w:p>
    <w:p>
      <w:r>
        <w:br w:type="page"/>
      </w:r>
    </w:p>
    <w:p>
      <w:pPr>
        <w:pStyle w:val="Heading2"/>
      </w:pPr>
      <w:r>
        <w:t xml:space="preserve">3.2 Services Page</w:t>
      </w:r>
    </w:p>
    <w:p>
      <w:pPr>
        <w:spacing w:after="40"/>
      </w:pPr>
    </w:p>
    <w:p>
      <w:pPr>
        <w:spacing w:after="130" w:line="276"/>
      </w:pPr>
      <w:r>
        <w:rPr>
          <w:rFonts w:ascii="Calibri" w:cs="Calibri" w:eastAsia="Calibri" w:hAnsi="Calibri"/>
          <w:b/>
          <w:bCs/>
          <w:color w:val="0B1D35"/>
          <w:sz w:val="24"/>
          <w:szCs w:val="24"/>
        </w:rPr>
        <w:t xml:space="preserve">Headline: Specialist services for multilingual AI evaluation and deployment</w:t>
      </w:r>
    </w:p>
    <w:p>
      <w:pPr>
        <w:spacing w:after="20"/>
      </w:pPr>
    </w:p>
    <w:p>
      <w:pPr>
        <w:spacing w:after="130" w:line="276"/>
      </w:pPr>
      <w:r>
        <w:rPr>
          <w:rFonts w:ascii="Calibri" w:cs="Calibri" w:eastAsia="Calibri" w:hAnsi="Calibri"/>
          <w:color w:val="334155"/>
          <w:sz w:val="21"/>
          <w:szCs w:val="21"/>
        </w:rPr>
        <w:t xml:space="preserve">Subheadline: From readiness assessment to bounded pilot, with evidence at every stage.</w:t>
      </w:r>
    </w:p>
    <w:p>
      <w:pPr>
        <w:spacing w:after="40"/>
      </w:pPr>
    </w:p>
    <w:p>
      <w:pPr>
        <w:spacing w:after="130" w:line="276"/>
      </w:pPr>
      <w:r>
        <w:rPr>
          <w:rFonts w:ascii="Calibri" w:cs="Calibri" w:eastAsia="Calibri" w:hAnsi="Calibri"/>
          <w:color w:val="334155"/>
          <w:sz w:val="21"/>
          <w:szCs w:val="21"/>
        </w:rPr>
        <w:t xml:space="preserve">Each service should have its own expandable section with: description, what’s included, deliverables, timeline, and a CTA to “Discuss this service.” Pricing should not appear on the public website — it’s discussed in proposals after discovery calls.</w:t>
      </w:r>
    </w:p>
    <w:p>
      <w:r>
        <w:br w:type="page"/>
      </w:r>
    </w:p>
    <w:p>
      <w:pPr>
        <w:pStyle w:val="Heading2"/>
      </w:pPr>
      <w:r>
        <w:t xml:space="preserve">3.3 About Page</w:t>
      </w:r>
    </w:p>
    <w:p>
      <w:pPr>
        <w:spacing w:after="40"/>
      </w:pPr>
    </w:p>
    <w:p>
      <w:pPr>
        <w:spacing w:after="130" w:line="276"/>
      </w:pPr>
      <w:r>
        <w:rPr>
          <w:rFonts w:ascii="Calibri" w:cs="Calibri" w:eastAsia="Calibri" w:hAnsi="Calibri"/>
          <w:b/>
          <w:bCs/>
          <w:color w:val="0B1D35"/>
          <w:sz w:val="24"/>
          <w:szCs w:val="24"/>
        </w:rPr>
        <w:t xml:space="preserve">Headline: Research-backed AI evaluation, built for real decisions</w:t>
      </w:r>
    </w:p>
    <w:p>
      <w:pPr>
        <w:spacing w:after="20"/>
      </w:pPr>
    </w:p>
    <w:p>
      <w:pPr>
        <w:spacing w:after="130" w:line="276"/>
      </w:pPr>
      <w:r>
        <w:rPr>
          <w:rFonts w:ascii="Calibri" w:cs="Calibri" w:eastAsia="Calibri" w:hAnsi="Calibri"/>
          <w:color w:val="334155"/>
          <w:sz w:val="21"/>
          <w:szCs w:val="21"/>
        </w:rPr>
        <w:t xml:space="preserve">Dalīl Group was founded to close a gap in the AI market. Organisations are deploying AI systems in bilingual Arabic-English environments, but most evaluation approaches still assume one language and one benchmark are enough. In practice, multilingual systems fail in ways that standard testing misses.</w:t>
      </w:r>
    </w:p>
    <w:p>
      <w:pPr>
        <w:spacing w:after="20"/>
      </w:pPr>
    </w:p>
    <w:p>
      <w:pPr>
        <w:spacing w:after="130" w:line="276"/>
      </w:pPr>
      <w:r>
        <w:rPr>
          <w:rFonts w:ascii="Calibri" w:cs="Calibri" w:eastAsia="Calibri" w:hAnsi="Calibri"/>
          <w:color w:val="334155"/>
          <w:sz w:val="21"/>
          <w:szCs w:val="21"/>
        </w:rPr>
        <w:t xml:space="preserve">We exist to provide the evidence that deployment decisions should be based on. Our evaluation framework is grounded in doctoral research on cross-lingual AI bias, multilingual NLP, and mechanistic interpretability. We are independent, rigorous, and practical.</w:t>
      </w:r>
    </w:p>
    <w:p>
      <w:pPr>
        <w:spacing w:after="40"/>
      </w:pPr>
    </w:p>
    <w:p>
      <w:pPr>
        <w:pStyle w:val="Heading3"/>
      </w:pPr>
      <w:r>
        <w:t xml:space="preserve">Our Values</w:t>
      </w:r>
    </w:p>
    <w:p>
      <w:pPr>
        <w:pStyle w:val="ListParagraph"/>
        <w:numPr>
          <w:ilvl w:val="0"/>
          <w:numId w:val="2"/>
        </w:numPr>
        <w:spacing w:after="65" w:line="264"/>
      </w:pPr>
      <w:r>
        <w:rPr>
          <w:rFonts w:ascii="Calibri" w:cs="Calibri" w:eastAsia="Calibri" w:hAnsi="Calibri"/>
          <w:b/>
          <w:bCs/>
          <w:color w:val="1E293B"/>
          <w:sz w:val="21"/>
          <w:szCs w:val="21"/>
        </w:rPr>
        <w:t xml:space="preserve">Evidence over promises. </w:t>
      </w:r>
      <w:r>
        <w:rPr>
          <w:rFonts w:ascii="Calibri" w:cs="Calibri" w:eastAsia="Calibri" w:hAnsi="Calibri"/>
          <w:color w:val="334155"/>
          <w:sz w:val="21"/>
          <w:szCs w:val="21"/>
        </w:rPr>
        <w:t xml:space="preserve">We give clients data about how their AI performs, not assurances that it works.</w:t>
      </w:r>
    </w:p>
    <w:p>
      <w:pPr>
        <w:pStyle w:val="ListParagraph"/>
        <w:numPr>
          <w:ilvl w:val="0"/>
          <w:numId w:val="2"/>
        </w:numPr>
        <w:spacing w:after="65" w:line="264"/>
      </w:pPr>
      <w:r>
        <w:rPr>
          <w:rFonts w:ascii="Calibri" w:cs="Calibri" w:eastAsia="Calibri" w:hAnsi="Calibri"/>
          <w:b/>
          <w:bCs/>
          <w:color w:val="1E293B"/>
          <w:sz w:val="21"/>
          <w:szCs w:val="21"/>
        </w:rPr>
        <w:t xml:space="preserve">Independence. </w:t>
      </w:r>
      <w:r>
        <w:rPr>
          <w:rFonts w:ascii="Calibri" w:cs="Calibri" w:eastAsia="Calibri" w:hAnsi="Calibri"/>
          <w:color w:val="334155"/>
          <w:sz w:val="21"/>
          <w:szCs w:val="21"/>
        </w:rPr>
        <w:t xml:space="preserve">We have no vendor preference, no model allegiance, and no conflict of interest.</w:t>
      </w:r>
    </w:p>
    <w:p>
      <w:pPr>
        <w:pStyle w:val="ListParagraph"/>
        <w:numPr>
          <w:ilvl w:val="0"/>
          <w:numId w:val="2"/>
        </w:numPr>
        <w:spacing w:after="65" w:line="264"/>
      </w:pPr>
      <w:r>
        <w:rPr>
          <w:rFonts w:ascii="Calibri" w:cs="Calibri" w:eastAsia="Calibri" w:hAnsi="Calibri"/>
          <w:b/>
          <w:bCs/>
          <w:color w:val="1E293B"/>
          <w:sz w:val="21"/>
          <w:szCs w:val="21"/>
        </w:rPr>
        <w:t xml:space="preserve">Arabic at the standard of English. </w:t>
      </w:r>
      <w:r>
        <w:rPr>
          <w:rFonts w:ascii="Calibri" w:cs="Calibri" w:eastAsia="Calibri" w:hAnsi="Calibri"/>
          <w:color w:val="334155"/>
          <w:sz w:val="21"/>
          <w:szCs w:val="21"/>
        </w:rPr>
        <w:t xml:space="preserve">400 million Arabic speakers deserve AI that’s been tested in their language.</w:t>
      </w:r>
    </w:p>
    <w:p>
      <w:pPr>
        <w:pStyle w:val="ListParagraph"/>
        <w:numPr>
          <w:ilvl w:val="0"/>
          <w:numId w:val="2"/>
        </w:numPr>
        <w:spacing w:after="65" w:line="264"/>
      </w:pPr>
      <w:r>
        <w:rPr>
          <w:rFonts w:ascii="Calibri" w:cs="Calibri" w:eastAsia="Calibri" w:hAnsi="Calibri"/>
          <w:b/>
          <w:bCs/>
          <w:color w:val="1E293B"/>
          <w:sz w:val="21"/>
          <w:szCs w:val="21"/>
        </w:rPr>
        <w:t xml:space="preserve">Practical impact. </w:t>
      </w:r>
      <w:r>
        <w:rPr>
          <w:rFonts w:ascii="Calibri" w:cs="Calibri" w:eastAsia="Calibri" w:hAnsi="Calibri"/>
          <w:color w:val="334155"/>
          <w:sz w:val="21"/>
          <w:szCs w:val="21"/>
        </w:rPr>
        <w:t xml:space="preserve">Every evaluation ends with actionable recommendations, not just scores.</w:t>
      </w:r>
    </w:p>
    <w:p>
      <w:pPr>
        <w:spacing w:after="40"/>
      </w:pPr>
    </w:p>
    <w:p>
      <w:pPr>
        <w:pStyle w:val="Heading3"/>
      </w:pPr>
      <w:r>
        <w:t xml:space="preserve">Founder</w:t>
      </w:r>
    </w:p>
    <w:p>
      <w:pPr>
        <w:spacing w:after="130" w:line="276"/>
      </w:pPr>
      <w:r>
        <w:rPr>
          <w:rFonts w:ascii="Calibri" w:cs="Calibri" w:eastAsia="Calibri" w:hAnsi="Calibri"/>
          <w:color w:val="334155"/>
          <w:sz w:val="21"/>
          <w:szCs w:val="21"/>
        </w:rPr>
        <w:t xml:space="preserve">Dalīl Group was founded by a PhD researcher specialising in cross-lingual AI bias and multilingual NLP at Durham University. The founder’s research has produced large-scale evaluations of gender bias across Arabic-English AI systems, novel methodologies for detecting cross-lingual bias amplification, and mechanistic interpretability research revealing how AI models encode gender differently across languages.</w:t>
      </w:r>
    </w:p>
    <w:p>
      <w:pPr>
        <w:spacing w:after="130" w:line="276"/>
      </w:pPr>
      <w:r>
        <w:rPr>
          <w:rFonts w:ascii="Calibri" w:cs="Calibri" w:eastAsia="Calibri" w:hAnsi="Calibri"/>
          <w:color w:val="334155"/>
          <w:sz w:val="21"/>
          <w:szCs w:val="21"/>
        </w:rPr>
        <w:t xml:space="preserve">This research foundation is what makes Dalīl Group different from generic AI consultancies. Our evaluation methodologies are grounded in published research, not marketing claims.</w:t>
      </w:r>
    </w:p>
    <w:p>
      <w:r>
        <w:br w:type="page"/>
      </w:r>
    </w:p>
    <w:p>
      <w:pPr>
        <w:pStyle w:val="Heading2"/>
      </w:pPr>
      <w:r>
        <w:t xml:space="preserve">3.4 Demo Page</w:t>
      </w:r>
    </w:p>
    <w:p>
      <w:pPr>
        <w:spacing w:after="40"/>
      </w:pPr>
    </w:p>
    <w:p>
      <w:pPr>
        <w:spacing w:after="130" w:line="276"/>
      </w:pPr>
      <w:r>
        <w:rPr>
          <w:rFonts w:ascii="Calibri" w:cs="Calibri" w:eastAsia="Calibri" w:hAnsi="Calibri"/>
          <w:b/>
          <w:bCs/>
          <w:color w:val="0B1D35"/>
          <w:sz w:val="24"/>
          <w:szCs w:val="24"/>
        </w:rPr>
        <w:t xml:space="preserve">Headline: See the Dalīl evaluation platform in action</w:t>
      </w:r>
    </w:p>
    <w:p>
      <w:pPr>
        <w:spacing w:after="20"/>
      </w:pPr>
    </w:p>
    <w:p>
      <w:pPr>
        <w:spacing w:after="130" w:line="276"/>
      </w:pPr>
      <w:r>
        <w:rPr>
          <w:rFonts w:ascii="Calibri" w:cs="Calibri" w:eastAsia="Calibri" w:hAnsi="Calibri"/>
          <w:color w:val="334155"/>
          <w:sz w:val="21"/>
          <w:szCs w:val="21"/>
        </w:rPr>
        <w:t xml:space="preserve">Our platform benchmarks Arabic-English AI systems across model performance, cross-lingual consistency, bias risk, cultural integrity, and deployment readiness.</w:t>
      </w:r>
    </w:p>
    <w:p>
      <w:pPr>
        <w:spacing w:after="40"/>
      </w:pPr>
    </w:p>
    <w:p>
      <w:pPr>
        <w:spacing w:after="130" w:line="276"/>
      </w:pPr>
      <w:r>
        <w:rPr>
          <w:rFonts w:ascii="Calibri" w:cs="Calibri" w:eastAsia="Calibri" w:hAnsi="Calibri"/>
          <w:color w:val="334155"/>
          <w:sz w:val="21"/>
          <w:szCs w:val="21"/>
        </w:rPr>
        <w:t xml:space="preserve">What the demo shows:</w:t>
      </w:r>
    </w:p>
    <w:p>
      <w:pPr>
        <w:pStyle w:val="ListParagraph"/>
        <w:numPr>
          <w:ilvl w:val="0"/>
          <w:numId w:val="2"/>
        </w:numPr>
        <w:spacing w:after="55" w:line="264"/>
      </w:pPr>
      <w:r>
        <w:rPr>
          <w:rFonts w:ascii="Calibri" w:cs="Calibri" w:eastAsia="Calibri" w:hAnsi="Calibri"/>
          <w:color w:val="334155"/>
          <w:sz w:val="21"/>
          <w:szCs w:val="21"/>
        </w:rPr>
        <w:t xml:space="preserve">Multi-model comparison (GPT, Claude, Gemma, Jais, LLaMA, Allam)</w:t>
      </w:r>
    </w:p>
    <w:p>
      <w:pPr>
        <w:pStyle w:val="ListParagraph"/>
        <w:numPr>
          <w:ilvl w:val="0"/>
          <w:numId w:val="2"/>
        </w:numPr>
        <w:spacing w:after="55" w:line="264"/>
      </w:pPr>
      <w:r>
        <w:rPr>
          <w:rFonts w:ascii="Calibri" w:cs="Calibri" w:eastAsia="Calibri" w:hAnsi="Calibri"/>
          <w:color w:val="334155"/>
          <w:sz w:val="21"/>
          <w:szCs w:val="21"/>
        </w:rPr>
        <w:t xml:space="preserve">Arabic vs English performance scoring across 6 dimensions</w:t>
      </w:r>
    </w:p>
    <w:p>
      <w:pPr>
        <w:pStyle w:val="ListParagraph"/>
        <w:numPr>
          <w:ilvl w:val="0"/>
          <w:numId w:val="2"/>
        </w:numPr>
        <w:spacing w:after="55" w:line="264"/>
      </w:pPr>
      <w:r>
        <w:rPr>
          <w:rFonts w:ascii="Calibri" w:cs="Calibri" w:eastAsia="Calibri" w:hAnsi="Calibri"/>
          <w:color w:val="334155"/>
          <w:sz w:val="21"/>
          <w:szCs w:val="21"/>
        </w:rPr>
        <w:t xml:space="preserve">Gender bias detection with Arabic linguistic analysis</w:t>
      </w:r>
    </w:p>
    <w:p>
      <w:pPr>
        <w:pStyle w:val="ListParagraph"/>
        <w:numPr>
          <w:ilvl w:val="0"/>
          <w:numId w:val="2"/>
        </w:numPr>
        <w:spacing w:after="55" w:line="264"/>
      </w:pPr>
      <w:r>
        <w:rPr>
          <w:rFonts w:ascii="Calibri" w:cs="Calibri" w:eastAsia="Calibri" w:hAnsi="Calibri"/>
          <w:color w:val="334155"/>
          <w:sz w:val="21"/>
          <w:szCs w:val="21"/>
        </w:rPr>
        <w:t xml:space="preserve">Hallucination identification using GCC-specific factual knowledge</w:t>
      </w:r>
    </w:p>
    <w:p>
      <w:pPr>
        <w:pStyle w:val="ListParagraph"/>
        <w:numPr>
          <w:ilvl w:val="0"/>
          <w:numId w:val="2"/>
        </w:numPr>
        <w:spacing w:after="55" w:line="264"/>
      </w:pPr>
      <w:r>
        <w:rPr>
          <w:rFonts w:ascii="Calibri" w:cs="Calibri" w:eastAsia="Calibri" w:hAnsi="Calibri"/>
          <w:color w:val="334155"/>
          <w:sz w:val="21"/>
          <w:szCs w:val="21"/>
        </w:rPr>
        <w:t xml:space="preserve">Cross-lingual gap analysis with severity indicators</w:t>
      </w:r>
    </w:p>
    <w:p>
      <w:pPr>
        <w:pStyle w:val="ListParagraph"/>
        <w:numPr>
          <w:ilvl w:val="0"/>
          <w:numId w:val="2"/>
        </w:numPr>
        <w:spacing w:after="55" w:line="264"/>
      </w:pPr>
      <w:r>
        <w:rPr>
          <w:rFonts w:ascii="Calibri" w:cs="Calibri" w:eastAsia="Calibri" w:hAnsi="Calibri"/>
          <w:color w:val="334155"/>
          <w:sz w:val="21"/>
          <w:szCs w:val="21"/>
        </w:rPr>
        <w:t xml:space="preserve">Executive deployment recommendation</w:t>
      </w:r>
    </w:p>
    <w:p>
      <w:pPr>
        <w:spacing w:after="20"/>
      </w:pPr>
    </w:p>
    <w:p>
      <w:pPr>
        <w:spacing w:after="130" w:line="276"/>
      </w:pPr>
      <w:r>
        <w:rPr>
          <w:rFonts w:ascii="Calibri" w:cs="Calibri" w:eastAsia="Calibri" w:hAnsi="Calibri"/>
          <w:color w:val="334155"/>
          <w:sz w:val="21"/>
          <w:szCs w:val="21"/>
        </w:rPr>
        <w:t xml:space="preserve">[CTA: Try the Interactive Demo]</w:t>
      </w:r>
    </w:p>
    <w:p>
      <w:pPr>
        <w:spacing w:after="130" w:line="276"/>
      </w:pPr>
      <w:r>
        <w:rPr>
          <w:rFonts w:ascii="Calibri" w:cs="Calibri" w:eastAsia="Calibri" w:hAnsi="Calibri"/>
          <w:color w:val="334155"/>
          <w:sz w:val="21"/>
          <w:szCs w:val="21"/>
        </w:rPr>
        <w:t xml:space="preserve">[CTA: Request a Guided Walkthrough]</w:t>
      </w:r>
    </w:p>
    <w:p>
      <w:r>
        <w:br w:type="page"/>
      </w:r>
    </w:p>
    <w:p>
      <w:pPr>
        <w:pStyle w:val="Heading2"/>
      </w:pPr>
      <w:r>
        <w:t xml:space="preserve">3.5 Contact Page</w:t>
      </w:r>
    </w:p>
    <w:p>
      <w:pPr>
        <w:spacing w:after="40"/>
      </w:pPr>
    </w:p>
    <w:p>
      <w:pPr>
        <w:spacing w:after="130" w:line="276"/>
      </w:pPr>
      <w:r>
        <w:rPr>
          <w:rFonts w:ascii="Calibri" w:cs="Calibri" w:eastAsia="Calibri" w:hAnsi="Calibri"/>
          <w:b/>
          <w:bCs/>
          <w:color w:val="0B1D35"/>
          <w:sz w:val="24"/>
          <w:szCs w:val="24"/>
        </w:rPr>
        <w:t xml:space="preserve">Headline: Start with your use case</w:t>
      </w:r>
    </w:p>
    <w:p>
      <w:pPr>
        <w:spacing w:after="20"/>
      </w:pPr>
    </w:p>
    <w:p>
      <w:pPr>
        <w:spacing w:after="130" w:line="276"/>
      </w:pPr>
      <w:r>
        <w:rPr>
          <w:rFonts w:ascii="Calibri" w:cs="Calibri" w:eastAsia="Calibri" w:hAnsi="Calibri"/>
          <w:color w:val="334155"/>
          <w:sz w:val="21"/>
          <w:szCs w:val="21"/>
        </w:rPr>
        <w:t xml:space="preserve">Tell us what workflow you’re exploring, what languages you support, and whether you need evaluation, audit, or pilot support. We’ll tell you honestly whether we can help and what the right starting point is.</w:t>
      </w:r>
    </w:p>
    <w:p>
      <w:pPr>
        <w:spacing w:after="20"/>
      </w:pPr>
    </w:p>
    <w:p>
      <w:pPr>
        <w:spacing w:after="130" w:line="276"/>
      </w:pPr>
      <w:r>
        <w:rPr>
          <w:rFonts w:ascii="Calibri" w:cs="Calibri" w:eastAsia="Calibri" w:hAnsi="Calibri"/>
          <w:color w:val="334155"/>
          <w:sz w:val="21"/>
          <w:szCs w:val="21"/>
        </w:rPr>
        <w:t xml:space="preserve">[Simple form: Name, Organisation, Email, Brief description of use case]</w:t>
      </w:r>
    </w:p>
    <w:p>
      <w:pPr>
        <w:spacing w:after="130" w:line="276"/>
      </w:pPr>
      <w:r>
        <w:rPr>
          <w:rFonts w:ascii="Calibri" w:cs="Calibri" w:eastAsia="Calibri" w:hAnsi="Calibri"/>
          <w:color w:val="334155"/>
          <w:sz w:val="21"/>
          <w:szCs w:val="21"/>
        </w:rPr>
        <w:t xml:space="preserve">[CTA: Book a 20-Minute Intro Call]</w:t>
      </w:r>
    </w:p>
    <w:p>
      <w:pPr>
        <w:spacing w:after="20"/>
      </w:pPr>
    </w:p>
    <w:p>
      <w:pPr>
        <w:spacing w:after="130" w:line="276"/>
      </w:pPr>
      <w:r>
        <w:rPr>
          <w:rFonts w:ascii="Calibri" w:cs="Calibri" w:eastAsia="Calibri" w:hAnsi="Calibri"/>
          <w:color w:val="334155"/>
          <w:sz w:val="21"/>
          <w:szCs w:val="21"/>
        </w:rPr>
        <w:t xml:space="preserve">Or email directly: hello@dalilgroup.com</w:t>
      </w:r>
    </w:p>
    <w:p>
      <w:r>
        <w:br w:type="page"/>
      </w:r>
    </w:p>
    <w:p>
      <w:pPr>
        <w:pStyle w:val="Heading1"/>
      </w:pPr>
      <w:r>
        <w:t xml:space="preserve">4. Social Media Profiles</w:t>
      </w:r>
    </w:p>
    <w:p>
      <w:pPr>
        <w:pStyle w:val="Heading2"/>
      </w:pPr>
      <w:r>
        <w:t xml:space="preserve">4.1 LinkedIn Company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LINKEDIN DETAILS</w:t>
            </w:r>
          </w:p>
          <w:p>
            <w:pPr>
              <w:spacing w:after="35"/>
            </w:pPr>
            <w:r>
              <w:rPr>
                <w:rFonts w:ascii="Calibri" w:cs="Calibri" w:eastAsia="Calibri" w:hAnsi="Calibri"/>
                <w:color w:val="334155"/>
                <w:sz w:val="20"/>
                <w:szCs w:val="20"/>
              </w:rPr>
              <w:t xml:space="preserve">Company name: Dalīl Group</w:t>
            </w:r>
          </w:p>
          <w:p>
            <w:pPr>
              <w:spacing w:after="35"/>
            </w:pPr>
            <w:r>
              <w:rPr>
                <w:rFonts w:ascii="Calibri" w:cs="Calibri" w:eastAsia="Calibri" w:hAnsi="Calibri"/>
                <w:color w:val="334155"/>
                <w:sz w:val="20"/>
                <w:szCs w:val="20"/>
              </w:rPr>
              <w:t xml:space="preserve">Tagline: Evidence-Led AI. Guided by Rigour.</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About (max 2,000 characters):</w:t>
            </w:r>
          </w:p>
          <w:p>
            <w:pPr>
              <w:spacing w:after="35"/>
            </w:pPr>
            <w:r>
              <w:rPr>
                <w:rFonts w:ascii="Calibri" w:cs="Calibri" w:eastAsia="Calibri" w:hAnsi="Calibri"/>
                <w:color w:val="334155"/>
                <w:sz w:val="20"/>
                <w:szCs w:val="20"/>
              </w:rPr>
              <w:t xml:space="preserve">Dalīl Group is a specialist AI evaluation and deployment practice focused on Arabic-English</w:t>
            </w:r>
          </w:p>
          <w:p>
            <w:pPr>
              <w:spacing w:after="35"/>
            </w:pPr>
            <w:r>
              <w:rPr>
                <w:rFonts w:ascii="Calibri" w:cs="Calibri" w:eastAsia="Calibri" w:hAnsi="Calibri"/>
                <w:color w:val="334155"/>
                <w:sz w:val="20"/>
                <w:szCs w:val="20"/>
              </w:rPr>
              <w:t xml:space="preserve">systems. We help organisations across the UK and GCC evaluate whether their AI systems are</w:t>
            </w:r>
          </w:p>
          <w:p>
            <w:pPr>
              <w:spacing w:after="35"/>
            </w:pPr>
            <w:r>
              <w:rPr>
                <w:rFonts w:ascii="Calibri" w:cs="Calibri" w:eastAsia="Calibri" w:hAnsi="Calibri"/>
                <w:color w:val="334155"/>
                <w:sz w:val="20"/>
                <w:szCs w:val="20"/>
              </w:rPr>
              <w:t xml:space="preserve">reliable, fair, culturally aligned, and ready for use in high-trust environments.</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Our services include multilingual AI readiness assessments, cross-lingual bias and reliability</w:t>
            </w:r>
          </w:p>
          <w:p>
            <w:pPr>
              <w:spacing w:after="35"/>
            </w:pPr>
            <w:r>
              <w:rPr>
                <w:rFonts w:ascii="Calibri" w:cs="Calibri" w:eastAsia="Calibri" w:hAnsi="Calibri"/>
                <w:color w:val="334155"/>
                <w:sz w:val="20"/>
                <w:szCs w:val="20"/>
              </w:rPr>
              <w:t xml:space="preserve">audits, cultural integrity reviews, bounded AI pilots, and ongoing assurance monitoring.</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What makes us different: our evaluation framework is built on published research in</w:t>
            </w:r>
          </w:p>
          <w:p>
            <w:pPr>
              <w:spacing w:after="35"/>
            </w:pPr>
            <w:r>
              <w:rPr>
                <w:rFonts w:ascii="Calibri" w:cs="Calibri" w:eastAsia="Calibri" w:hAnsi="Calibri"/>
                <w:color w:val="334155"/>
                <w:sz w:val="20"/>
                <w:szCs w:val="20"/>
              </w:rPr>
              <w:t xml:space="preserve">cross-lingual AI bias and multilingual NLP. We are independent, rigorous, and practical.</w:t>
            </w:r>
          </w:p>
          <w:p>
            <w:pPr>
              <w:spacing w:after="35"/>
            </w:pPr>
            <w:r>
              <w:rPr>
                <w:rFonts w:ascii="Calibri" w:cs="Calibri" w:eastAsia="Calibri" w:hAnsi="Calibri"/>
                <w:color w:val="334155"/>
                <w:sz w:val="20"/>
                <w:szCs w:val="20"/>
              </w:rPr>
              <w:t xml:space="preserve">We provide evidence. You make the decision.</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Specialties: AI Evaluation, Cross-Lingual Bias Auditing, Arabic-English AI, Multilingual NLP,</w:t>
            </w:r>
          </w:p>
          <w:p>
            <w:pPr>
              <w:spacing w:after="35"/>
            </w:pPr>
            <w:r>
              <w:rPr>
                <w:rFonts w:ascii="Calibri" w:cs="Calibri" w:eastAsia="Calibri" w:hAnsi="Calibri"/>
                <w:color w:val="334155"/>
                <w:sz w:val="20"/>
                <w:szCs w:val="20"/>
              </w:rPr>
              <w:t xml:space="preserve">AI Governance, AI Deployment, Cultural Integrity, AI Readiness Assessment</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Website: www.dalilgroup.com</w:t>
            </w:r>
          </w:p>
          <w:p>
            <w:pPr>
              <w:spacing w:after="35"/>
            </w:pPr>
            <w:r>
              <w:rPr>
                <w:rFonts w:ascii="Calibri" w:cs="Calibri" w:eastAsia="Calibri" w:hAnsi="Calibri"/>
                <w:color w:val="334155"/>
                <w:sz w:val="20"/>
                <w:szCs w:val="20"/>
              </w:rPr>
              <w:t xml:space="preserve">Industries: AI, Technology, Consulting, Professional Services</w:t>
            </w:r>
          </w:p>
          <w:p>
            <w:pPr>
              <w:spacing w:after="35"/>
            </w:pPr>
            <w:r>
              <w:rPr>
                <w:rFonts w:ascii="Calibri" w:cs="Calibri" w:eastAsia="Calibri" w:hAnsi="Calibri"/>
                <w:color w:val="334155"/>
                <w:sz w:val="20"/>
                <w:szCs w:val="20"/>
              </w:rPr>
              <w:t xml:space="preserve">Company size: 1-10 employees</w:t>
            </w:r>
          </w:p>
          <w:p>
            <w:pPr>
              <w:spacing w:after="35"/>
            </w:pPr>
            <w:r>
              <w:rPr>
                <w:rFonts w:ascii="Calibri" w:cs="Calibri" w:eastAsia="Calibri" w:hAnsi="Calibri"/>
                <w:color w:val="334155"/>
                <w:sz w:val="20"/>
                <w:szCs w:val="20"/>
              </w:rPr>
              <w:t xml:space="preserve">Headquarters: United Kingdom</w:t>
            </w:r>
          </w:p>
        </w:tc>
      </w:tr>
    </w:tbl>
    <w:p>
      <w:pPr>
        <w:spacing w:after="80"/>
      </w:pPr>
    </w:p>
    <w:p>
      <w:pPr>
        <w:pStyle w:val="Heading2"/>
      </w:pPr>
      <w:r>
        <w:t xml:space="preserve">4.2 Founder LinkedIn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LINKEDIN HEADLINE</w:t>
            </w:r>
          </w:p>
          <w:p>
            <w:pPr>
              <w:spacing w:after="35"/>
            </w:pPr>
            <w:r>
              <w:rPr>
                <w:rFonts w:ascii="Calibri" w:cs="Calibri" w:eastAsia="Calibri" w:hAnsi="Calibri"/>
                <w:color w:val="334155"/>
                <w:sz w:val="20"/>
                <w:szCs w:val="20"/>
              </w:rPr>
              <w:t xml:space="preserve">Founder, Dalīl Group | Multilingual AI Evaluation &amp; Deployment | PhD in Cross-Lingual AI Bias</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Alternatively (shorter):</w:t>
            </w:r>
          </w:p>
          <w:p>
            <w:pPr>
              <w:spacing w:after="35"/>
            </w:pPr>
            <w:r>
              <w:rPr>
                <w:rFonts w:ascii="Calibri" w:cs="Calibri" w:eastAsia="Calibri" w:hAnsi="Calibri"/>
                <w:color w:val="334155"/>
                <w:sz w:val="20"/>
                <w:szCs w:val="20"/>
              </w:rPr>
              <w:t xml:space="preserve">Founder @ Dalīl Group | We evaluate Arabic-English AI systems before deployment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LINKEDIN SUMMARY (first person)</w:t>
            </w:r>
          </w:p>
          <w:p>
            <w:pPr>
              <w:spacing w:after="35"/>
            </w:pPr>
            <w:r>
              <w:rPr>
                <w:rFonts w:ascii="Calibri" w:cs="Calibri" w:eastAsia="Calibri" w:hAnsi="Calibri"/>
                <w:color w:val="334155"/>
                <w:sz w:val="20"/>
                <w:szCs w:val="20"/>
              </w:rPr>
              <w:t xml:space="preserve">I founded Dalīl Group because I kept seeing the same problem: organisations deploy AI in</w:t>
            </w:r>
          </w:p>
          <w:p>
            <w:pPr>
              <w:spacing w:after="35"/>
            </w:pPr>
            <w:r>
              <w:rPr>
                <w:rFonts w:ascii="Calibri" w:cs="Calibri" w:eastAsia="Calibri" w:hAnsi="Calibri"/>
                <w:color w:val="334155"/>
                <w:sz w:val="20"/>
                <w:szCs w:val="20"/>
              </w:rPr>
              <w:t xml:space="preserve">Arabic-English environments without testing whether it actually works in both languages. It usually</w:t>
            </w:r>
          </w:p>
          <w:p>
            <w:pPr>
              <w:spacing w:after="35"/>
            </w:pPr>
            <w:r>
              <w:rPr>
                <w:rFonts w:ascii="Calibri" w:cs="Calibri" w:eastAsia="Calibri" w:hAnsi="Calibri"/>
                <w:color w:val="334155"/>
                <w:sz w:val="20"/>
                <w:szCs w:val="20"/>
              </w:rPr>
              <w:t xml:space="preserve">doesn’t — at least not equally.</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My PhD research at Durham University focused on cross-lingual AI bias, and what I found was</w:t>
            </w:r>
          </w:p>
          <w:p>
            <w:pPr>
              <w:spacing w:after="35"/>
            </w:pPr>
            <w:r>
              <w:rPr>
                <w:rFonts w:ascii="Calibri" w:cs="Calibri" w:eastAsia="Calibri" w:hAnsi="Calibri"/>
                <w:color w:val="334155"/>
                <w:sz w:val="20"/>
                <w:szCs w:val="20"/>
              </w:rPr>
              <w:t xml:space="preserve">consistent: leading AI models produce more gender-biased outputs in Arabic, hallucinate more</w:t>
            </w:r>
          </w:p>
          <w:p>
            <w:pPr>
              <w:spacing w:after="35"/>
            </w:pPr>
            <w:r>
              <w:rPr>
                <w:rFonts w:ascii="Calibri" w:cs="Calibri" w:eastAsia="Calibri" w:hAnsi="Calibri"/>
                <w:color w:val="334155"/>
                <w:sz w:val="20"/>
                <w:szCs w:val="20"/>
              </w:rPr>
              <w:t xml:space="preserve">on region-specific knowledge, and behave less reliably than their English performance suggests.</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Dalīl Group exists to close that gap. We evaluate AI systems across Arabic and English,</w:t>
            </w:r>
          </w:p>
          <w:p>
            <w:pPr>
              <w:spacing w:after="35"/>
            </w:pPr>
            <w:r>
              <w:rPr>
                <w:rFonts w:ascii="Calibri" w:cs="Calibri" w:eastAsia="Calibri" w:hAnsi="Calibri"/>
                <w:color w:val="334155"/>
                <w:sz w:val="20"/>
                <w:szCs w:val="20"/>
              </w:rPr>
              <w:t xml:space="preserve">identify where they fail, and help organisations deploy with evidence and governance built in.</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If you’re deploying AI in a bilingual Arabic-English environment and need to know whether</w:t>
            </w:r>
          </w:p>
          <w:p>
            <w:pPr>
              <w:spacing w:after="35"/>
            </w:pPr>
            <w:r>
              <w:rPr>
                <w:rFonts w:ascii="Calibri" w:cs="Calibri" w:eastAsia="Calibri" w:hAnsi="Calibri"/>
                <w:color w:val="334155"/>
                <w:sz w:val="20"/>
                <w:szCs w:val="20"/>
              </w:rPr>
              <w:t xml:space="preserve">it’s ready, I’d welcome a conversation.</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hello@dalilgroup.com | www.dalilgroup.com</w:t>
            </w:r>
          </w:p>
        </w:tc>
      </w:tr>
    </w:tbl>
    <w:p>
      <w:r>
        <w:br w:type="page"/>
      </w:r>
    </w:p>
    <w:p>
      <w:pPr>
        <w:pStyle w:val="Heading1"/>
      </w:pPr>
      <w:r>
        <w:t xml:space="preserve">5. Email Signatures &amp; Templates</w:t>
      </w:r>
    </w:p>
    <w:p>
      <w:pPr>
        <w:pStyle w:val="Heading2"/>
      </w:pPr>
      <w:r>
        <w:t xml:space="preserve">5.1 Email Signature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SIGNATURE FORMAT</w:t>
            </w:r>
          </w:p>
          <w:p>
            <w:pPr>
              <w:spacing w:after="35"/>
            </w:pPr>
            <w:r>
              <w:rPr>
                <w:rFonts w:ascii="Calibri" w:cs="Calibri" w:eastAsia="Calibri" w:hAnsi="Calibri"/>
                <w:color w:val="334155"/>
                <w:sz w:val="20"/>
                <w:szCs w:val="20"/>
              </w:rPr>
              <w:t xml:space="preserve">[Your Name]</w:t>
            </w:r>
          </w:p>
          <w:p>
            <w:pPr>
              <w:spacing w:after="35"/>
            </w:pPr>
            <w:r>
              <w:rPr>
                <w:rFonts w:ascii="Calibri" w:cs="Calibri" w:eastAsia="Calibri" w:hAnsi="Calibri"/>
                <w:color w:val="334155"/>
                <w:sz w:val="20"/>
                <w:szCs w:val="20"/>
              </w:rPr>
              <w:t xml:space="preserve">Founder, Dalīl Group</w:t>
            </w:r>
          </w:p>
          <w:p>
            <w:pPr>
              <w:spacing w:after="35"/>
            </w:pPr>
            <w:r>
              <w:rPr>
                <w:rFonts w:ascii="Calibri" w:cs="Calibri" w:eastAsia="Calibri" w:hAnsi="Calibri"/>
                <w:color w:val="334155"/>
                <w:sz w:val="20"/>
                <w:szCs w:val="20"/>
              </w:rPr>
              <w:t xml:space="preserve">Multilingual AI Evaluation &amp; Deployment</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hello@dalilgroup.com | www.dalilgroup.com</w:t>
            </w:r>
          </w:p>
          <w:p>
            <w:pPr>
              <w:spacing w:after="35"/>
            </w:pPr>
            <w:r>
              <w:rPr>
                <w:rFonts w:ascii="Calibri" w:cs="Calibri" w:eastAsia="Calibri" w:hAnsi="Calibri"/>
                <w:color w:val="334155"/>
                <w:sz w:val="20"/>
                <w:szCs w:val="20"/>
              </w:rPr>
              <w:t xml:space="preserve">LinkedIn: linkedin.com/company/dalilgroup</w:t>
            </w:r>
          </w:p>
        </w:tc>
      </w:tr>
    </w:tbl>
    <w:p>
      <w:pPr>
        <w:spacing w:after="80"/>
      </w:pPr>
    </w:p>
    <w:p>
      <w:pPr>
        <w:pStyle w:val="Heading2"/>
      </w:pPr>
      <w:r>
        <w:t xml:space="preserve">5.2 Cold Email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8A" w:sz="1"/>
              <w:left w:val="single" w:color="1A6B8A" w:sz="8"/>
              <w:bottom w:val="single" w:color="1A6B8A" w:sz="1"/>
              <w:right w:val="single" w:color="1A6B8A" w:sz="1"/>
            </w:tcBorders>
            <w:shd w:fill="EFF8FA" w:val="clear"/>
            <w:tcMar>
              <w:top w:type="dxa" w:w="100"/>
              <w:left w:type="dxa" w:w="180"/>
              <w:bottom w:type="dxa" w:w="100"/>
              <w:right w:type="dxa" w:w="180"/>
            </w:tcMar>
          </w:tcPr>
          <w:p>
            <w:pPr>
              <w:spacing w:after="50"/>
            </w:pPr>
            <w:r>
              <w:rPr>
                <w:rFonts w:ascii="Calibri" w:cs="Calibri" w:eastAsia="Calibri" w:hAnsi="Calibri"/>
                <w:b/>
                <w:bCs/>
                <w:color w:val="0B1D35"/>
                <w:sz w:val="21"/>
                <w:szCs w:val="21"/>
              </w:rPr>
              <w:t xml:space="preserve">OUTREACH EMAIL</w:t>
            </w:r>
          </w:p>
          <w:p>
            <w:pPr>
              <w:spacing w:after="35"/>
            </w:pPr>
            <w:r>
              <w:rPr>
                <w:rFonts w:ascii="Calibri" w:cs="Calibri" w:eastAsia="Calibri" w:hAnsi="Calibri"/>
                <w:color w:val="334155"/>
                <w:sz w:val="20"/>
                <w:szCs w:val="20"/>
              </w:rPr>
              <w:t xml:space="preserve">Subject: Arabic-English AI evaluation — relevant to [Organisation]?</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Hi [Name],</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I’m the founder of Dalīl Group. We help organisations evaluate whether their AI systems</w:t>
            </w:r>
          </w:p>
          <w:p>
            <w:pPr>
              <w:spacing w:after="35"/>
            </w:pPr>
            <w:r>
              <w:rPr>
                <w:rFonts w:ascii="Calibri" w:cs="Calibri" w:eastAsia="Calibri" w:hAnsi="Calibri"/>
                <w:color w:val="334155"/>
                <w:sz w:val="20"/>
                <w:szCs w:val="20"/>
              </w:rPr>
              <w:t xml:space="preserve">are ready for bilingual Arabic-English deployment — testing for bias, reliability, consistency,</w:t>
            </w:r>
          </w:p>
          <w:p>
            <w:pPr>
              <w:spacing w:after="35"/>
            </w:pPr>
            <w:r>
              <w:rPr>
                <w:rFonts w:ascii="Calibri" w:cs="Calibri" w:eastAsia="Calibri" w:hAnsi="Calibri"/>
                <w:color w:val="334155"/>
                <w:sz w:val="20"/>
                <w:szCs w:val="20"/>
              </w:rPr>
              <w:t xml:space="preserve">and cultural alignment across both languages.</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I thought this might be relevant to [Organisation] given [specific context — their AI adoption,</w:t>
            </w:r>
          </w:p>
          <w:p>
            <w:pPr>
              <w:spacing w:after="35"/>
            </w:pPr>
            <w:r>
              <w:rPr>
                <w:rFonts w:ascii="Calibri" w:cs="Calibri" w:eastAsia="Calibri" w:hAnsi="Calibri"/>
                <w:color w:val="334155"/>
                <w:sz w:val="20"/>
                <w:szCs w:val="20"/>
              </w:rPr>
              <w:t xml:space="preserve">their bilingual operations, their GCC expansion, etc.].</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Would a brief conversation be useful? Happy to share some evaluation findings that may be</w:t>
            </w:r>
          </w:p>
          <w:p>
            <w:pPr>
              <w:spacing w:after="35"/>
            </w:pPr>
            <w:r>
              <w:rPr>
                <w:rFonts w:ascii="Calibri" w:cs="Calibri" w:eastAsia="Calibri" w:hAnsi="Calibri"/>
                <w:color w:val="334155"/>
                <w:sz w:val="20"/>
                <w:szCs w:val="20"/>
              </w:rPr>
              <w:t xml:space="preserve">relevant to your context.</w:t>
            </w:r>
          </w:p>
          <w:p>
            <w:pPr>
              <w:spacing w:after="35"/>
            </w:pPr>
            <w:r>
              <w:rPr>
                <w:rFonts w:ascii="Calibri" w:cs="Calibri" w:eastAsia="Calibri" w:hAnsi="Calibri"/>
                <w:color w:val="334155"/>
                <w:sz w:val="20"/>
                <w:szCs w:val="20"/>
              </w:rPr>
              <w:t xml:space="preserve"/>
            </w:r>
          </w:p>
          <w:p>
            <w:pPr>
              <w:spacing w:after="35"/>
            </w:pPr>
            <w:r>
              <w:rPr>
                <w:rFonts w:ascii="Calibri" w:cs="Calibri" w:eastAsia="Calibri" w:hAnsi="Calibri"/>
                <w:color w:val="334155"/>
                <w:sz w:val="20"/>
                <w:szCs w:val="20"/>
              </w:rPr>
              <w:t xml:space="preserve">Best,</w:t>
            </w:r>
          </w:p>
          <w:p>
            <w:pPr>
              <w:spacing w:after="35"/>
            </w:pPr>
            <w:r>
              <w:rPr>
                <w:rFonts w:ascii="Calibri" w:cs="Calibri" w:eastAsia="Calibri" w:hAnsi="Calibri"/>
                <w:color w:val="334155"/>
                <w:sz w:val="20"/>
                <w:szCs w:val="20"/>
              </w:rPr>
              <w:t xml:space="preserve">[Your Name]</w:t>
            </w:r>
          </w:p>
        </w:tc>
      </w:tr>
    </w:tbl>
    <w:p>
      <w:r>
        <w:br w:type="page"/>
      </w:r>
    </w:p>
    <w:p>
      <w:pPr>
        <w:pStyle w:val="Heading1"/>
      </w:pPr>
      <w:r>
        <w:t xml:space="preserve">6. Content Strategy</w:t>
      </w:r>
    </w:p>
    <w:p>
      <w:pPr>
        <w:pStyle w:val="Heading2"/>
      </w:pPr>
      <w:r>
        <w:t xml:space="preserve">6.1 LinkedIn Posting Plan</w:t>
      </w:r>
    </w:p>
    <w:p>
      <w:pPr>
        <w:spacing w:after="130" w:line="276"/>
      </w:pPr>
      <w:r>
        <w:rPr>
          <w:rFonts w:ascii="Calibri" w:cs="Calibri" w:eastAsia="Calibri" w:hAnsi="Calibri"/>
          <w:color w:val="334155"/>
          <w:sz w:val="21"/>
          <w:szCs w:val="21"/>
        </w:rPr>
        <w:t xml:space="preserve">Frequency: 2–3 posts per week. Never promotional. Always insightful.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1426"/>
      </w:tblGrid>
      <w:tr>
        <w:tc>
          <w:tcPr>
            <w:tcW w:type="dxa" w:w="20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Post Type</w:t>
            </w:r>
          </w:p>
        </w:tc>
        <w:tc>
          <w:tcPr>
            <w:tcW w:type="dxa" w:w="56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Example Topic</w:t>
            </w:r>
          </w:p>
        </w:tc>
        <w:tc>
          <w:tcPr>
            <w:tcW w:type="dxa" w:w="1426"/>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Frequency</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Insight post (3–5 sentences)</w:t>
            </w:r>
          </w:p>
        </w:tc>
        <w:tc>
          <w:tcPr>
            <w:tcW w:type="dxa" w:w="5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"We tested GPT-4o on Saudi regulatory questions in Arabic. It got the date wrong, misattributed the responsible authority, and invented a policy that doesn’t exist. In English, it was accurate."</w:t>
            </w:r>
          </w:p>
        </w:tc>
        <w:tc>
          <w:tcPr>
            <w:tcW w:type="dxa" w:w="14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2x/week</w:t>
            </w:r>
          </w:p>
        </w:tc>
      </w:tr>
      <w:tr>
        <w:tc>
          <w:tcPr>
            <w:tcW w:type="dxa" w:w="20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Question post</w:t>
            </w:r>
          </w:p>
        </w:tc>
        <w:tc>
          <w:tcPr>
            <w:tcW w:type="dxa" w:w="5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"If your AI chatbot gives different answers in Arabic and English to the same question, who notices first — your team or your customer?"</w:t>
            </w:r>
          </w:p>
        </w:tc>
        <w:tc>
          <w:tcPr>
            <w:tcW w:type="dxa" w:w="14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1x/week</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Methodology insight</w:t>
            </w:r>
          </w:p>
        </w:tc>
        <w:tc>
          <w:tcPr>
            <w:tcW w:type="dxa" w:w="5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"Most bias detection tools check for gendered pronouns. In Arabic, bias shows up in verb conjugations, adjective endings, and cultural idioms. You need linguistic analysis, not just word lists."</w:t>
            </w:r>
          </w:p>
        </w:tc>
        <w:tc>
          <w:tcPr>
            <w:tcW w:type="dxa" w:w="14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1x/2 weeks</w:t>
            </w:r>
          </w:p>
        </w:tc>
      </w:tr>
      <w:tr>
        <w:tc>
          <w:tcPr>
            <w:tcW w:type="dxa" w:w="20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Case study (after first client)</w:t>
            </w:r>
          </w:p>
        </w:tc>
        <w:tc>
          <w:tcPr>
            <w:tcW w:type="dxa" w:w="5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"We evaluated two models for a university’s policy assistant. One scored 0% on Arabic factual accuracy. Here’s what we found."</w:t>
            </w:r>
          </w:p>
        </w:tc>
        <w:tc>
          <w:tcPr>
            <w:tcW w:type="dxa" w:w="14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When available</w:t>
            </w:r>
          </w:p>
        </w:tc>
      </w:tr>
    </w:tbl>
    <w:p>
      <w:pPr>
        <w:spacing w:after="80"/>
      </w:pPr>
    </w:p>
    <w:p>
      <w:pPr>
        <w:pStyle w:val="Heading2"/>
      </w:pPr>
      <w:r>
        <w:t xml:space="preserve">6.2 Whitepaper</w:t>
      </w:r>
    </w:p>
    <w:p>
      <w:pPr>
        <w:spacing w:after="130" w:line="276"/>
      </w:pPr>
      <w:r>
        <w:rPr>
          <w:rFonts w:ascii="Calibri" w:cs="Calibri" w:eastAsia="Calibri" w:hAnsi="Calibri"/>
          <w:color w:val="334155"/>
          <w:sz w:val="21"/>
          <w:szCs w:val="21"/>
        </w:rPr>
        <w:t xml:space="preserve">Title: “Why Your Arabic AI System Is Probably Biased”</w:t>
      </w:r>
    </w:p>
    <w:p>
      <w:pPr>
        <w:spacing w:after="130" w:line="276"/>
      </w:pPr>
      <w:r>
        <w:rPr>
          <w:rFonts w:ascii="Calibri" w:cs="Calibri" w:eastAsia="Calibri" w:hAnsi="Calibri"/>
          <w:color w:val="334155"/>
          <w:sz w:val="21"/>
          <w:szCs w:val="21"/>
        </w:rPr>
        <w:t xml:space="preserve">Status: Written. Ready to publish.</w:t>
      </w:r>
    </w:p>
    <w:p>
      <w:pPr>
        <w:spacing w:after="130" w:line="276"/>
      </w:pPr>
      <w:r>
        <w:rPr>
          <w:rFonts w:ascii="Calibri" w:cs="Calibri" w:eastAsia="Calibri" w:hAnsi="Calibri"/>
          <w:color w:val="334155"/>
          <w:sz w:val="21"/>
          <w:szCs w:val="21"/>
        </w:rPr>
        <w:t xml:space="preserve">Distribution: Gated download on website (email capture). Shared directly with prospects. Posted as LinkedIn article (ungated summary with link to full version).</w:t>
      </w:r>
    </w:p>
    <w:p>
      <w:pPr>
        <w:spacing w:after="80"/>
      </w:pPr>
    </w:p>
    <w:p>
      <w:pPr>
        <w:pStyle w:val="Heading2"/>
      </w:pPr>
      <w:r>
        <w:t xml:space="preserve">6.3 Future Content (after first engagements)</w:t>
      </w:r>
    </w:p>
    <w:p>
      <w:pPr>
        <w:pStyle w:val="ListParagraph"/>
        <w:numPr>
          <w:ilvl w:val="0"/>
          <w:numId w:val="2"/>
        </w:numPr>
        <w:spacing w:after="55" w:line="264"/>
      </w:pPr>
      <w:r>
        <w:rPr>
          <w:rFonts w:ascii="Calibri" w:cs="Calibri" w:eastAsia="Calibri" w:hAnsi="Calibri"/>
          <w:color w:val="334155"/>
          <w:sz w:val="21"/>
          <w:szCs w:val="21"/>
        </w:rPr>
        <w:t xml:space="preserve">Case study: First Multilingual AI Readiness Report findings</w:t>
      </w:r>
    </w:p>
    <w:p>
      <w:pPr>
        <w:pStyle w:val="ListParagraph"/>
        <w:numPr>
          <w:ilvl w:val="0"/>
          <w:numId w:val="2"/>
        </w:numPr>
        <w:spacing w:after="55" w:line="264"/>
      </w:pPr>
      <w:r>
        <w:rPr>
          <w:rFonts w:ascii="Calibri" w:cs="Calibri" w:eastAsia="Calibri" w:hAnsi="Calibri"/>
          <w:color w:val="334155"/>
          <w:sz w:val="21"/>
          <w:szCs w:val="21"/>
        </w:rPr>
        <w:t xml:space="preserve">Blog post: “What we learned evaluating [Model X] in Arabic”</w:t>
      </w:r>
    </w:p>
    <w:p>
      <w:pPr>
        <w:pStyle w:val="ListParagraph"/>
        <w:numPr>
          <w:ilvl w:val="0"/>
          <w:numId w:val="2"/>
        </w:numPr>
        <w:spacing w:after="55" w:line="264"/>
      </w:pPr>
      <w:r>
        <w:rPr>
          <w:rFonts w:ascii="Calibri" w:cs="Calibri" w:eastAsia="Calibri" w:hAnsi="Calibri"/>
          <w:color w:val="334155"/>
          <w:sz w:val="21"/>
          <w:szCs w:val="21"/>
        </w:rPr>
        <w:t xml:space="preserve">Technical note: “How Arabic grammatical gender exposes AI bias that English hides”</w:t>
      </w:r>
    </w:p>
    <w:p>
      <w:pPr>
        <w:pStyle w:val="ListParagraph"/>
        <w:numPr>
          <w:ilvl w:val="0"/>
          <w:numId w:val="2"/>
        </w:numPr>
        <w:spacing w:after="55" w:line="264"/>
      </w:pPr>
      <w:r>
        <w:rPr>
          <w:rFonts w:ascii="Calibri" w:cs="Calibri" w:eastAsia="Calibri" w:hAnsi="Calibri"/>
          <w:color w:val="334155"/>
          <w:sz w:val="21"/>
          <w:szCs w:val="21"/>
        </w:rPr>
        <w:t xml:space="preserve">Webinar/talk: “The state of Arabic-English AI readiness in 2026”</w:t>
      </w:r>
    </w:p>
    <w:p>
      <w:r>
        <w:br w:type="page"/>
      </w:r>
    </w:p>
    <w:p>
      <w:pPr>
        <w:pStyle w:val="Heading1"/>
      </w:pPr>
      <w:r>
        <w:t xml:space="preserve">7. Visual Identity Guidelines</w:t>
      </w:r>
    </w:p>
    <w:p>
      <w:pPr>
        <w:pStyle w:val="Heading2"/>
      </w:pPr>
      <w:r>
        <w:t xml:space="preserve">7.1 Colour Palette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Colour</w:t>
            </w:r>
          </w:p>
        </w:tc>
        <w:tc>
          <w:tcPr>
            <w:tcW w:type="dxa" w:w="14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Hex</w:t>
            </w:r>
          </w:p>
        </w:tc>
        <w:tc>
          <w:tcPr>
            <w:tcW w:type="dxa" w:w="5826"/>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Usage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Deep Navy</w:t>
            </w:r>
          </w:p>
        </w:tc>
        <w:tc>
          <w:tcPr>
            <w:tcW w:type="dxa" w:w="1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#0B1D35</w:t>
            </w:r>
          </w:p>
        </w:tc>
        <w:tc>
          <w:tcPr>
            <w:tcW w:type="dxa" w:w="58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Primary brand colour. Headings, logo, key text.</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Ocean Teal</w:t>
            </w:r>
          </w:p>
        </w:tc>
        <w:tc>
          <w:tcPr>
            <w:tcW w:type="dxa" w:w="14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#1A6B8A</w:t>
            </w:r>
          </w:p>
        </w:tc>
        <w:tc>
          <w:tcPr>
            <w:tcW w:type="dxa" w:w="58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Accent colour. Links, CTAs, highlights, data visualisations.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Warm Teal</w:t>
            </w:r>
          </w:p>
        </w:tc>
        <w:tc>
          <w:tcPr>
            <w:tcW w:type="dxa" w:w="1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#0F766E</w:t>
            </w:r>
          </w:p>
        </w:tc>
        <w:tc>
          <w:tcPr>
            <w:tcW w:type="dxa" w:w="58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Secondary accent. Success states, positive indicators.</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Slate</w:t>
            </w:r>
          </w:p>
        </w:tc>
        <w:tc>
          <w:tcPr>
            <w:tcW w:type="dxa" w:w="14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#334155</w:t>
            </w:r>
          </w:p>
        </w:tc>
        <w:tc>
          <w:tcPr>
            <w:tcW w:type="dxa" w:w="58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Body text colour.</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Cool Gray</w:t>
            </w:r>
          </w:p>
        </w:tc>
        <w:tc>
          <w:tcPr>
            <w:tcW w:type="dxa" w:w="1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#64748B</w:t>
            </w:r>
          </w:p>
        </w:tc>
        <w:tc>
          <w:tcPr>
            <w:tcW w:type="dxa" w:w="58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Captions, metadata, secondary text.</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Cloud</w:t>
            </w:r>
          </w:p>
        </w:tc>
        <w:tc>
          <w:tcPr>
            <w:tcW w:type="dxa" w:w="14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#EFF8FA</w:t>
            </w:r>
          </w:p>
        </w:tc>
        <w:tc>
          <w:tcPr>
            <w:tcW w:type="dxa" w:w="58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Backgrounds, callout boxes, cards.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White</w:t>
            </w:r>
          </w:p>
        </w:tc>
        <w:tc>
          <w:tcPr>
            <w:tcW w:type="dxa" w:w="1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#FFFFFF</w:t>
            </w:r>
          </w:p>
        </w:tc>
        <w:tc>
          <w:tcPr>
            <w:tcW w:type="dxa" w:w="58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Page backgrounds, clean space.</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Muted Gold</w:t>
            </w:r>
          </w:p>
        </w:tc>
        <w:tc>
          <w:tcPr>
            <w:tcW w:type="dxa" w:w="14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#92763A</w:t>
            </w:r>
          </w:p>
        </w:tc>
        <w:tc>
          <w:tcPr>
            <w:tcW w:type="dxa" w:w="58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Optional premium accent for GCC-facing materials.</w:t>
            </w:r>
          </w:p>
        </w:tc>
      </w:tr>
    </w:tbl>
    <w:p>
      <w:pPr>
        <w:spacing w:after="80"/>
      </w:pPr>
    </w:p>
    <w:p>
      <w:pPr>
        <w:pStyle w:val="Heading2"/>
      </w:pPr>
      <w:r>
        <w:t xml:space="preserve">7.2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Use</w:t>
            </w:r>
          </w:p>
        </w:tc>
        <w:tc>
          <w:tcPr>
            <w:tcW w:type="dxa" w:w="34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Font</w:t>
            </w:r>
          </w:p>
        </w:tc>
        <w:tc>
          <w:tcPr>
            <w:tcW w:type="dxa" w:w="3026"/>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Fallback</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Headings &amp; display</w:t>
            </w:r>
          </w:p>
        </w:tc>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Outfit (600–800 weight)</w:t>
            </w:r>
          </w:p>
        </w:tc>
        <w:tc>
          <w:tcPr>
            <w:tcW w:type="dxa" w:w="30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Calibri, system sans-serif</w:t>
            </w:r>
          </w:p>
        </w:tc>
      </w:tr>
      <w:t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Body text</w:t>
            </w:r>
          </w:p>
        </w:tc>
        <w:tc>
          <w:tcPr>
            <w:tcW w:type="dxa" w:w="34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Outfit (400–500 weight)</w:t>
            </w:r>
          </w:p>
        </w:tc>
        <w:tc>
          <w:tcPr>
            <w:tcW w:type="dxa" w:w="30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Calibri, system sans-serif</w:t>
            </w:r>
          </w:p>
        </w:tc>
      </w:tr>
      <w:tr>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Data, scores, code</w:t>
            </w:r>
          </w:p>
        </w:tc>
        <w:tc>
          <w:tcPr>
            <w:tcW w:type="dxa" w:w="34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JetBrains Mono</w:t>
            </w:r>
          </w:p>
        </w:tc>
        <w:tc>
          <w:tcPr>
            <w:tcW w:type="dxa" w:w="30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SF Mono, Consolas, monospace</w:t>
            </w:r>
          </w:p>
        </w:tc>
      </w:tr>
      <w:tr>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Arabic text</w:t>
            </w:r>
          </w:p>
        </w:tc>
        <w:tc>
          <w:tcPr>
            <w:tcW w:type="dxa" w:w="34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Noto Sans Arabic</w:t>
            </w:r>
          </w:p>
        </w:tc>
        <w:tc>
          <w:tcPr>
            <w:tcW w:type="dxa" w:w="30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IBM Plex Sans Arabic, system Arabic</w:t>
            </w:r>
          </w:p>
        </w:tc>
      </w:tr>
    </w:tbl>
    <w:p>
      <w:pPr>
        <w:spacing w:after="80"/>
      </w:pPr>
    </w:p>
    <w:p>
      <w:pPr>
        <w:pStyle w:val="Heading2"/>
      </w:pPr>
      <w:r>
        <w:t xml:space="preserve">7.3 Logo Concept</w:t>
      </w:r>
    </w:p>
    <w:p>
      <w:pPr>
        <w:spacing w:after="130" w:line="276"/>
      </w:pPr>
      <w:r>
        <w:rPr>
          <w:rFonts w:ascii="Calibri" w:cs="Calibri" w:eastAsia="Calibri" w:hAnsi="Calibri"/>
          <w:color w:val="334155"/>
          <w:sz w:val="21"/>
          <w:szCs w:val="21"/>
        </w:rPr>
        <w:t xml:space="preserve">The logo should incorporate the Arabic letter د (dal) — the first letter of دليل — stylised as a clean, geometric mark. The dal is one of the simplest Arabic letterforms, making it ideal for a minimal, professional logo.</w:t>
      </w:r>
    </w:p>
    <w:p>
      <w:pPr>
        <w:spacing w:after="40"/>
      </w:pPr>
    </w:p>
    <w:p>
      <w:pPr>
        <w:spacing w:after="130" w:line="276"/>
      </w:pPr>
      <w:r>
        <w:rPr>
          <w:rFonts w:ascii="Calibri" w:cs="Calibri" w:eastAsia="Calibri" w:hAnsi="Calibri"/>
          <w:color w:val="334155"/>
          <w:sz w:val="21"/>
          <w:szCs w:val="21"/>
        </w:rPr>
        <w:t xml:space="preserve">Direction: A stylised د in deep navy, paired with “DALĪL GROUP” in clean sans-serif type. The Arabic دليل appears below or alongside in a smaller weight. The overall feel should be: serious, precise, premium — like a consultancy mark, not a tech startup logo.</w:t>
      </w:r>
    </w:p>
    <w:p>
      <w:r>
        <w:br w:type="page"/>
      </w:r>
    </w:p>
    <w:p>
      <w:pPr>
        <w:pStyle w:val="Heading1"/>
      </w:pPr>
      <w:r>
        <w:t xml:space="preserve">8. Key Messages by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Audience</w:t>
            </w:r>
          </w:p>
        </w:tc>
        <w:tc>
          <w:tcPr>
            <w:tcW w:type="dxa" w:w="2600"/>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What They Care About</w:t>
            </w:r>
          </w:p>
        </w:tc>
        <w:tc>
          <w:tcPr>
            <w:tcW w:type="dxa" w:w="4626"/>
            <w:tcBorders>
              <w:top w:val="single" w:color="CBD5E1" w:sz="1"/>
              <w:left w:val="single" w:color="CBD5E1" w:sz="1"/>
              <w:bottom w:val="single" w:color="CBD5E1" w:sz="1"/>
              <w:right w:val="single" w:color="CBD5E1" w:sz="1"/>
            </w:tcBorders>
            <w:shd w:fill="0B1D35" w:val="clear"/>
            <w:tcMar>
              <w:top w:type="dxa" w:w="70"/>
              <w:left w:type="dxa" w:w="110"/>
              <w:bottom w:type="dxa" w:w="70"/>
              <w:right w:type="dxa" w:w="110"/>
            </w:tcMar>
          </w:tcPr>
          <w:p>
            <w:r>
              <w:rPr>
                <w:rFonts w:ascii="Calibri" w:cs="Calibri" w:eastAsia="Calibri" w:hAnsi="Calibri"/>
                <w:b/>
                <w:bCs/>
                <w:color w:val="FFFFFF"/>
                <w:sz w:val="19"/>
                <w:szCs w:val="19"/>
              </w:rPr>
              <w:t xml:space="preserve">Key Message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CTO / Head of AI</w:t>
            </w:r>
          </w:p>
        </w:tc>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Model performance, technical rigour, vendor comparison</w:t>
            </w:r>
          </w:p>
        </w:tc>
        <w:tc>
          <w:tcPr>
            <w:tcW w:type="dxa" w:w="46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"Dalīl gives you a side-by-side comparison of how models actually perform in Arabic vs English, with scores you can act on."</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Compliance / Risk</w:t>
            </w:r>
          </w:p>
        </w:tc>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Regulatory alignment, audit evidence, liability reduction</w:t>
            </w:r>
          </w:p>
        </w:tc>
        <w:tc>
          <w:tcPr>
            <w:tcW w:type="dxa" w:w="46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"Our reports are designed for governance teams — they document bias risks, hallucination patterns, and recommended controls."</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University IT / Digital</w:t>
            </w:r>
          </w:p>
        </w:tc>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AI governance, student experience, budget efficiency</w:t>
            </w:r>
          </w:p>
        </w:tc>
        <w:tc>
          <w:tcPr>
            <w:tcW w:type="dxa" w:w="46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"We help you evaluate AI tools before campus-wide adoption, ensuring they work for your international students too."</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GCC Government</w:t>
            </w:r>
          </w:p>
        </w:tc>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Arabic AI quality, national priorities, trusted evaluation</w:t>
            </w:r>
          </w:p>
        </w:tc>
        <w:tc>
          <w:tcPr>
            <w:tcW w:type="dxa" w:w="46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"We specialise in Arabic-English AI assurance — ensuring systems are fair, accurate, and culturally appropriate."</w:t>
            </w:r>
          </w:p>
        </w:tc>
      </w:tr>
      <w:tr>
        <w:tc>
          <w:tcPr>
            <w:tcW w:type="dxa" w:w="18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Consulting Partner</w:t>
            </w:r>
          </w:p>
        </w:tc>
        <w:tc>
          <w:tcPr>
            <w:tcW w:type="dxa" w:w="2600"/>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Specialist capability, white-label potential, GCC expertise</w:t>
            </w:r>
          </w:p>
        </w:tc>
        <w:tc>
          <w:tcPr>
            <w:tcW w:type="dxa" w:w="4626"/>
            <w:tcBorders>
              <w:top w:val="single" w:color="CBD5E1" w:sz="1"/>
              <w:left w:val="single" w:color="CBD5E1" w:sz="1"/>
              <w:bottom w:val="single" w:color="CBD5E1" w:sz="1"/>
              <w:right w:val="single" w:color="CBD5E1" w:sz="1"/>
            </w:tcBorders>
            <w:shd w:fill="F8FAFC" w:val="clear"/>
            <w:tcMar>
              <w:top w:type="dxa" w:w="70"/>
              <w:left w:type="dxa" w:w="110"/>
              <w:bottom w:type="dxa" w:w="70"/>
              <w:right w:type="dxa" w:w="110"/>
            </w:tcMar>
          </w:tcPr>
          <w:p>
            <w:pPr>
              <w:spacing w:after="30"/>
            </w:pPr>
            <w:r>
              <w:rPr>
                <w:rFonts w:ascii="Calibri" w:cs="Calibri" w:eastAsia="Calibri" w:hAnsi="Calibri"/>
                <w:color w:val="334155"/>
                <w:sz w:val="19"/>
                <w:szCs w:val="19"/>
              </w:rPr>
              <w:t xml:space="preserve">"We provide the Arabic AI evaluation layer your team needs for GCC engagements — delivered as a specialist subcontractor."</w:t>
            </w:r>
          </w:p>
        </w:tc>
      </w:tr>
      <w:tr>
        <w:tc>
          <w:tcPr>
            <w:tcW w:type="dxa" w:w="18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Operations / Knowledge Mgmt</w:t>
            </w:r>
          </w:p>
        </w:tc>
        <w:tc>
          <w:tcPr>
            <w:tcW w:type="dxa" w:w="2600"/>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Productivity, reliability, easy pilot</w:t>
            </w:r>
          </w:p>
        </w:tc>
        <w:tc>
          <w:tcPr>
            <w:tcW w:type="dxa" w:w="4626"/>
            <w:tcBorders>
              <w:top w:val="single" w:color="CBD5E1" w:sz="1"/>
              <w:left w:val="single" w:color="CBD5E1" w:sz="1"/>
              <w:bottom w:val="single" w:color="CBD5E1" w:sz="1"/>
              <w:right w:val="single" w:color="CBD5E1" w:sz="1"/>
            </w:tcBorders>
            <w:tcMar>
              <w:top w:type="dxa" w:w="70"/>
              <w:left w:type="dxa" w:w="110"/>
              <w:bottom w:type="dxa" w:w="70"/>
              <w:right w:type="dxa" w:w="110"/>
            </w:tcMar>
          </w:tcPr>
          <w:p>
            <w:pPr>
              <w:spacing w:after="30"/>
            </w:pPr>
            <w:r>
              <w:rPr>
                <w:rFonts w:ascii="Calibri" w:cs="Calibri" w:eastAsia="Calibri" w:hAnsi="Calibri"/>
                <w:color w:val="334155"/>
                <w:sz w:val="19"/>
                <w:szCs w:val="19"/>
              </w:rPr>
              <w:t xml:space="preserve">"We deploy a bilingual AI assistant for one workflow, test it properly, and hand it over with evidence that it works."</w:t>
            </w:r>
          </w:p>
        </w:tc>
      </w:tr>
    </w:tbl>
    <w:p>
      <w:r>
        <w:br w:type="page"/>
      </w:r>
    </w:p>
    <w:p>
      <w:pPr>
        <w:pStyle w:val="Heading1"/>
      </w:pPr>
      <w:r>
        <w:t xml:space="preserve">9. Brand Voice Examples</w:t>
      </w:r>
    </w:p>
    <w:p>
      <w:pPr>
        <w:spacing w:after="130" w:line="276"/>
      </w:pPr>
      <w:r>
        <w:rPr>
          <w:rFonts w:ascii="Calibri" w:cs="Calibri" w:eastAsia="Calibri" w:hAnsi="Calibri"/>
          <w:color w:val="334155"/>
          <w:sz w:val="21"/>
          <w:szCs w:val="21"/>
        </w:rPr>
        <w:t xml:space="preserve">How Dalīl Group sounds in different contexts:</w:t>
      </w:r>
    </w:p>
    <w:p>
      <w:pPr>
        <w:spacing w:after="40"/>
      </w:pPr>
    </w:p>
    <w:p>
      <w:pPr>
        <w:pStyle w:val="Heading3"/>
      </w:pPr>
      <w:r>
        <w:t xml:space="preserve">On the website</w:t>
      </w:r>
    </w:p>
    <w:p>
      <w:pPr>
        <w:spacing w:after="130" w:line="276"/>
      </w:pPr>
      <w:r>
        <w:rPr>
          <w:rFonts w:ascii="Calibri" w:cs="Calibri" w:eastAsia="Calibri" w:hAnsi="Calibri"/>
          <w:i/>
          <w:iCs/>
          <w:color w:val="334155"/>
          <w:sz w:val="21"/>
          <w:szCs w:val="21"/>
        </w:rPr>
        <w:t xml:space="preserve">“We tested six leading AI models on Arabic factual accuracy. Four produced errors that would mislead a citizen or customer. Two were acceptable with restrictions. None matched their English performance.”</w:t>
      </w:r>
    </w:p>
    <w:p>
      <w:pPr>
        <w:spacing w:after="40"/>
      </w:pPr>
    </w:p>
    <w:p>
      <w:pPr>
        <w:pStyle w:val="Heading3"/>
      </w:pPr>
      <w:r>
        <w:t xml:space="preserve">In a proposal</w:t>
      </w:r>
    </w:p>
    <w:p>
      <w:pPr>
        <w:spacing w:after="130" w:line="276"/>
      </w:pPr>
      <w:r>
        <w:rPr>
          <w:rFonts w:ascii="Calibri" w:cs="Calibri" w:eastAsia="Calibri" w:hAnsi="Calibri"/>
          <w:i/>
          <w:iCs/>
          <w:color w:val="334155"/>
          <w:sz w:val="21"/>
          <w:szCs w:val="21"/>
        </w:rPr>
        <w:t xml:space="preserve">“Based on our initial assessment, we recommend evaluating GPT-4o and Claude against your policy corpus in both languages. The evaluation will cover accuracy, bias, hallucination, and cross-lingual consistency, and will result in a deployment recommendation with specific conditions.”</w:t>
      </w:r>
    </w:p>
    <w:p>
      <w:pPr>
        <w:spacing w:after="40"/>
      </w:pPr>
    </w:p>
    <w:p>
      <w:pPr>
        <w:pStyle w:val="Heading3"/>
      </w:pPr>
      <w:r>
        <w:t xml:space="preserve">On LinkedIn</w:t>
      </w:r>
    </w:p>
    <w:p>
      <w:pPr>
        <w:spacing w:after="130" w:line="276"/>
      </w:pPr>
      <w:r>
        <w:rPr>
          <w:rFonts w:ascii="Calibri" w:cs="Calibri" w:eastAsia="Calibri" w:hAnsi="Calibri"/>
          <w:i/>
          <w:iCs/>
          <w:color w:val="334155"/>
          <w:sz w:val="21"/>
          <w:szCs w:val="21"/>
        </w:rPr>
        <w:t xml:space="preserve">“We asked a leading AI model to describe a surgeon in Arabic. It responded with ‘the confidence of a man mastering his profession.’ The same prompt in English produced gendered language too — but without the explicit cultural framing. This is what cross-lingual bias looks like in practice.”</w:t>
      </w:r>
    </w:p>
    <w:p>
      <w:pPr>
        <w:spacing w:after="40"/>
      </w:pPr>
    </w:p>
    <w:p>
      <w:pPr>
        <w:pStyle w:val="Heading3"/>
      </w:pPr>
      <w:r>
        <w:t xml:space="preserve">In an email to a prospect</w:t>
      </w:r>
    </w:p>
    <w:p>
      <w:pPr>
        <w:spacing w:after="130" w:line="276"/>
      </w:pPr>
      <w:r>
        <w:rPr>
          <w:rFonts w:ascii="Calibri" w:cs="Calibri" w:eastAsia="Calibri" w:hAnsi="Calibri"/>
          <w:i/>
          <w:iCs/>
          <w:color w:val="334155"/>
          <w:sz w:val="21"/>
          <w:szCs w:val="21"/>
        </w:rPr>
        <w:t xml:space="preserve">“Hi [Name], I run Dalīl Group — we evaluate AI systems for bias, reliability, and deployment readiness across Arabic and English. I thought this might be relevant given [context]. Would a brief conversation be useful?”</w:t>
      </w:r>
    </w:p>
    <w:p>
      <w:pPr>
        <w:spacing w:after="40"/>
      </w:pPr>
    </w:p>
    <w:p>
      <w:pPr>
        <w:pStyle w:val="Heading3"/>
      </w:pPr>
      <w:r>
        <w:t xml:space="preserve">How we NEVER sound</w:t>
      </w:r>
    </w:p>
    <w:p>
      <w:pPr>
        <w:spacing w:after="130" w:line="276"/>
      </w:pPr>
      <w:r>
        <w:rPr>
          <w:rFonts w:ascii="Calibri" w:cs="Calibri" w:eastAsia="Calibri" w:hAnsi="Calibri"/>
          <w:i/>
          <w:iCs/>
          <w:color w:val="64748B"/>
          <w:sz w:val="21"/>
          <w:szCs w:val="21"/>
        </w:rPr>
        <w:t xml:space="preserve">“Unlock the power of AI with our cutting-edge platform! Our revolutionary solution will transform your business!”</w:t>
      </w:r>
    </w:p>
    <w:p>
      <w:pPr>
        <w:spacing w:after="130" w:line="276"/>
      </w:pPr>
      <w:r>
        <w:rPr>
          <w:rFonts w:ascii="Calibri" w:cs="Calibri" w:eastAsia="Calibri" w:hAnsi="Calibri"/>
          <w:color w:val="64748B"/>
          <w:sz w:val="21"/>
          <w:szCs w:val="21"/>
        </w:rPr>
        <w:t xml:space="preserve">We do not use: revolutionary, cutting-edge, game-changing, unlock, supercharge, leverage, synergy, disrupt, or any AI hype vocabulary. We sound like a trusted expert giving a briefing, not a startup pitching for attention.</w:t>
      </w:r>
    </w:p>
    <w:p>
      <w:r>
        <w:br w:type="page"/>
      </w:r>
    </w:p>
    <w:p>
      <w:pPr>
        <w:pStyle w:val="Heading1"/>
      </w:pPr>
      <w:r>
        <w:t xml:space="preserve">10. Launch Checklist</w:t>
      </w:r>
    </w:p>
    <w:p>
      <w:pPr>
        <w:spacing w:after="130" w:line="276"/>
      </w:pPr>
      <w:r>
        <w:rPr>
          <w:rFonts w:ascii="Calibri" w:cs="Calibri" w:eastAsia="Calibri" w:hAnsi="Calibri"/>
          <w:color w:val="334155"/>
          <w:sz w:val="21"/>
          <w:szCs w:val="21"/>
        </w:rPr>
        <w:t xml:space="preserve">Everything needed to go live with the Dalīl Group brand:</w:t>
      </w:r>
    </w:p>
    <w:p>
      <w:pPr>
        <w:spacing w:after="40"/>
      </w:pPr>
    </w:p>
    <w:p>
      <w:pPr>
        <w:pStyle w:val="Heading3"/>
      </w:pPr>
      <w:r>
        <w:t xml:space="preserve">Immediate (this week)</w:t>
      </w:r>
    </w:p>
    <w:p>
      <w:pPr>
        <w:pStyle w:val="ListParagraph"/>
        <w:numPr>
          <w:ilvl w:val="0"/>
          <w:numId w:val="2"/>
        </w:numPr>
        <w:spacing w:after="55" w:line="264"/>
      </w:pPr>
      <w:r>
        <w:rPr>
          <w:rFonts w:ascii="Calibri" w:cs="Calibri" w:eastAsia="Calibri" w:hAnsi="Calibri"/>
          <w:color w:val="334155"/>
          <w:sz w:val="21"/>
          <w:szCs w:val="21"/>
        </w:rPr>
        <w:t xml:space="preserve">Verify “Dalīl Group Ltd” availability on Companies House</w:t>
      </w:r>
    </w:p>
    <w:p>
      <w:pPr>
        <w:pStyle w:val="ListParagraph"/>
        <w:numPr>
          <w:ilvl w:val="0"/>
          <w:numId w:val="2"/>
        </w:numPr>
        <w:spacing w:after="55" w:line="264"/>
      </w:pPr>
      <w:r>
        <w:rPr>
          <w:rFonts w:ascii="Calibri" w:cs="Calibri" w:eastAsia="Calibri" w:hAnsi="Calibri"/>
          <w:color w:val="334155"/>
          <w:sz w:val="21"/>
          <w:szCs w:val="21"/>
        </w:rPr>
        <w:t xml:space="preserve">Check domain availability: dalilgroup.com, dalil.ai, dalilgroup.co.uk</w:t>
      </w:r>
    </w:p>
    <w:p>
      <w:pPr>
        <w:pStyle w:val="ListParagraph"/>
        <w:numPr>
          <w:ilvl w:val="0"/>
          <w:numId w:val="2"/>
        </w:numPr>
        <w:spacing w:after="55" w:line="264"/>
      </w:pPr>
      <w:r>
        <w:rPr>
          <w:rFonts w:ascii="Calibri" w:cs="Calibri" w:eastAsia="Calibri" w:hAnsi="Calibri"/>
          <w:color w:val="334155"/>
          <w:sz w:val="21"/>
          <w:szCs w:val="21"/>
        </w:rPr>
        <w:t xml:space="preserve">Search UK IPO trademark register for conflicts</w:t>
      </w:r>
    </w:p>
    <w:p>
      <w:pPr>
        <w:pStyle w:val="ListParagraph"/>
        <w:numPr>
          <w:ilvl w:val="0"/>
          <w:numId w:val="2"/>
        </w:numPr>
        <w:spacing w:after="55" w:line="264"/>
      </w:pPr>
      <w:r>
        <w:rPr>
          <w:rFonts w:ascii="Calibri" w:cs="Calibri" w:eastAsia="Calibri" w:hAnsi="Calibri"/>
          <w:color w:val="334155"/>
          <w:sz w:val="21"/>
          <w:szCs w:val="21"/>
        </w:rPr>
        <w:t xml:space="preserve">Register the company (£100 on Companies House)</w:t>
      </w:r>
    </w:p>
    <w:p>
      <w:pPr>
        <w:pStyle w:val="ListParagraph"/>
        <w:numPr>
          <w:ilvl w:val="0"/>
          <w:numId w:val="2"/>
        </w:numPr>
        <w:spacing w:after="55" w:line="264"/>
      </w:pPr>
      <w:r>
        <w:rPr>
          <w:rFonts w:ascii="Calibri" w:cs="Calibri" w:eastAsia="Calibri" w:hAnsi="Calibri"/>
          <w:color w:val="334155"/>
          <w:sz w:val="21"/>
          <w:szCs w:val="21"/>
        </w:rPr>
        <w:t xml:space="preserve">Buy primary domain</w:t>
      </w:r>
    </w:p>
    <w:p>
      <w:pPr>
        <w:pStyle w:val="ListParagraph"/>
        <w:numPr>
          <w:ilvl w:val="0"/>
          <w:numId w:val="2"/>
        </w:numPr>
        <w:spacing w:after="55" w:line="264"/>
      </w:pPr>
      <w:r>
        <w:rPr>
          <w:rFonts w:ascii="Calibri" w:cs="Calibri" w:eastAsia="Calibri" w:hAnsi="Calibri"/>
          <w:color w:val="334155"/>
          <w:sz w:val="21"/>
          <w:szCs w:val="21"/>
        </w:rPr>
        <w:t xml:space="preserve">Set up hello@dalilgroup.com email</w:t>
      </w:r>
    </w:p>
    <w:p>
      <w:pPr>
        <w:pStyle w:val="ListParagraph"/>
        <w:numPr>
          <w:ilvl w:val="0"/>
          <w:numId w:val="2"/>
        </w:numPr>
        <w:spacing w:after="55" w:line="264"/>
      </w:pPr>
      <w:r>
        <w:rPr>
          <w:rFonts w:ascii="Calibri" w:cs="Calibri" w:eastAsia="Calibri" w:hAnsi="Calibri"/>
          <w:color w:val="334155"/>
          <w:sz w:val="21"/>
          <w:szCs w:val="21"/>
        </w:rPr>
        <w:t xml:space="preserve">Open business bank account (Starling or Tide)</w:t>
      </w:r>
    </w:p>
    <w:p>
      <w:pPr>
        <w:spacing w:after="40"/>
      </w:pPr>
    </w:p>
    <w:p>
      <w:pPr>
        <w:pStyle w:val="Heading3"/>
      </w:pPr>
      <w:r>
        <w:t xml:space="preserve">Week 2</w:t>
      </w:r>
    </w:p>
    <w:p>
      <w:pPr>
        <w:pStyle w:val="ListParagraph"/>
        <w:numPr>
          <w:ilvl w:val="0"/>
          <w:numId w:val="2"/>
        </w:numPr>
        <w:spacing w:after="55" w:line="264"/>
      </w:pPr>
      <w:r>
        <w:rPr>
          <w:rFonts w:ascii="Calibri" w:cs="Calibri" w:eastAsia="Calibri" w:hAnsi="Calibri"/>
          <w:color w:val="334155"/>
          <w:sz w:val="21"/>
          <w:szCs w:val="21"/>
        </w:rPr>
        <w:t xml:space="preserve">Deploy website using copy from this document</w:t>
      </w:r>
    </w:p>
    <w:p>
      <w:pPr>
        <w:pStyle w:val="ListParagraph"/>
        <w:numPr>
          <w:ilvl w:val="0"/>
          <w:numId w:val="2"/>
        </w:numPr>
        <w:spacing w:after="55" w:line="264"/>
      </w:pPr>
      <w:r>
        <w:rPr>
          <w:rFonts w:ascii="Calibri" w:cs="Calibri" w:eastAsia="Calibri" w:hAnsi="Calibri"/>
          <w:color w:val="334155"/>
          <w:sz w:val="21"/>
          <w:szCs w:val="21"/>
        </w:rPr>
        <w:t xml:space="preserve">Host both interactive demos on the site</w:t>
      </w:r>
    </w:p>
    <w:p>
      <w:pPr>
        <w:pStyle w:val="ListParagraph"/>
        <w:numPr>
          <w:ilvl w:val="0"/>
          <w:numId w:val="2"/>
        </w:numPr>
        <w:spacing w:after="55" w:line="264"/>
      </w:pPr>
      <w:r>
        <w:rPr>
          <w:rFonts w:ascii="Calibri" w:cs="Calibri" w:eastAsia="Calibri" w:hAnsi="Calibri"/>
          <w:color w:val="334155"/>
          <w:sz w:val="21"/>
          <w:szCs w:val="21"/>
        </w:rPr>
        <w:t xml:space="preserve">Publish whitepaper as gated download</w:t>
      </w:r>
    </w:p>
    <w:p>
      <w:pPr>
        <w:pStyle w:val="ListParagraph"/>
        <w:numPr>
          <w:ilvl w:val="0"/>
          <w:numId w:val="2"/>
        </w:numPr>
        <w:spacing w:after="55" w:line="264"/>
      </w:pPr>
      <w:r>
        <w:rPr>
          <w:rFonts w:ascii="Calibri" w:cs="Calibri" w:eastAsia="Calibri" w:hAnsi="Calibri"/>
          <w:color w:val="334155"/>
          <w:sz w:val="21"/>
          <w:szCs w:val="21"/>
        </w:rPr>
        <w:t xml:space="preserve">Set up LinkedIn company page using profile from Section 4</w:t>
      </w:r>
    </w:p>
    <w:p>
      <w:pPr>
        <w:pStyle w:val="ListParagraph"/>
        <w:numPr>
          <w:ilvl w:val="0"/>
          <w:numId w:val="2"/>
        </w:numPr>
        <w:spacing w:after="55" w:line="264"/>
      </w:pPr>
      <w:r>
        <w:rPr>
          <w:rFonts w:ascii="Calibri" w:cs="Calibri" w:eastAsia="Calibri" w:hAnsi="Calibri"/>
          <w:color w:val="334155"/>
          <w:sz w:val="21"/>
          <w:szCs w:val="21"/>
        </w:rPr>
        <w:t xml:space="preserve">Update personal LinkedIn with founder headline and summary</w:t>
      </w:r>
    </w:p>
    <w:p>
      <w:pPr>
        <w:spacing w:after="40"/>
      </w:pPr>
    </w:p>
    <w:p>
      <w:pPr>
        <w:pStyle w:val="Heading3"/>
      </w:pPr>
      <w:r>
        <w:t xml:space="preserve">Week 3</w:t>
      </w:r>
    </w:p>
    <w:p>
      <w:pPr>
        <w:pStyle w:val="ListParagraph"/>
        <w:numPr>
          <w:ilvl w:val="0"/>
          <w:numId w:val="2"/>
        </w:numPr>
        <w:spacing w:after="55" w:line="264"/>
      </w:pPr>
      <w:r>
        <w:rPr>
          <w:rFonts w:ascii="Calibri" w:cs="Calibri" w:eastAsia="Calibri" w:hAnsi="Calibri"/>
          <w:color w:val="334155"/>
          <w:sz w:val="21"/>
          <w:szCs w:val="21"/>
        </w:rPr>
        <w:t xml:space="preserve">Send first 10 outreach messages to Tier 1 targets</w:t>
      </w:r>
    </w:p>
    <w:p>
      <w:pPr>
        <w:pStyle w:val="ListParagraph"/>
        <w:numPr>
          <w:ilvl w:val="0"/>
          <w:numId w:val="2"/>
        </w:numPr>
        <w:spacing w:after="55" w:line="264"/>
      </w:pPr>
      <w:r>
        <w:rPr>
          <w:rFonts w:ascii="Calibri" w:cs="Calibri" w:eastAsia="Calibri" w:hAnsi="Calibri"/>
          <w:color w:val="334155"/>
          <w:sz w:val="21"/>
          <w:szCs w:val="21"/>
        </w:rPr>
        <w:t xml:space="preserve">Publish first LinkedIn post</w:t>
      </w:r>
    </w:p>
    <w:p>
      <w:pPr>
        <w:pStyle w:val="ListParagraph"/>
        <w:numPr>
          <w:ilvl w:val="0"/>
          <w:numId w:val="2"/>
        </w:numPr>
        <w:spacing w:after="55" w:line="264"/>
      </w:pPr>
      <w:r>
        <w:rPr>
          <w:rFonts w:ascii="Calibri" w:cs="Calibri" w:eastAsia="Calibri" w:hAnsi="Calibri"/>
          <w:color w:val="334155"/>
          <w:sz w:val="21"/>
          <w:szCs w:val="21"/>
        </w:rPr>
        <w:t xml:space="preserve">Begin 2–3x/week posting rhythm</w:t>
      </w:r>
    </w:p>
    <w:p>
      <w:pPr>
        <w:spacing w:after="40"/>
      </w:pPr>
    </w:p>
    <w:p>
      <w:pPr>
        <w:pStyle w:val="Heading3"/>
      </w:pPr>
      <w:r>
        <w:t xml:space="preserve">Week 4+</w:t>
      </w:r>
    </w:p>
    <w:p>
      <w:pPr>
        <w:pStyle w:val="ListParagraph"/>
        <w:numPr>
          <w:ilvl w:val="0"/>
          <w:numId w:val="2"/>
        </w:numPr>
        <w:spacing w:after="55" w:line="264"/>
      </w:pPr>
      <w:r>
        <w:rPr>
          <w:rFonts w:ascii="Calibri" w:cs="Calibri" w:eastAsia="Calibri" w:hAnsi="Calibri"/>
          <w:color w:val="334155"/>
          <w:sz w:val="21"/>
          <w:szCs w:val="21"/>
        </w:rPr>
        <w:t xml:space="preserve">Follow up on outreach</w:t>
      </w:r>
    </w:p>
    <w:p>
      <w:pPr>
        <w:pStyle w:val="ListParagraph"/>
        <w:numPr>
          <w:ilvl w:val="0"/>
          <w:numId w:val="2"/>
        </w:numPr>
        <w:spacing w:after="55" w:line="264"/>
      </w:pPr>
      <w:r>
        <w:rPr>
          <w:rFonts w:ascii="Calibri" w:cs="Calibri" w:eastAsia="Calibri" w:hAnsi="Calibri"/>
          <w:color w:val="334155"/>
          <w:sz w:val="21"/>
          <w:szCs w:val="21"/>
        </w:rPr>
        <w:t xml:space="preserve">Book discovery calls</w:t>
      </w:r>
    </w:p>
    <w:p>
      <w:pPr>
        <w:pStyle w:val="ListParagraph"/>
        <w:numPr>
          <w:ilvl w:val="0"/>
          <w:numId w:val="2"/>
        </w:numPr>
        <w:spacing w:after="55" w:line="264"/>
      </w:pPr>
      <w:r>
        <w:rPr>
          <w:rFonts w:ascii="Calibri" w:cs="Calibri" w:eastAsia="Calibri" w:hAnsi="Calibri"/>
          <w:color w:val="334155"/>
          <w:sz w:val="21"/>
          <w:szCs w:val="21"/>
        </w:rPr>
        <w:t xml:space="preserve">Send proposals</w:t>
      </w:r>
    </w:p>
    <w:p>
      <w:pPr>
        <w:pStyle w:val="ListParagraph"/>
        <w:numPr>
          <w:ilvl w:val="0"/>
          <w:numId w:val="2"/>
        </w:numPr>
        <w:spacing w:after="55" w:line="264"/>
      </w:pPr>
      <w:r>
        <w:rPr>
          <w:rFonts w:ascii="Calibri" w:cs="Calibri" w:eastAsia="Calibri" w:hAnsi="Calibri"/>
          <w:color w:val="334155"/>
          <w:sz w:val="21"/>
          <w:szCs w:val="21"/>
        </w:rPr>
        <w:t xml:space="preserve">Close first engagement</w:t>
      </w:r>
    </w:p>
    <w:p>
      <w:r>
        <w:br w:type="page"/>
      </w:r>
    </w:p>
    <w:p>
      <w:pPr>
        <w:spacing w:after="1400"/>
      </w:pPr>
    </w:p>
    <w:p>
      <w:pPr>
        <w:spacing w:after="10"/>
        <w:jc w:val="center"/>
      </w:pPr>
      <w:r>
        <w:rPr>
          <w:rFonts w:ascii="Calibri" w:cs="Calibri" w:eastAsia="Calibri" w:hAnsi="Calibri"/>
          <w:b/>
          <w:bCs/>
          <w:color w:val="0B1D35"/>
          <w:spacing w:val="280"/>
          <w:sz w:val="44"/>
          <w:szCs w:val="44"/>
        </w:rPr>
        <w:t xml:space="preserve">DALĪL GROUP</w:t>
      </w:r>
    </w:p>
    <w:p>
      <w:pPr>
        <w:spacing w:after="20"/>
        <w:jc w:val="center"/>
      </w:pPr>
      <w:r>
        <w:rPr>
          <w:rFonts w:ascii="Calibri" w:cs="Calibri" w:eastAsia="Calibri" w:hAnsi="Calibri"/>
          <w:b/>
          <w:bCs/>
          <w:color w:val="1A6B8A"/>
          <w:sz w:val="32"/>
          <w:szCs w:val="32"/>
        </w:rPr>
        <w:t xml:space="preserve">دليل</w:t>
      </w:r>
    </w:p>
    <w:p>
      <w:pPr>
        <w:spacing w:after="30"/>
      </w:pPr>
    </w:p>
    <w:p>
      <w:pPr>
        <w:spacing w:after="40"/>
        <w:jc w:val="center"/>
      </w:pPr>
      <w:r>
        <w:rPr>
          <w:rFonts w:ascii="Calibri" w:cs="Calibri" w:eastAsia="Calibri" w:hAnsi="Calibri"/>
          <w:i/>
          <w:iCs/>
          <w:color w:val="1A6B8A"/>
          <w:sz w:val="22"/>
          <w:szCs w:val="22"/>
        </w:rPr>
        <w:t xml:space="preserve">Evidence-Led AI. Guided by Rigour.</w:t>
      </w:r>
    </w:p>
    <w:p>
      <w:pPr>
        <w:spacing w:after="80"/>
      </w:pPr>
    </w:p>
    <w:p>
      <w:pPr>
        <w:spacing w:after="20"/>
        <w:jc w:val="center"/>
      </w:pPr>
      <w:r>
        <w:rPr>
          <w:rFonts w:ascii="Calibri" w:cs="Calibri" w:eastAsia="Calibri" w:hAnsi="Calibri"/>
          <w:color w:val="1A6B8A"/>
          <w:sz w:val="21"/>
          <w:szCs w:val="21"/>
        </w:rPr>
        <w:t xml:space="preserve">hello@dalilgroup.com</w:t>
      </w:r>
    </w:p>
    <w:p>
      <w:pPr>
        <w:spacing w:after="20"/>
        <w:jc w:val="center"/>
      </w:pPr>
      <w:r>
        <w:rPr>
          <w:rFonts w:ascii="Calibri" w:cs="Calibri" w:eastAsia="Calibri" w:hAnsi="Calibri"/>
          <w:color w:val="1A6B8A"/>
          <w:sz w:val="21"/>
          <w:szCs w:val="21"/>
        </w:rPr>
        <w:t xml:space="preserve">www.dalilgroup.com</w:t>
      </w:r>
    </w:p>
    <w:p>
      <w:pPr>
        <w:spacing w:after="160"/>
      </w:pPr>
    </w:p>
    <w:p>
      <w:pPr>
        <w:jc w:val="center"/>
      </w:pPr>
      <w:r>
        <w:rPr>
          <w:rFonts w:ascii="Calibri" w:cs="Calibri" w:eastAsia="Calibri" w:hAnsi="Calibri"/>
          <w:i/>
          <w:iCs/>
          <w:color w:val="64748B"/>
          <w:sz w:val="16"/>
          <w:szCs w:val="16"/>
        </w:rPr>
        <w:t xml:space="preserve">© 2026 Dalīl Group Ltd. All rights reserved.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4"/>
        <w:szCs w:val="14"/>
      </w:rPr>
      <w:t xml:space="preserve">Dalīl Group — Marketing Profile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0B1D35"/>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A6B8A"/>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2026-04-13T22:50:25.644Z</dcterms:created>
  <dcterms:modified xsi:type="dcterms:W3CDTF">2026-04-13T22:50:25.644Z</dcterms:modified>
</cp:coreProperties>
</file>

<file path=docProps/custom.xml><?xml version="1.0" encoding="utf-8"?>
<Properties xmlns="http://schemas.openxmlformats.org/officeDocument/2006/custom-properties" xmlns:vt="http://schemas.openxmlformats.org/officeDocument/2006/docPropsVTypes"/>
</file>