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b/>
          <w:bCs/>
          <w:sz w:val="36"/>
          <w:rtl/>
          <w:bCs/>
          <w:szCs w:val="36"/>
        </w:rPr>
        <w:t xml:space="preserve">الخطة التشغيلية للجنة الجودة والاعتماد الأكاديمي – قسم التصميم</w:t>
      </w:r>
    </w:p>
    <w:p>
      <w:pPr>
        <w:bidi/>
      </w:pPr>
      <w:r>
        <w:rPr>
          <w:rtl/>
        </w:rPr>
        <w:t xml:space="preserve">جامعة الملك سعود · العام الجامعي 1448هـ (2026–2027م)</w:t>
      </w:r>
    </w:p>
    <w:p>
      <w:pPr/>
      <w:r>
        <w:t>إعداد: أ. نوره السعدون، مقرر اللجنة</w:t>
      </w:r>
    </w:p>
    <w:p>
      <w:pPr>
        <w:pStyle w:val="Heading2"/>
        <w:bidi/>
      </w:pPr>
      <w:r>
        <w:rPr>
          <w:b/>
          <w:bCs/>
          <w:sz w:val="30"/>
          <w:rtl/>
          <w:bCs/>
          <w:szCs w:val="30"/>
        </w:rPr>
        <w:t xml:space="preserve">مقدمة</w:t>
      </w:r>
    </w:p>
    <w:p>
      <w:pPr>
        <w:bidi/>
      </w:pPr>
      <w:r>
        <w:rPr>
          <w:rtl/>
        </w:rPr>
        <w:t xml:space="preserve">تحدد هذه الخطة أنشطة لجنة الجودة والاعتماد الأكاديمي بقسم التصميم خلال العام الجامعي 1448هـ، بهدف جاهزية برامج القسم للاعتماد البرامجي من المركز الوطني للتقويم والاعتماد الأكاديمي (NCAAA) واستدامة التحسين المستمر.</w:t>
      </w:r>
    </w:p>
    <w:p>
      <w:pPr>
        <w:pStyle w:val="ListParagraph"/>
        <w:numPr>
          <w:ilvl w:val="0"/>
          <w:numId w:val="2"/>
        </w:numPr>
        <w:bidi/>
      </w:pPr>
      <w:r>
        <w:rPr>
          <w:b/>
          <w:rtl/>
        </w:rPr>
        <w:t xml:space="preserve">النطاق:</w:t>
      </w:r>
      <w:r>
        <w:rPr>
          <w:rtl/>
        </w:rPr>
        <w:t xml:space="preserve"> جميع البرامج الأكاديمية بالقسم (البكالوريوس والدراسات العليا إن وجدت)، وأعضاء هيئة التدريس، والطلاب، والخريجين.</w:t>
      </w:r>
    </w:p>
    <w:p>
      <w:pPr>
        <w:pStyle w:val="ListParagraph"/>
        <w:numPr>
          <w:ilvl w:val="0"/>
          <w:numId w:val="2"/>
        </w:numPr>
        <w:bidi/>
      </w:pPr>
      <w:r>
        <w:rPr>
          <w:b/>
          <w:rtl/>
        </w:rPr>
        <w:t xml:space="preserve">المرجعية:</w:t>
      </w:r>
      <w:r>
        <w:rPr>
          <w:rtl/>
        </w:rPr>
        <w:t xml:space="preserve"> معايير الاعتماد البرامجي للمركز الوطني (الإصدار المحدّث)، والخطة الاستراتيجية لجامعة الملك سعود، وخطة الكلية، ومتطلبات عمادة الجودة.</w:t>
      </w:r>
    </w:p>
    <w:p>
      <w:pPr>
        <w:pStyle w:val="ListParagraph"/>
        <w:numPr>
          <w:ilvl w:val="0"/>
          <w:numId w:val="2"/>
        </w:numPr>
        <w:bidi/>
      </w:pPr>
      <w:r>
        <w:rPr>
          <w:b/>
          <w:rtl/>
        </w:rPr>
        <w:t xml:space="preserve">المدة:</w:t>
      </w:r>
      <w:r>
        <w:rPr>
          <w:rtl/>
        </w:rPr>
        <w:t xml:space="preserve"> الفصل الدراسي الأول والثاني والصيفي من العام الجامعي 1448هـ.</w:t>
      </w:r>
    </w:p>
    <w:p>
      <w:pPr>
        <w:bidi/>
      </w:pPr>
      <w:r>
        <w:rPr>
          <w:b/>
          <w:rtl/>
        </w:rPr>
        <w:t xml:space="preserve">ما يميّز هذه الخطة لقسم التصميم:</w:t>
      </w:r>
      <w:r>
        <w:rPr>
          <w:rtl/>
        </w:rPr>
        <w:t xml:space="preserve"> أغلب التعلم في القسم يتم في الاستوديو ويُقيّم بالمشاريع والتحكيم (Jury)، لذلك تعتمد الخطة في قياس النواتج على المعايير الوصفية الموحدة، وملف أعمال الطالب (Portfolio)، والتحكيم الخارجي لمشاريع التخرج، وآراء جهات التصميم في سوق العمل، بدل الاكتفاء بالاختبارات.</w:t>
      </w:r>
    </w:p>
    <w:p>
      <w:pPr>
        <w:pStyle w:val="Heading2"/>
        <w:bidi/>
      </w:pPr>
      <w:r>
        <w:rPr>
          <w:b/>
          <w:bCs/>
          <w:sz w:val="30"/>
          <w:rtl/>
          <w:bCs/>
          <w:szCs w:val="30"/>
        </w:rPr>
        <w:t xml:space="preserve">المهام والأنشطة</w:t>
      </w:r>
    </w:p>
    <w:p>
      <w:pPr>
        <w:bidi/>
      </w:pPr>
      <w:r>
        <w:rPr>
          <w:rtl/>
        </w:rPr>
        <w:t xml:space="preserve">هذا الجدول هو الخطة التشغيلية: المهام الـ 14 كما وردت في مسودة اللجان الأكاديمية، وتحت كل مهمة الأنشطة التي تنفذها اللجنة في قسم التصميم، مع المسؤول والتوقيت ومؤشر الإنجاز.</w:t>
      </w:r>
    </w:p>
    <w:tbl>
      <w:tblPr>
        <w:bidiVisual/>
        <w:tblStyle w:val="TableGrid"/>
        <w:tblW w:w="0" w:type="auto"/>
        <w:tblLayout w:type="fixed"/>
        <w:tblLook w:val="04A0" w:firstRow="1" w:lastRow="0" w:firstColumn="0" w:lastColumn="0" w:noHBand="0" w:noVBand="1"/>
      </w:tblPr>
      <w:tblGrid>
        <w:gridCol w:w="500"/>
        <w:gridCol w:w="2700"/>
        <w:gridCol w:w="6438"/>
        <w:gridCol w:w="1900"/>
        <w:gridCol w:w="1700"/>
        <w:gridCol w:w="1600"/>
      </w:tblGrid>
      <w:tr>
        <w:trPr>
          <w:tblHeader/>
        </w:trPr>
        <w:tc>
          <w:tcPr>
            <w:tcW w:w="500" w:type="dxa"/>
            <w:shd w:val="clear" w:color="auto" w:fill="F2F2F2"/>
          </w:tcPr>
          <w:p>
            <w:pPr>
              <w:bidi/>
            </w:pPr>
            <w:r>
              <w:rPr>
                <w:rtl/>
              </w:rPr>
              <w:t xml:space="preserve">م</w:t>
            </w:r>
          </w:p>
        </w:tc>
        <w:tc>
          <w:tcPr>
            <w:tcW w:w="2700" w:type="dxa"/>
            <w:shd w:val="clear" w:color="auto" w:fill="F2F2F2"/>
          </w:tcPr>
          <w:p>
            <w:pPr>
              <w:bidi/>
            </w:pPr>
            <w:r>
              <w:rPr>
                <w:rtl/>
              </w:rPr>
              <w:t xml:space="preserve">المهمة</w:t>
            </w:r>
          </w:p>
        </w:tc>
        <w:tc>
          <w:tcPr>
            <w:tcW w:w="6438" w:type="dxa"/>
            <w:shd w:val="clear" w:color="auto" w:fill="F2F2F2"/>
          </w:tcPr>
          <w:p>
            <w:pPr>
              <w:bidi/>
            </w:pPr>
            <w:r>
              <w:rPr>
                <w:rtl/>
              </w:rPr>
              <w:t xml:space="preserve">الأنشطة</w:t>
            </w:r>
          </w:p>
        </w:tc>
        <w:tc>
          <w:tcPr>
            <w:tcW w:w="1900" w:type="dxa"/>
            <w:shd w:val="clear" w:color="auto" w:fill="F2F2F2"/>
          </w:tcPr>
          <w:p>
            <w:pPr>
              <w:bidi/>
            </w:pPr>
            <w:r>
              <w:rPr>
                <w:rtl/>
              </w:rPr>
              <w:t xml:space="preserve">المسؤول</w:t>
            </w:r>
          </w:p>
        </w:tc>
        <w:tc>
          <w:tcPr>
            <w:tcW w:w="1700" w:type="dxa"/>
            <w:shd w:val="clear" w:color="auto" w:fill="F2F2F2"/>
          </w:tcPr>
          <w:p>
            <w:pPr>
              <w:bidi/>
            </w:pPr>
            <w:r>
              <w:rPr>
                <w:rtl/>
              </w:rPr>
              <w:t xml:space="preserve">التوقيت</w:t>
            </w:r>
          </w:p>
        </w:tc>
        <w:tc>
          <w:tcPr>
            <w:tcW w:w="1600" w:type="dxa"/>
            <w:shd w:val="clear" w:color="auto" w:fill="F2F2F2"/>
          </w:tcPr>
          <w:p>
            <w:pPr>
              <w:bidi/>
            </w:pPr>
            <w:r>
              <w:rPr>
                <w:rtl/>
              </w:rPr>
              <w:t xml:space="preserve">مؤشر الإنجاز</w:t>
            </w:r>
          </w:p>
        </w:tc>
      </w:tr>
      <w:tr>
        <w:tc>
          <w:tcPr>
            <w:tcW w:w="500" w:type="dxa"/>
          </w:tcPr>
          <w:p>
            <w:pPr/>
            <w:r>
              <w:t xml:space="preserve">1</w:t>
            </w:r>
          </w:p>
        </w:tc>
        <w:tc>
          <w:tcPr>
            <w:tcW w:w="2700" w:type="dxa"/>
          </w:tcPr>
          <w:p>
            <w:pPr>
              <w:bidi/>
            </w:pPr>
            <w:r>
              <w:rPr>
                <w:rtl/>
              </w:rPr>
              <w:t xml:space="preserve">متابعة تحديث جودة وتواصيف البرنامج والمقررات</w:t>
            </w:r>
          </w:p>
        </w:tc>
        <w:tc>
          <w:tcPr>
            <w:tcW w:w="6438" w:type="dxa"/>
          </w:tcPr>
          <w:p>
            <w:pPr>
              <w:bidi/>
            </w:pPr>
            <w:r>
              <w:rPr>
                <w:rtl/>
              </w:rPr>
              <w:t xml:space="preserve">(1) تحديد منسق لكل مقرر وتوزيع ملف المنسقين (منجز). (2) إتاحة رابط محتوى المقررات (منجز). (3) تعميم نماذج التوصيف المحدثة من المركز الوطني. (4) استلام توصيفات المقررات ومراجعتها بقائمة تدقيق. (5) مراجعة توصيف البرنامج والخطة الدراسية.</w:t>
            </w:r>
          </w:p>
        </w:tc>
        <w:tc>
          <w:tcPr>
            <w:tcW w:w="1900" w:type="dxa"/>
          </w:tcPr>
          <w:p>
            <w:pPr>
              <w:bidi/>
            </w:pPr>
            <w:r>
              <w:rPr>
                <w:rtl/>
              </w:rPr>
              <w:t xml:space="preserve">أ. لينا ولي</w:t>
            </w:r>
          </w:p>
        </w:tc>
        <w:tc>
          <w:tcPr>
            <w:tcW w:w="1700" w:type="dxa"/>
          </w:tcPr>
          <w:p>
            <w:pPr>
              <w:bidi/>
            </w:pPr>
            <w:r>
              <w:rPr>
                <w:rtl/>
              </w:rPr>
              <w:t xml:space="preserve">الأسبوع 1–3 من كل فصل</w:t>
            </w:r>
          </w:p>
        </w:tc>
        <w:tc>
          <w:tcPr>
            <w:tcW w:w="1600" w:type="dxa"/>
          </w:tcPr>
          <w:p>
            <w:pPr>
              <w:bidi/>
            </w:pPr>
            <w:r>
              <w:rPr>
                <w:rtl/>
              </w:rPr>
              <w:t xml:space="preserve">100% من المقررات بتوصيف محدّث</w:t>
            </w:r>
          </w:p>
        </w:tc>
      </w:tr>
      <w:tr>
        <w:tc>
          <w:tcPr>
            <w:tcW w:w="500" w:type="dxa"/>
          </w:tcPr>
          <w:p>
            <w:pPr/>
            <w:r>
              <w:t xml:space="preserve">2</w:t>
            </w:r>
          </w:p>
        </w:tc>
        <w:tc>
          <w:tcPr>
            <w:tcW w:w="2700" w:type="dxa"/>
          </w:tcPr>
          <w:p>
            <w:pPr>
              <w:bidi/>
            </w:pPr>
            <w:r>
              <w:rPr>
                <w:rtl/>
              </w:rPr>
              <w:t xml:space="preserve">إعداد خطة قياس نواتج التعلم للبرنامج</w:t>
            </w:r>
          </w:p>
        </w:tc>
        <w:tc>
          <w:tcPr>
            <w:tcW w:w="6438" w:type="dxa"/>
          </w:tcPr>
          <w:p>
            <w:pPr>
              <w:bidi/>
            </w:pPr>
            <w:r>
              <w:rPr>
                <w:rtl/>
              </w:rPr>
              <w:t xml:space="preserve">(1) تحديث مصفوفة ربط النواتج بالمقررات. (2) تحديد المقررات التي تُقاس فيها كل ناتج. (3) إعداد معايير وصفية (Rubrics) موحدة لمشاريع الاستوديو: الفكرة، البحث، الحل التصميمي، الإخراج، العرض. (4) تحديد مستوى الأداء المستهدف. (5) اعتماد الخطة من مجلس القسم.</w:t>
            </w:r>
          </w:p>
        </w:tc>
        <w:tc>
          <w:tcPr>
            <w:tcW w:w="1900" w:type="dxa"/>
          </w:tcPr>
          <w:p>
            <w:pPr>
              <w:bidi/>
            </w:pPr>
            <w:r>
              <w:rPr>
                <w:rtl/>
              </w:rPr>
              <w:t xml:space="preserve">د. لمى الحركان</w:t>
            </w:r>
          </w:p>
        </w:tc>
        <w:tc>
          <w:tcPr>
            <w:tcW w:w="1700" w:type="dxa"/>
          </w:tcPr>
          <w:p>
            <w:pPr>
              <w:bidi/>
            </w:pPr>
            <w:r>
              <w:rPr>
                <w:rtl/>
              </w:rPr>
              <w:t xml:space="preserve">الفصل الأول (الأسبوع 2–5)</w:t>
            </w:r>
          </w:p>
        </w:tc>
        <w:tc>
          <w:tcPr>
            <w:tcW w:w="1600" w:type="dxa"/>
          </w:tcPr>
          <w:p>
            <w:pPr>
              <w:bidi/>
            </w:pPr>
            <w:r>
              <w:rPr>
                <w:rtl/>
              </w:rPr>
              <w:t xml:space="preserve">خطة قياس معتمدة</w:t>
            </w:r>
          </w:p>
        </w:tc>
      </w:tr>
      <w:tr>
        <w:tc>
          <w:tcPr>
            <w:tcW w:w="500" w:type="dxa"/>
          </w:tcPr>
          <w:p>
            <w:pPr/>
            <w:r>
              <w:t xml:space="preserve">3</w:t>
            </w:r>
          </w:p>
        </w:tc>
        <w:tc>
          <w:tcPr>
            <w:tcW w:w="2700" w:type="dxa"/>
          </w:tcPr>
          <w:p>
            <w:pPr>
              <w:bidi/>
            </w:pPr>
            <w:r>
              <w:rPr>
                <w:rtl/>
              </w:rPr>
              <w:t xml:space="preserve">قياس نواتج التعلم للبرنامج</w:t>
            </w:r>
          </w:p>
        </w:tc>
        <w:tc>
          <w:tcPr>
            <w:tcW w:w="6438" w:type="dxa"/>
          </w:tcPr>
          <w:p>
            <w:pPr>
              <w:bidi/>
            </w:pPr>
            <w:r>
              <w:rPr>
                <w:rtl/>
              </w:rPr>
              <w:t xml:space="preserve">(1) ورشة لأعضاء هيئة التدريس عن القياس في مقررات الاستوديو. (2) تحكيم منتصف ونهاية الفصل (Jury) بلجنة من عضوين فأكثر. (3) جمع نتائج القياس المباشر من المقررات. (4) تقييم عينة من ملفات أعمال الطلاب (Portfolio) في المستوى الأخير. (5) القياس غير المباشر باستبانات الطلاب والخريجين. (6) تحليل النتائج واقتراح التحسينات.</w:t>
            </w:r>
          </w:p>
        </w:tc>
        <w:tc>
          <w:tcPr>
            <w:tcW w:w="1900" w:type="dxa"/>
          </w:tcPr>
          <w:p>
            <w:pPr>
              <w:bidi/>
            </w:pPr>
            <w:r>
              <w:rPr>
                <w:rtl/>
              </w:rPr>
              <w:t xml:space="preserve">د. لمى الحركان + منسقو المقررات</w:t>
            </w:r>
          </w:p>
        </w:tc>
        <w:tc>
          <w:tcPr>
            <w:tcW w:w="1700" w:type="dxa"/>
          </w:tcPr>
          <w:p>
            <w:pPr>
              <w:bidi/>
            </w:pPr>
            <w:r>
              <w:rPr>
                <w:rtl/>
              </w:rPr>
              <w:t xml:space="preserve">منتصف ونهاية كل فصل</w:t>
            </w:r>
          </w:p>
        </w:tc>
        <w:tc>
          <w:tcPr>
            <w:tcW w:w="1600" w:type="dxa"/>
          </w:tcPr>
          <w:p>
            <w:pPr>
              <w:bidi/>
            </w:pPr>
            <w:r>
              <w:rPr>
                <w:rtl/>
              </w:rPr>
              <w:t xml:space="preserve">تقرير قياس النواتج وخطة تحسين</w:t>
            </w:r>
          </w:p>
        </w:tc>
      </w:tr>
      <w:tr>
        <w:tc>
          <w:tcPr>
            <w:tcW w:w="500" w:type="dxa"/>
          </w:tcPr>
          <w:p>
            <w:pPr/>
            <w:r>
              <w:t xml:space="preserve">4</w:t>
            </w:r>
          </w:p>
        </w:tc>
        <w:tc>
          <w:tcPr>
            <w:tcW w:w="2700" w:type="dxa"/>
          </w:tcPr>
          <w:p>
            <w:pPr>
              <w:bidi/>
            </w:pPr>
            <w:r>
              <w:rPr>
                <w:rtl/>
              </w:rPr>
              <w:t xml:space="preserve">جمع تقارير المقررات ومراجعتها</w:t>
            </w:r>
          </w:p>
        </w:tc>
        <w:tc>
          <w:tcPr>
            <w:tcW w:w="6438" w:type="dxa"/>
          </w:tcPr>
          <w:p>
            <w:pPr>
              <w:bidi/>
            </w:pPr>
            <w:r>
              <w:rPr>
                <w:rtl/>
              </w:rPr>
              <w:t xml:space="preserve">(1) تذكير المنسقين بموعد التسليم. (2) استلام التقارير ومراجعتها وإعادة الناقص. (3) أرشفة نماذج من أعمال الطلاب (ممتاز / متوسط / ضعيف) لكل مقرر. (4) تلخيص الملاحظات المشتركة ورفعها للجنة.</w:t>
            </w:r>
          </w:p>
        </w:tc>
        <w:tc>
          <w:tcPr>
            <w:tcW w:w="1900" w:type="dxa"/>
          </w:tcPr>
          <w:p>
            <w:pPr>
              <w:bidi/>
            </w:pPr>
            <w:r>
              <w:rPr>
                <w:rtl/>
              </w:rPr>
              <w:t xml:space="preserve">أ. لينا ولي</w:t>
            </w:r>
          </w:p>
        </w:tc>
        <w:tc>
          <w:tcPr>
            <w:tcW w:w="1700" w:type="dxa"/>
          </w:tcPr>
          <w:p>
            <w:pPr>
              <w:bidi/>
            </w:pPr>
            <w:r>
              <w:rPr>
                <w:rtl/>
              </w:rPr>
              <w:t xml:space="preserve">خلال أسبوعين من نهاية كل فصل</w:t>
            </w:r>
          </w:p>
        </w:tc>
        <w:tc>
          <w:tcPr>
            <w:tcW w:w="1600" w:type="dxa"/>
          </w:tcPr>
          <w:p>
            <w:pPr>
              <w:bidi/>
            </w:pPr>
            <w:r>
              <w:rPr>
                <w:rtl/>
              </w:rPr>
              <w:t xml:space="preserve">100% من التقارير مستلمة ومراجعة</w:t>
            </w:r>
          </w:p>
        </w:tc>
      </w:tr>
      <w:tr>
        <w:tc>
          <w:tcPr>
            <w:tcW w:w="500" w:type="dxa"/>
          </w:tcPr>
          <w:p>
            <w:pPr/>
            <w:r>
              <w:t xml:space="preserve">5</w:t>
            </w:r>
          </w:p>
        </w:tc>
        <w:tc>
          <w:tcPr>
            <w:tcW w:w="2700" w:type="dxa"/>
          </w:tcPr>
          <w:p>
            <w:pPr>
              <w:bidi/>
            </w:pPr>
            <w:r>
              <w:rPr>
                <w:rtl/>
              </w:rPr>
              <w:t xml:space="preserve">إعداد التقرير السنوي للبرنامج</w:t>
            </w:r>
          </w:p>
        </w:tc>
        <w:tc>
          <w:tcPr>
            <w:tcW w:w="6438" w:type="dxa"/>
          </w:tcPr>
          <w:p>
            <w:pPr>
              <w:bidi/>
            </w:pPr>
            <w:r>
              <w:rPr>
                <w:rtl/>
              </w:rPr>
              <w:t xml:space="preserve">(1) تجميع تقارير المقررات والمؤشرات ونتائج القياس. (2) كتابة التقرير بنموذج المركز الوطني. (3) مناقشته في اللجنة واعتماده من مجلس القسم. (4) رفعه لوكالة الكلية للتطوير والجودة.</w:t>
            </w:r>
          </w:p>
        </w:tc>
        <w:tc>
          <w:tcPr>
            <w:tcW w:w="1900" w:type="dxa"/>
          </w:tcPr>
          <w:p>
            <w:pPr>
              <w:bidi/>
            </w:pPr>
            <w:r>
              <w:rPr>
                <w:rtl/>
              </w:rPr>
              <w:t xml:space="preserve">رئيس اللجنة + جميع الأعضاء</w:t>
            </w:r>
          </w:p>
        </w:tc>
        <w:tc>
          <w:tcPr>
            <w:tcW w:w="1700" w:type="dxa"/>
          </w:tcPr>
          <w:p>
            <w:pPr>
              <w:bidi/>
            </w:pPr>
            <w:r>
              <w:rPr>
                <w:rtl/>
              </w:rPr>
              <w:t xml:space="preserve">نهاية الفصل الثاني / الصيفي</w:t>
            </w:r>
          </w:p>
        </w:tc>
        <w:tc>
          <w:tcPr>
            <w:tcW w:w="1600" w:type="dxa"/>
          </w:tcPr>
          <w:p>
            <w:pPr>
              <w:bidi/>
            </w:pPr>
            <w:r>
              <w:rPr>
                <w:rtl/>
              </w:rPr>
              <w:t xml:space="preserve">تقرير سنوي معتمد ومرفوع</w:t>
            </w:r>
          </w:p>
        </w:tc>
      </w:tr>
      <w:tr>
        <w:tc>
          <w:tcPr>
            <w:tcW w:w="500" w:type="dxa"/>
          </w:tcPr>
          <w:p>
            <w:pPr/>
            <w:r>
              <w:t xml:space="preserve">6</w:t>
            </w:r>
          </w:p>
        </w:tc>
        <w:tc>
          <w:tcPr>
            <w:tcW w:w="2700" w:type="dxa"/>
          </w:tcPr>
          <w:p>
            <w:pPr>
              <w:bidi/>
            </w:pPr>
            <w:r>
              <w:rPr>
                <w:rtl/>
              </w:rPr>
              <w:t xml:space="preserve">التواصل مع اللجان الأخرى للحصول على مؤشرات الأداء</w:t>
            </w:r>
          </w:p>
        </w:tc>
        <w:tc>
          <w:tcPr>
            <w:tcW w:w="6438" w:type="dxa"/>
          </w:tcPr>
          <w:p>
            <w:pPr>
              <w:bidi/>
            </w:pPr>
            <w:r>
              <w:rPr>
                <w:rtl/>
              </w:rPr>
              <w:t xml:space="preserve">(1) حصر المؤشرات المطلوبة من كل لجنة. (2) مخاطبة اللجان بنموذج موحد وموعد تسليم. (3) متابعة الاستلام والتحقق من اكتمال البيانات.</w:t>
            </w:r>
          </w:p>
        </w:tc>
        <w:tc>
          <w:tcPr>
            <w:tcW w:w="1900" w:type="dxa"/>
          </w:tcPr>
          <w:p>
            <w:pPr>
              <w:bidi/>
            </w:pPr>
            <w:r>
              <w:rPr>
                <w:rtl/>
              </w:rPr>
              <w:t xml:space="preserve">أ. وفاء الخضير</w:t>
            </w:r>
          </w:p>
        </w:tc>
        <w:tc>
          <w:tcPr>
            <w:tcW w:w="1700" w:type="dxa"/>
          </w:tcPr>
          <w:p>
            <w:pPr>
              <w:bidi/>
            </w:pPr>
            <w:r>
              <w:rPr>
                <w:rtl/>
              </w:rPr>
              <w:t xml:space="preserve">بداية الفصل الأول ونهاية كل فصل</w:t>
            </w:r>
          </w:p>
        </w:tc>
        <w:tc>
          <w:tcPr>
            <w:tcW w:w="1600" w:type="dxa"/>
          </w:tcPr>
          <w:p>
            <w:pPr>
              <w:bidi/>
            </w:pPr>
            <w:r>
              <w:rPr>
                <w:rtl/>
              </w:rPr>
              <w:t xml:space="preserve">استلام بيانات جميع اللجان في الموعد</w:t>
            </w:r>
          </w:p>
        </w:tc>
      </w:tr>
      <w:tr>
        <w:tc>
          <w:tcPr>
            <w:tcW w:w="500" w:type="dxa"/>
          </w:tcPr>
          <w:p>
            <w:pPr/>
            <w:r>
              <w:t xml:space="preserve">7</w:t>
            </w:r>
          </w:p>
        </w:tc>
        <w:tc>
          <w:tcPr>
            <w:tcW w:w="2700" w:type="dxa"/>
          </w:tcPr>
          <w:p>
            <w:pPr>
              <w:bidi/>
            </w:pPr>
            <w:r>
              <w:rPr>
                <w:rtl/>
              </w:rPr>
              <w:t xml:space="preserve">إعداد تقرير مؤشرات الأداء للبرنامج</w:t>
            </w:r>
          </w:p>
        </w:tc>
        <w:tc>
          <w:tcPr>
            <w:tcW w:w="6438" w:type="dxa"/>
          </w:tcPr>
          <w:p>
            <w:pPr>
              <w:bidi/>
            </w:pPr>
            <w:r>
              <w:rPr>
                <w:rtl/>
              </w:rPr>
              <w:t xml:space="preserve">(1) احتساب المؤشرات ومقارنتها بالمستهدف وبالعام السابق. (2) المقارنة المرجعية مع برامج تصميم مماثلة محليًا ودوليًا. (3) استبانة زوار معرض التخرج من جهات التصميم والتوظيف. (4) اجتماع اللجنة الاستشارية المهنية. (5) تحليل نقاط القوة والتحسين.</w:t>
            </w:r>
          </w:p>
        </w:tc>
        <w:tc>
          <w:tcPr>
            <w:tcW w:w="1900" w:type="dxa"/>
          </w:tcPr>
          <w:p>
            <w:pPr>
              <w:bidi/>
            </w:pPr>
            <w:r>
              <w:rPr>
                <w:rtl/>
              </w:rPr>
              <w:t xml:space="preserve">أ. وفاء الخضير</w:t>
            </w:r>
          </w:p>
        </w:tc>
        <w:tc>
          <w:tcPr>
            <w:tcW w:w="1700" w:type="dxa"/>
          </w:tcPr>
          <w:p>
            <w:pPr>
              <w:bidi/>
            </w:pPr>
            <w:r>
              <w:rPr>
                <w:rtl/>
              </w:rPr>
              <w:t xml:space="preserve">الفصل الثاني</w:t>
            </w:r>
          </w:p>
        </w:tc>
        <w:tc>
          <w:tcPr>
            <w:tcW w:w="1600" w:type="dxa"/>
          </w:tcPr>
          <w:p>
            <w:pPr>
              <w:bidi/>
            </w:pPr>
            <w:r>
              <w:rPr>
                <w:rtl/>
              </w:rPr>
              <w:t xml:space="preserve">تقرير المؤشرات والمقارنة المرجعية</w:t>
            </w:r>
          </w:p>
        </w:tc>
      </w:tr>
      <w:tr>
        <w:tc>
          <w:tcPr>
            <w:tcW w:w="500" w:type="dxa"/>
          </w:tcPr>
          <w:p>
            <w:pPr/>
            <w:r>
              <w:t xml:space="preserve">8</w:t>
            </w:r>
          </w:p>
        </w:tc>
        <w:tc>
          <w:tcPr>
            <w:tcW w:w="2700" w:type="dxa"/>
          </w:tcPr>
          <w:p>
            <w:pPr>
              <w:bidi/>
            </w:pPr>
            <w:r>
              <w:rPr>
                <w:rtl/>
              </w:rPr>
              <w:t xml:space="preserve">جمع وتحليل بيانات معايير التصنيفات العالمية وضمان جاهزيتها ودقتها</w:t>
            </w:r>
          </w:p>
        </w:tc>
        <w:tc>
          <w:tcPr>
            <w:tcW w:w="6438" w:type="dxa"/>
          </w:tcPr>
          <w:p>
            <w:pPr>
              <w:bidi/>
            </w:pPr>
            <w:r>
              <w:rPr>
                <w:rtl/>
              </w:rPr>
              <w:t xml:space="preserve">(1) حصر متطلبات التصنيفات المطلوبة من الوكالة. (2) جمع بيانات أعضاء هيئة التدريس: النشر، المعارض، الجوائز، المشاريع المهنية. (3) حصر مشاركات الطلاب في المسابقات والمعارض. (4) التحقق من دقة البيانات وتسليمها.</w:t>
            </w:r>
          </w:p>
        </w:tc>
        <w:tc>
          <w:tcPr>
            <w:tcW w:w="1900" w:type="dxa"/>
          </w:tcPr>
          <w:p>
            <w:pPr>
              <w:bidi/>
            </w:pPr>
            <w:r>
              <w:rPr>
                <w:rtl/>
              </w:rPr>
              <w:t xml:space="preserve">أ. وفاء الخضير</w:t>
            </w:r>
          </w:p>
        </w:tc>
        <w:tc>
          <w:tcPr>
            <w:tcW w:w="1700" w:type="dxa"/>
          </w:tcPr>
          <w:p>
            <w:pPr>
              <w:bidi/>
            </w:pPr>
            <w:r>
              <w:rPr>
                <w:rtl/>
              </w:rPr>
              <w:t xml:space="preserve">حسب مواعيد الوكالة</w:t>
            </w:r>
          </w:p>
        </w:tc>
        <w:tc>
          <w:tcPr>
            <w:tcW w:w="1600" w:type="dxa"/>
          </w:tcPr>
          <w:p>
            <w:pPr>
              <w:bidi/>
            </w:pPr>
            <w:r>
              <w:rPr>
                <w:rtl/>
              </w:rPr>
              <w:t xml:space="preserve">ملف بيانات مكتمل ومدقق</w:t>
            </w:r>
          </w:p>
        </w:tc>
      </w:tr>
      <w:tr>
        <w:tc>
          <w:tcPr>
            <w:tcW w:w="500" w:type="dxa"/>
          </w:tcPr>
          <w:p>
            <w:pPr/>
            <w:r>
              <w:t xml:space="preserve">9</w:t>
            </w:r>
          </w:p>
        </w:tc>
        <w:tc>
          <w:tcPr>
            <w:tcW w:w="2700" w:type="dxa"/>
          </w:tcPr>
          <w:p>
            <w:pPr>
              <w:bidi/>
            </w:pPr>
            <w:r>
              <w:rPr>
                <w:rtl/>
              </w:rPr>
              <w:t xml:space="preserve">ضمان الامتثال لمعايير الاعتماد على المستوى الوطني أو الدولي</w:t>
            </w:r>
          </w:p>
        </w:tc>
        <w:tc>
          <w:tcPr>
            <w:tcW w:w="6438" w:type="dxa"/>
          </w:tcPr>
          <w:p>
            <w:pPr>
              <w:bidi/>
            </w:pPr>
            <w:r>
              <w:rPr>
                <w:rtl/>
              </w:rPr>
              <w:t xml:space="preserve">(1) مراجعة ذاتية للمعايير بقائمة تحقق. (2) تحديد الفجوات وتوزيع مهام سدها. (3) تحكيم خارجي لمشاريع التخرج من محكمين أكاديميين ومهنيين. (4) متابعة إغلاق الفجوات فصليًا.</w:t>
            </w:r>
          </w:p>
        </w:tc>
        <w:tc>
          <w:tcPr>
            <w:tcW w:w="1900" w:type="dxa"/>
          </w:tcPr>
          <w:p>
            <w:pPr>
              <w:bidi/>
            </w:pPr>
            <w:r>
              <w:rPr>
                <w:rtl/>
              </w:rPr>
              <w:t xml:space="preserve">أ. نوره السعدون</w:t>
            </w:r>
          </w:p>
        </w:tc>
        <w:tc>
          <w:tcPr>
            <w:tcW w:w="1700" w:type="dxa"/>
          </w:tcPr>
          <w:p>
            <w:pPr>
              <w:bidi/>
            </w:pPr>
            <w:r>
              <w:rPr>
                <w:rtl/>
              </w:rPr>
              <w:t xml:space="preserve">الفصل الأول، ومتابعة فصلية</w:t>
            </w:r>
          </w:p>
        </w:tc>
        <w:tc>
          <w:tcPr>
            <w:tcW w:w="1600" w:type="dxa"/>
          </w:tcPr>
          <w:p>
            <w:pPr>
              <w:bidi/>
            </w:pPr>
            <w:r>
              <w:rPr>
                <w:rtl/>
              </w:rPr>
              <w:t xml:space="preserve">نسبة الفجوات المغلقة</w:t>
            </w:r>
          </w:p>
        </w:tc>
      </w:tr>
      <w:tr>
        <w:tc>
          <w:tcPr>
            <w:tcW w:w="500" w:type="dxa"/>
          </w:tcPr>
          <w:p>
            <w:pPr/>
            <w:r>
              <w:t xml:space="preserve">10</w:t>
            </w:r>
          </w:p>
        </w:tc>
        <w:tc>
          <w:tcPr>
            <w:tcW w:w="2700" w:type="dxa"/>
          </w:tcPr>
          <w:p>
            <w:pPr>
              <w:bidi/>
            </w:pPr>
            <w:r>
              <w:rPr>
                <w:rtl/>
              </w:rPr>
              <w:t xml:space="preserve">الإشراف على إعداد الدراسة الذاتية للبرنامج</w:t>
            </w:r>
          </w:p>
        </w:tc>
        <w:tc>
          <w:tcPr>
            <w:tcW w:w="6438" w:type="dxa"/>
          </w:tcPr>
          <w:p>
            <w:pPr>
              <w:bidi/>
            </w:pPr>
            <w:r>
              <w:rPr>
                <w:rtl/>
              </w:rPr>
              <w:t xml:space="preserve">(1) تشكيل فرق المعايير بمشاركة اللجان ذات الصلة. (2) جدول زمني للكتابة. (3) إنشاء مستودع أدلة إلكتروني يشمل نماذج أعمال الطلاب. (4) مراجعة المسودات وتوحيدها.</w:t>
            </w:r>
          </w:p>
        </w:tc>
        <w:tc>
          <w:tcPr>
            <w:tcW w:w="1900" w:type="dxa"/>
          </w:tcPr>
          <w:p>
            <w:pPr>
              <w:bidi/>
            </w:pPr>
            <w:r>
              <w:rPr>
                <w:rtl/>
              </w:rPr>
              <w:t xml:space="preserve">رئيس اللجنة بمشاركة د. لمى الحركان</w:t>
            </w:r>
          </w:p>
        </w:tc>
        <w:tc>
          <w:tcPr>
            <w:tcW w:w="1700" w:type="dxa"/>
          </w:tcPr>
          <w:p>
            <w:pPr>
              <w:bidi/>
            </w:pPr>
            <w:r>
              <w:rPr>
                <w:rtl/>
              </w:rPr>
              <w:t xml:space="preserve">طوال العام</w:t>
            </w:r>
          </w:p>
        </w:tc>
        <w:tc>
          <w:tcPr>
            <w:tcW w:w="1600" w:type="dxa"/>
          </w:tcPr>
          <w:p>
            <w:pPr>
              <w:bidi/>
            </w:pPr>
            <w:r>
              <w:rPr>
                <w:rtl/>
              </w:rPr>
              <w:t xml:space="preserve">مسودة دراسة ذاتية + أدلة لكل معيار</w:t>
            </w:r>
          </w:p>
        </w:tc>
      </w:tr>
      <w:tr>
        <w:tc>
          <w:tcPr>
            <w:tcW w:w="500" w:type="dxa"/>
          </w:tcPr>
          <w:p>
            <w:pPr/>
            <w:r>
              <w:t xml:space="preserve">11</w:t>
            </w:r>
          </w:p>
        </w:tc>
        <w:tc>
          <w:tcPr>
            <w:tcW w:w="2700" w:type="dxa"/>
          </w:tcPr>
          <w:p>
            <w:pPr>
              <w:bidi/>
            </w:pPr>
            <w:r>
              <w:rPr>
                <w:rtl/>
              </w:rPr>
              <w:t xml:space="preserve">تحديد مجالات المخاطر التي تتطلب إجراءات تصحيحية للاعتماد</w:t>
            </w:r>
          </w:p>
        </w:tc>
        <w:tc>
          <w:tcPr>
            <w:tcW w:w="6438" w:type="dxa"/>
          </w:tcPr>
          <w:p>
            <w:pPr>
              <w:bidi/>
            </w:pPr>
            <w:r>
              <w:rPr>
                <w:rtl/>
              </w:rPr>
              <w:t xml:space="preserve">(1) إعداد سجل مخاطر من الفجوات ونتائج المؤشرات. (2) تقييم جاهزية الاستوديوهات والمعامل والبرامج التصميمية بقائمة فحص. (3) تصنيف المخاطر حسب الأثر والاحتمالية. (4) اقتراح الإجراءات التصحيحية ورفعها.</w:t>
            </w:r>
          </w:p>
        </w:tc>
        <w:tc>
          <w:tcPr>
            <w:tcW w:w="1900" w:type="dxa"/>
          </w:tcPr>
          <w:p>
            <w:pPr>
              <w:bidi/>
            </w:pPr>
            <w:r>
              <w:rPr>
                <w:rtl/>
              </w:rPr>
              <w:t xml:space="preserve">أ. لينا ولي</w:t>
            </w:r>
          </w:p>
        </w:tc>
        <w:tc>
          <w:tcPr>
            <w:tcW w:w="1700" w:type="dxa"/>
          </w:tcPr>
          <w:p>
            <w:pPr>
              <w:bidi/>
            </w:pPr>
            <w:r>
              <w:rPr>
                <w:rtl/>
              </w:rPr>
              <w:t xml:space="preserve">بداية كل فصل</w:t>
            </w:r>
          </w:p>
        </w:tc>
        <w:tc>
          <w:tcPr>
            <w:tcW w:w="1600" w:type="dxa"/>
          </w:tcPr>
          <w:p>
            <w:pPr>
              <w:bidi/>
            </w:pPr>
            <w:r>
              <w:rPr>
                <w:rtl/>
              </w:rPr>
              <w:t xml:space="preserve">سجل مخاطر معتمد ومحدّث</w:t>
            </w:r>
          </w:p>
        </w:tc>
      </w:tr>
      <w:tr>
        <w:tc>
          <w:tcPr>
            <w:tcW w:w="500" w:type="dxa"/>
          </w:tcPr>
          <w:p>
            <w:pPr/>
            <w:r>
              <w:t xml:space="preserve">12</w:t>
            </w:r>
          </w:p>
        </w:tc>
        <w:tc>
          <w:tcPr>
            <w:tcW w:w="2700" w:type="dxa"/>
          </w:tcPr>
          <w:p>
            <w:pPr>
              <w:bidi/>
            </w:pPr>
            <w:r>
              <w:rPr>
                <w:rtl/>
              </w:rPr>
              <w:t xml:space="preserve">إعداد تقارير المتابعة السنوية للاعتماد ومتابعة خطة تنفيذ توصيات الاعتماد</w:t>
            </w:r>
          </w:p>
        </w:tc>
        <w:tc>
          <w:tcPr>
            <w:tcW w:w="6438" w:type="dxa"/>
          </w:tcPr>
          <w:p>
            <w:pPr>
              <w:bidi/>
            </w:pPr>
            <w:r>
              <w:rPr>
                <w:rtl/>
              </w:rPr>
              <w:t xml:space="preserve">(1) جدول بتوصيات الاعتماد والمسؤول عن كل توصية. (2) متابعة التنفيذ في اجتماعات اللجنة. (3) كتابة تقرير المتابعة السنوي.</w:t>
            </w:r>
          </w:p>
        </w:tc>
        <w:tc>
          <w:tcPr>
            <w:tcW w:w="1900" w:type="dxa"/>
          </w:tcPr>
          <w:p>
            <w:pPr>
              <w:bidi/>
            </w:pPr>
            <w:r>
              <w:rPr>
                <w:rtl/>
              </w:rPr>
              <w:t xml:space="preserve">أ. نوره السعدون</w:t>
            </w:r>
          </w:p>
        </w:tc>
        <w:tc>
          <w:tcPr>
            <w:tcW w:w="1700" w:type="dxa"/>
          </w:tcPr>
          <w:p>
            <w:pPr>
              <w:bidi/>
            </w:pPr>
            <w:r>
              <w:rPr>
                <w:rtl/>
              </w:rPr>
              <w:t xml:space="preserve">متابعة فصلية، وتقرير في نهاية العام</w:t>
            </w:r>
          </w:p>
        </w:tc>
        <w:tc>
          <w:tcPr>
            <w:tcW w:w="1600" w:type="dxa"/>
          </w:tcPr>
          <w:p>
            <w:pPr>
              <w:bidi/>
            </w:pPr>
            <w:r>
              <w:rPr>
                <w:rtl/>
              </w:rPr>
              <w:t xml:space="preserve">نسبة التوصيات المنفذة</w:t>
            </w:r>
          </w:p>
        </w:tc>
      </w:tr>
      <w:tr>
        <w:tc>
          <w:tcPr>
            <w:tcW w:w="500" w:type="dxa"/>
          </w:tcPr>
          <w:p>
            <w:pPr/>
            <w:r>
              <w:t xml:space="preserve">13</w:t>
            </w:r>
          </w:p>
        </w:tc>
        <w:tc>
          <w:tcPr>
            <w:tcW w:w="2700" w:type="dxa"/>
          </w:tcPr>
          <w:p>
            <w:pPr>
              <w:bidi/>
            </w:pPr>
            <w:r>
              <w:rPr>
                <w:rtl/>
              </w:rPr>
              <w:t xml:space="preserve">تنفيذ ما يحال إليها من مجلس القسم</w:t>
            </w:r>
          </w:p>
        </w:tc>
        <w:tc>
          <w:tcPr>
            <w:tcW w:w="6438" w:type="dxa"/>
          </w:tcPr>
          <w:p>
            <w:pPr>
              <w:bidi/>
            </w:pPr>
            <w:r>
              <w:rPr>
                <w:rtl/>
              </w:rPr>
              <w:t xml:space="preserve">(1) قيد الإحالات في سجل. (2) مناقشتها في أقرب اجتماع. (3) الرد على المجلس بالتوصية.</w:t>
            </w:r>
          </w:p>
        </w:tc>
        <w:tc>
          <w:tcPr>
            <w:tcW w:w="1900" w:type="dxa"/>
          </w:tcPr>
          <w:p>
            <w:pPr>
              <w:bidi/>
            </w:pPr>
            <w:r>
              <w:rPr>
                <w:rtl/>
              </w:rPr>
              <w:t xml:space="preserve">رئيس اللجنة + المقرر</w:t>
            </w:r>
          </w:p>
        </w:tc>
        <w:tc>
          <w:tcPr>
            <w:tcW w:w="1700" w:type="dxa"/>
          </w:tcPr>
          <w:p>
            <w:pPr>
              <w:bidi/>
            </w:pPr>
            <w:r>
              <w:rPr>
                <w:rtl/>
              </w:rPr>
              <w:t xml:space="preserve">مستمر</w:t>
            </w:r>
          </w:p>
        </w:tc>
        <w:tc>
          <w:tcPr>
            <w:tcW w:w="1600" w:type="dxa"/>
          </w:tcPr>
          <w:p>
            <w:pPr>
              <w:bidi/>
            </w:pPr>
            <w:r>
              <w:rPr>
                <w:rtl/>
              </w:rPr>
              <w:t xml:space="preserve">الرد خلال أسبوعين</w:t>
            </w:r>
          </w:p>
        </w:tc>
      </w:tr>
      <w:tr>
        <w:tc>
          <w:tcPr>
            <w:tcW w:w="500" w:type="dxa"/>
          </w:tcPr>
          <w:p>
            <w:pPr/>
            <w:r>
              <w:t xml:space="preserve">14</w:t>
            </w:r>
          </w:p>
        </w:tc>
        <w:tc>
          <w:tcPr>
            <w:tcW w:w="2700" w:type="dxa"/>
          </w:tcPr>
          <w:p>
            <w:pPr>
              <w:bidi/>
            </w:pPr>
            <w:r>
              <w:rPr>
                <w:rtl/>
              </w:rPr>
              <w:t xml:space="preserve">لمجلس القسم إضافة أي مهام في مصلحة العمل</w:t>
            </w:r>
          </w:p>
        </w:tc>
        <w:tc>
          <w:tcPr>
            <w:tcW w:w="6438" w:type="dxa"/>
          </w:tcPr>
          <w:p>
            <w:pPr>
              <w:bidi/>
            </w:pPr>
            <w:r>
              <w:rPr>
                <w:rtl/>
              </w:rPr>
              <w:t xml:space="preserve">(1) تضمين المهام المضافة في الخطة بمسؤول وموعد. (2) متابعتها ضمن تقرير المتابعة الفصلي.</w:t>
            </w:r>
          </w:p>
        </w:tc>
        <w:tc>
          <w:tcPr>
            <w:tcW w:w="1900" w:type="dxa"/>
          </w:tcPr>
          <w:p>
            <w:pPr>
              <w:bidi/>
            </w:pPr>
            <w:r>
              <w:rPr>
                <w:rtl/>
              </w:rPr>
              <w:t xml:space="preserve">رئيس اللجنة</w:t>
            </w:r>
          </w:p>
        </w:tc>
        <w:tc>
          <w:tcPr>
            <w:tcW w:w="1700" w:type="dxa"/>
          </w:tcPr>
          <w:p>
            <w:pPr>
              <w:bidi/>
            </w:pPr>
            <w:r>
              <w:rPr>
                <w:rtl/>
              </w:rPr>
              <w:t xml:space="preserve">عند الإضافة</w:t>
            </w:r>
          </w:p>
        </w:tc>
        <w:tc>
          <w:tcPr>
            <w:tcW w:w="1600" w:type="dxa"/>
          </w:tcPr>
          <w:p>
            <w:pPr>
              <w:bidi/>
            </w:pPr>
            <w:r>
              <w:rPr>
                <w:rtl/>
              </w:rPr>
              <w:t xml:space="preserve">تحديث الخطة التشغيلية</w:t>
            </w:r>
          </w:p>
        </w:tc>
      </w:tr>
    </w:tbl>
    <w:p>
      <w:pPr>
        <w:pStyle w:val="Heading3"/>
        <w:bidi/>
      </w:pPr>
      <w:r>
        <w:rPr>
          <w:b/>
          <w:bCs/>
          <w:sz w:val="26"/>
          <w:rtl/>
          <w:bCs/>
          <w:szCs w:val="26"/>
        </w:rPr>
        <w:t xml:space="preserve">ما تم إنجازه في بداية الفصل الأول</w:t>
      </w:r>
    </w:p>
    <w:p>
      <w:pPr>
        <w:pStyle w:val="ListParagraph"/>
        <w:numPr>
          <w:ilvl w:val="0"/>
          <w:numId w:val="3"/>
        </w:numPr>
        <w:bidi/>
      </w:pPr>
      <w:r>
        <w:rPr>
          <w:rtl/>
        </w:rPr>
        <w:t xml:space="preserve">☒ توزيع ملف بأسماء منسقي المقررات (المهمة 1)</w:t>
      </w:r>
    </w:p>
    <w:p>
      <w:pPr>
        <w:pStyle w:val="ListParagraph"/>
        <w:numPr>
          <w:ilvl w:val="0"/>
          <w:numId w:val="3"/>
        </w:numPr>
        <w:bidi/>
      </w:pPr>
      <w:r>
        <w:rPr>
          <w:rtl/>
        </w:rPr>
        <w:t xml:space="preserve">☒ إرسال رابط محتوى المقررات لأعضاء هيئة التدريس (المهمة 1)</w:t>
      </w:r>
    </w:p>
    <w:p>
      <w:pPr>
        <w:pStyle w:val="ListParagraph"/>
        <w:numPr>
          <w:ilvl w:val="0"/>
          <w:numId w:val="3"/>
        </w:numPr>
        <w:bidi/>
      </w:pPr>
      <w:r>
        <w:rPr>
          <w:rtl/>
        </w:rPr>
        <w:t xml:space="preserve">☐ استلام توصيفات المقررات من المنسقين ومراجعتها (المهمة 1)</w:t>
      </w:r>
    </w:p>
    <w:p>
      <w:pPr>
        <w:bidi/>
      </w:pPr>
      <w:r>
        <w:rPr>
          <w:rtl/>
        </w:rPr>
        <w:t xml:space="preserve">يُحفظ ملف المنسقين ورابط المحتوى في مستودع الأدلة كدليل على الإنجاز.</w:t>
      </w:r>
    </w:p>
    <w:p>
      <w:pPr>
        <w:pStyle w:val="Heading2"/>
        <w:bidi/>
      </w:pPr>
      <w:r>
        <w:rPr>
          <w:b/>
          <w:bCs/>
          <w:sz w:val="30"/>
          <w:rtl/>
          <w:bCs/>
          <w:szCs w:val="30"/>
        </w:rPr>
        <w:t xml:space="preserve">الرؤية والرسالة والأهداف</w:t>
      </w:r>
    </w:p>
    <w:p>
      <w:pPr>
        <w:bidi/>
      </w:pPr>
      <w:r>
        <w:rPr>
          <w:b/>
          <w:rtl/>
        </w:rPr>
        <w:t xml:space="preserve">الرؤية:</w:t>
      </w:r>
      <w:r>
        <w:rPr>
          <w:rtl/>
        </w:rPr>
        <w:t xml:space="preserve"> قسم تصميم معتمد وطنيًا ودوليًا، تُدار فيه الجودة بممارسات مؤسسية مستدامة.</w:t>
      </w:r>
    </w:p>
    <w:p>
      <w:pPr>
        <w:bidi/>
      </w:pPr>
      <w:r>
        <w:rPr>
          <w:b/>
          <w:rtl/>
        </w:rPr>
        <w:t xml:space="preserve">الرسالة:</w:t>
      </w:r>
      <w:r>
        <w:rPr>
          <w:rtl/>
        </w:rPr>
        <w:t xml:space="preserve"> نشر ثقافة الجودة بين منسوبي القسم، وقياس الأداء ونواتج التعلم بمنهجية، وتوظيف النتائج في التحسين المستمر وفق معايير الاعتماد.</w:t>
      </w:r>
    </w:p>
    <w:p>
      <w:pPr>
        <w:bidi/>
      </w:pPr>
      <w:r>
        <w:rPr>
          <w:b/>
          <w:rtl/>
        </w:rPr>
        <w:t xml:space="preserve">الأهداف الاستراتيجية للجنة:</w:t>
      </w:r>
    </w:p>
    <w:p>
      <w:pPr>
        <w:pStyle w:val="ListParagraph"/>
        <w:numPr>
          <w:ilvl w:val="0"/>
          <w:numId w:val="4"/>
        </w:numPr>
        <w:bidi/>
      </w:pPr>
      <w:r>
        <w:rPr>
          <w:rtl/>
        </w:rPr>
        <w:t xml:space="preserve">استكمال متطلبات الاعتماد البرامجي أو تجديده (الدراسة الذاتية والأدلة).</w:t>
      </w:r>
    </w:p>
    <w:p>
      <w:pPr>
        <w:pStyle w:val="ListParagraph"/>
        <w:numPr>
          <w:ilvl w:val="0"/>
          <w:numId w:val="4"/>
        </w:numPr>
        <w:bidi/>
      </w:pPr>
      <w:r>
        <w:rPr>
          <w:rtl/>
        </w:rPr>
        <w:t xml:space="preserve">ضمان توثيق توصيف البرنامج والمقررات وتقاريرها وفق نماذج المركز الوطني.</w:t>
      </w:r>
    </w:p>
    <w:p>
      <w:pPr>
        <w:pStyle w:val="ListParagraph"/>
        <w:numPr>
          <w:ilvl w:val="0"/>
          <w:numId w:val="4"/>
        </w:numPr>
        <w:bidi/>
      </w:pPr>
      <w:r>
        <w:rPr>
          <w:rtl/>
        </w:rPr>
        <w:t xml:space="preserve">قياس نواتج التعلم مباشرًا وغير مباشر، وربط نتائجها بخطط التحسين.</w:t>
      </w:r>
    </w:p>
    <w:p>
      <w:pPr>
        <w:pStyle w:val="ListParagraph"/>
        <w:numPr>
          <w:ilvl w:val="0"/>
          <w:numId w:val="4"/>
        </w:numPr>
        <w:bidi/>
      </w:pPr>
      <w:r>
        <w:rPr>
          <w:rtl/>
        </w:rPr>
        <w:t xml:space="preserve">متابعة مؤشرات الأداء الرئيسية والمقارنة المرجعية.</w:t>
      </w:r>
    </w:p>
    <w:p>
      <w:pPr>
        <w:pStyle w:val="ListParagraph"/>
        <w:numPr>
          <w:ilvl w:val="0"/>
          <w:numId w:val="4"/>
        </w:numPr>
        <w:bidi/>
      </w:pPr>
      <w:r>
        <w:rPr>
          <w:rtl/>
        </w:rPr>
        <w:t xml:space="preserve">نشر ثقافة الجودة وبناء قدرات أعضاء هيئة التدريس في مجال الجودة.</w:t>
      </w:r>
    </w:p>
    <w:p>
      <w:pPr>
        <w:pStyle w:val="ListParagraph"/>
        <w:numPr>
          <w:ilvl w:val="0"/>
          <w:numId w:val="4"/>
        </w:numPr>
        <w:bidi/>
      </w:pPr>
      <w:r>
        <w:rPr>
          <w:rtl/>
        </w:rPr>
        <w:t xml:space="preserve">استطلاع آراء المستفيدين (الطلاب، الخريجين، جهات التوظيف) والاستجابة لها.</w:t>
      </w:r>
    </w:p>
    <w:p>
      <w:pPr>
        <w:pStyle w:val="Heading2"/>
        <w:bidi/>
      </w:pPr>
      <w:r>
        <w:rPr>
          <w:b/>
          <w:bCs/>
          <w:sz w:val="30"/>
          <w:rtl/>
          <w:bCs/>
          <w:szCs w:val="30"/>
        </w:rPr>
        <w:t xml:space="preserve">تعريف اللجنة وتشكيلها</w:t>
      </w:r>
    </w:p>
    <w:p>
      <w:pPr>
        <w:bidi/>
      </w:pPr>
      <w:r>
        <w:rPr>
          <w:rtl/>
        </w:rPr>
        <w:t xml:space="preserve">لجنة الجودة والاعتماد الأكاديمي لجنة أكاديمية تُعنى بتطبيق نظام الجودة في القسم، ومتابعة تحقيق معايير الاعتماد المحلي والدولي، والإشراف على التخطيط والمتابعة والتقويم والتحسين المستمر. يتم تشكيلها بقرار من مجلس القسم.</w:t>
      </w:r>
    </w:p>
    <w:tbl>
      <w:tblPr>
        <w:bidiVisual/>
        <w:tblStyle w:val="TableGrid"/>
        <w:tblW w:w="0" w:type="auto"/>
        <w:tblLayout w:type="fixed"/>
        <w:tblLook w:val="04A0" w:firstRow="1" w:lastRow="0" w:firstColumn="0" w:lastColumn="0" w:noHBand="0" w:noVBand="1"/>
      </w:tblPr>
      <w:tblGrid>
        <w:gridCol w:w="4000"/>
        <w:gridCol w:w="10838"/>
      </w:tblGrid>
      <w:tr>
        <w:trPr>
          <w:tblHeader/>
        </w:trPr>
        <w:tc>
          <w:tcPr>
            <w:tcW w:w="4000" w:type="dxa"/>
            <w:shd w:val="clear" w:color="auto" w:fill="F2F2F2"/>
          </w:tcPr>
          <w:p>
            <w:pPr>
              <w:bidi/>
            </w:pPr>
            <w:r>
              <w:rPr>
                <w:rtl/>
              </w:rPr>
              <w:t xml:space="preserve">البند</w:t>
            </w:r>
          </w:p>
        </w:tc>
        <w:tc>
          <w:tcPr>
            <w:tcW w:w="10838" w:type="dxa"/>
            <w:shd w:val="clear" w:color="auto" w:fill="F2F2F2"/>
          </w:tcPr>
          <w:p>
            <w:pPr>
              <w:bidi/>
            </w:pPr>
            <w:r>
              <w:rPr>
                <w:rtl/>
              </w:rPr>
              <w:t xml:space="preserve">التفاصيل</w:t>
            </w:r>
          </w:p>
        </w:tc>
      </w:tr>
      <w:tr>
        <w:tc>
          <w:tcPr>
            <w:tcW w:w="4000" w:type="dxa"/>
          </w:tcPr>
          <w:p>
            <w:pPr>
              <w:bidi/>
            </w:pPr>
            <w:r>
              <w:rPr>
                <w:rtl/>
              </w:rPr>
              <w:t xml:space="preserve">اسم اللجنة</w:t>
            </w:r>
          </w:p>
        </w:tc>
        <w:tc>
          <w:tcPr>
            <w:tcW w:w="10838" w:type="dxa"/>
          </w:tcPr>
          <w:p>
            <w:pPr>
              <w:bidi/>
            </w:pPr>
            <w:r>
              <w:rPr>
                <w:rtl/>
              </w:rPr>
              <w:t xml:space="preserve">لجنة الجودة والاعتماد (لكل برنامج)</w:t>
            </w:r>
          </w:p>
        </w:tc>
      </w:tr>
      <w:tr>
        <w:tc>
          <w:tcPr>
            <w:tcW w:w="4000" w:type="dxa"/>
          </w:tcPr>
          <w:p>
            <w:pPr>
              <w:bidi/>
            </w:pPr>
            <w:r>
              <w:rPr>
                <w:rtl/>
              </w:rPr>
              <w:t xml:space="preserve">عدد الأعضاء</w:t>
            </w:r>
          </w:p>
        </w:tc>
        <w:tc>
          <w:tcPr>
            <w:tcW w:w="10838" w:type="dxa"/>
          </w:tcPr>
          <w:p>
            <w:pPr>
              <w:bidi/>
            </w:pPr>
            <w:r>
              <w:rPr>
                <w:rtl/>
              </w:rPr>
              <w:t xml:space="preserve">12 عضوًا كحد أعلى</w:t>
            </w:r>
          </w:p>
        </w:tc>
      </w:tr>
      <w:tr>
        <w:tc>
          <w:tcPr>
            <w:tcW w:w="4000" w:type="dxa"/>
          </w:tcPr>
          <w:p>
            <w:pPr>
              <w:bidi/>
            </w:pPr>
            <w:r>
              <w:rPr>
                <w:rtl/>
              </w:rPr>
              <w:t xml:space="preserve">عدد مرات الانعقاد</w:t>
            </w:r>
          </w:p>
        </w:tc>
        <w:tc>
          <w:tcPr>
            <w:tcW w:w="10838" w:type="dxa"/>
          </w:tcPr>
          <w:p>
            <w:pPr>
              <w:bidi/>
            </w:pPr>
            <w:r>
              <w:rPr>
                <w:rtl/>
              </w:rPr>
              <w:t xml:space="preserve">15 اجتماعًا خلال العام كحد أدنى</w:t>
            </w:r>
          </w:p>
        </w:tc>
      </w:tr>
      <w:tr>
        <w:tc>
          <w:tcPr>
            <w:tcW w:w="4000" w:type="dxa"/>
          </w:tcPr>
          <w:p>
            <w:pPr>
              <w:bidi/>
            </w:pPr>
            <w:r>
              <w:rPr>
                <w:rtl/>
              </w:rPr>
              <w:t xml:space="preserve">الجهة المشرفة إداريًا</w:t>
            </w:r>
          </w:p>
        </w:tc>
        <w:tc>
          <w:tcPr>
            <w:tcW w:w="10838" w:type="dxa"/>
          </w:tcPr>
          <w:p>
            <w:pPr>
              <w:bidi/>
            </w:pPr>
            <w:r>
              <w:rPr>
                <w:rtl/>
              </w:rPr>
              <w:t xml:space="preserve">لجنة توجيه الجودة في القسم (اللجنة الإشرافية)</w:t>
            </w:r>
          </w:p>
        </w:tc>
      </w:tr>
      <w:tr>
        <w:tc>
          <w:tcPr>
            <w:tcW w:w="4000" w:type="dxa"/>
          </w:tcPr>
          <w:p>
            <w:pPr>
              <w:bidi/>
            </w:pPr>
            <w:r>
              <w:rPr>
                <w:rtl/>
              </w:rPr>
              <w:t xml:space="preserve">الجهة المشرفة وظيفيًا</w:t>
            </w:r>
          </w:p>
        </w:tc>
        <w:tc>
          <w:tcPr>
            <w:tcW w:w="10838" w:type="dxa"/>
          </w:tcPr>
          <w:p>
            <w:pPr>
              <w:bidi/>
            </w:pPr>
            <w:r>
              <w:rPr>
                <w:rtl/>
              </w:rPr>
              <w:t xml:space="preserve">وكالة الكلية للتطوير والجودة</w:t>
            </w:r>
          </w:p>
        </w:tc>
      </w:tr>
    </w:tbl>
    <w:p>
      <w:pPr>
        <w:bidi/>
      </w:pPr>
      <w:r>
        <w:rPr>
          <w:b/>
          <w:rtl/>
        </w:rPr>
        <w:t xml:space="preserve">توزيع المسؤوليات على المهام</w:t>
      </w:r>
      <w:r>
        <w:rPr>
          <w:rtl/>
        </w:rPr>
        <w:t xml:space="preserve"> (أرقام المهام حسب مسودة اللجان الأكاديمية):</w:t>
      </w:r>
    </w:p>
    <w:tbl>
      <w:tblPr>
        <w:bidiVisual/>
        <w:tblStyle w:val="TableGrid"/>
        <w:tblW w:w="0" w:type="auto"/>
        <w:tblLayout w:type="fixed"/>
        <w:tblLook w:val="04A0" w:firstRow="1" w:lastRow="0" w:firstColumn="0" w:lastColumn="0" w:noHBand="0" w:noVBand="1"/>
      </w:tblPr>
      <w:tblGrid>
        <w:gridCol w:w="2400"/>
        <w:gridCol w:w="2600"/>
        <w:gridCol w:w="9838"/>
      </w:tblGrid>
      <w:tr>
        <w:trPr>
          <w:tblHeader/>
        </w:trPr>
        <w:tc>
          <w:tcPr>
            <w:tcW w:w="2400" w:type="dxa"/>
            <w:shd w:val="clear" w:color="auto" w:fill="F2F2F2"/>
          </w:tcPr>
          <w:p>
            <w:pPr>
              <w:bidi/>
            </w:pPr>
            <w:r>
              <w:rPr>
                <w:rtl/>
              </w:rPr>
              <w:t xml:space="preserve">الصفة</w:t>
            </w:r>
          </w:p>
        </w:tc>
        <w:tc>
          <w:tcPr>
            <w:tcW w:w="2600" w:type="dxa"/>
            <w:shd w:val="clear" w:color="auto" w:fill="F2F2F2"/>
          </w:tcPr>
          <w:p>
            <w:pPr>
              <w:bidi/>
            </w:pPr>
            <w:r>
              <w:rPr>
                <w:rtl/>
              </w:rPr>
              <w:t xml:space="preserve">الاسم</w:t>
            </w:r>
          </w:p>
        </w:tc>
        <w:tc>
          <w:tcPr>
            <w:tcW w:w="9838" w:type="dxa"/>
            <w:shd w:val="clear" w:color="auto" w:fill="F2F2F2"/>
          </w:tcPr>
          <w:p>
            <w:pPr>
              <w:bidi/>
            </w:pPr>
            <w:r>
              <w:rPr>
                <w:rtl/>
              </w:rPr>
              <w:t xml:space="preserve">المهام المسندة</w:t>
            </w:r>
          </w:p>
        </w:tc>
      </w:tr>
      <w:tr>
        <w:tc>
          <w:tcPr>
            <w:tcW w:w="2400" w:type="dxa"/>
          </w:tcPr>
          <w:p>
            <w:pPr>
              <w:bidi/>
            </w:pPr>
            <w:r>
              <w:rPr>
                <w:rtl/>
              </w:rPr>
              <w:t xml:space="preserve">رئيس اللجنة</w:t>
            </w:r>
          </w:p>
        </w:tc>
        <w:tc>
          <w:tcPr>
            <w:tcW w:w="2600" w:type="dxa"/>
          </w:tcPr>
          <w:p>
            <w:pPr>
              <w:bidi/>
            </w:pPr>
            <w:r>
              <w:rPr>
                <w:rtl/>
              </w:rPr>
              <w:t xml:space="preserve">يُحدد بقرار التشكيل</w:t>
            </w:r>
          </w:p>
        </w:tc>
        <w:tc>
          <w:tcPr>
            <w:tcW w:w="9838" w:type="dxa"/>
          </w:tcPr>
          <w:p>
            <w:pPr>
              <w:bidi/>
            </w:pPr>
            <w:r>
              <w:rPr>
                <w:rtl/>
              </w:rPr>
              <w:t xml:space="preserve">الإشراف العام، التقرير السنوي (5)، الدراسة الذاتية (10)، ما يُحال من مجلس القسم (13، 14)</w:t>
            </w:r>
          </w:p>
        </w:tc>
      </w:tr>
      <w:tr>
        <w:tc>
          <w:tcPr>
            <w:tcW w:w="2400" w:type="dxa"/>
          </w:tcPr>
          <w:p>
            <w:pPr>
              <w:bidi/>
            </w:pPr>
            <w:r>
              <w:rPr>
                <w:rtl/>
              </w:rPr>
              <w:t xml:space="preserve">مقرر اللجنة</w:t>
            </w:r>
          </w:p>
        </w:tc>
        <w:tc>
          <w:tcPr>
            <w:tcW w:w="2600" w:type="dxa"/>
          </w:tcPr>
          <w:p>
            <w:pPr>
              <w:bidi/>
            </w:pPr>
            <w:r>
              <w:rPr>
                <w:rtl/>
              </w:rPr>
              <w:t xml:space="preserve">أ. نوره السعدون</w:t>
            </w:r>
          </w:p>
        </w:tc>
        <w:tc>
          <w:tcPr>
            <w:tcW w:w="9838" w:type="dxa"/>
          </w:tcPr>
          <w:p>
            <w:pPr>
              <w:bidi/>
            </w:pPr>
            <w:r>
              <w:rPr>
                <w:rtl/>
              </w:rPr>
              <w:t xml:space="preserve">المحاضر وأرشفة الأدلة ومتابعة المواعيد، الامتثال لمعايير الاعتماد (9)، تقارير متابعة الاعتماد (12)</w:t>
            </w:r>
          </w:p>
        </w:tc>
      </w:tr>
      <w:tr>
        <w:tc>
          <w:tcPr>
            <w:tcW w:w="2400" w:type="dxa"/>
          </w:tcPr>
          <w:p>
            <w:pPr>
              <w:bidi/>
            </w:pPr>
            <w:r>
              <w:rPr>
                <w:rtl/>
              </w:rPr>
              <w:t xml:space="preserve">عضو</w:t>
            </w:r>
          </w:p>
        </w:tc>
        <w:tc>
          <w:tcPr>
            <w:tcW w:w="2600" w:type="dxa"/>
          </w:tcPr>
          <w:p>
            <w:pPr>
              <w:bidi/>
            </w:pPr>
            <w:r>
              <w:rPr>
                <w:rtl/>
              </w:rPr>
              <w:t xml:space="preserve">د. لمى الحركان</w:t>
            </w:r>
          </w:p>
        </w:tc>
        <w:tc>
          <w:tcPr>
            <w:tcW w:w="9838" w:type="dxa"/>
          </w:tcPr>
          <w:p>
            <w:pPr>
              <w:bidi/>
            </w:pPr>
            <w:r>
              <w:rPr>
                <w:rtl/>
              </w:rPr>
              <w:t xml:space="preserve">خطة قياس نواتج التعلم (2)، قياس النواتج (3)، المشاركة في الدراسة الذاتية (10)</w:t>
            </w:r>
          </w:p>
        </w:tc>
      </w:tr>
      <w:tr>
        <w:tc>
          <w:tcPr>
            <w:tcW w:w="2400" w:type="dxa"/>
          </w:tcPr>
          <w:p>
            <w:pPr>
              <w:bidi/>
            </w:pPr>
            <w:r>
              <w:rPr>
                <w:rtl/>
              </w:rPr>
              <w:t xml:space="preserve">عضو</w:t>
            </w:r>
          </w:p>
        </w:tc>
        <w:tc>
          <w:tcPr>
            <w:tcW w:w="2600" w:type="dxa"/>
          </w:tcPr>
          <w:p>
            <w:pPr>
              <w:bidi/>
            </w:pPr>
            <w:r>
              <w:rPr>
                <w:rtl/>
              </w:rPr>
              <w:t xml:space="preserve">أ. لينا ولي</w:t>
            </w:r>
          </w:p>
        </w:tc>
        <w:tc>
          <w:tcPr>
            <w:tcW w:w="9838" w:type="dxa"/>
          </w:tcPr>
          <w:p>
            <w:pPr>
              <w:bidi/>
            </w:pPr>
            <w:r>
              <w:rPr>
                <w:rtl/>
              </w:rPr>
              <w:t xml:space="preserve">تحديث التوصيف (1)، تقارير المقررات (4)، مجالات المخاطر (11)</w:t>
            </w:r>
          </w:p>
        </w:tc>
      </w:tr>
      <w:tr>
        <w:tc>
          <w:tcPr>
            <w:tcW w:w="2400" w:type="dxa"/>
          </w:tcPr>
          <w:p>
            <w:pPr>
              <w:bidi/>
            </w:pPr>
            <w:r>
              <w:rPr>
                <w:rtl/>
              </w:rPr>
              <w:t xml:space="preserve">عضو</w:t>
            </w:r>
          </w:p>
        </w:tc>
        <w:tc>
          <w:tcPr>
            <w:tcW w:w="2600" w:type="dxa"/>
          </w:tcPr>
          <w:p>
            <w:pPr>
              <w:bidi/>
            </w:pPr>
            <w:r>
              <w:rPr>
                <w:rtl/>
              </w:rPr>
              <w:t xml:space="preserve">أ. وفاء الخضير</w:t>
            </w:r>
          </w:p>
        </w:tc>
        <w:tc>
          <w:tcPr>
            <w:tcW w:w="9838" w:type="dxa"/>
          </w:tcPr>
          <w:p>
            <w:pPr>
              <w:bidi/>
            </w:pPr>
            <w:r>
              <w:rPr>
                <w:rtl/>
              </w:rPr>
              <w:t xml:space="preserve">التواصل مع اللجان (6)، تقرير المؤشرات (7)، بيانات التصنيفات (8)</w:t>
            </w:r>
          </w:p>
        </w:tc>
      </w:tr>
    </w:tbl>
    <w:p>
      <w:pPr>
        <w:bidi/>
      </w:pPr>
      <w:r>
        <w:rPr>
          <w:b/>
          <w:rtl/>
        </w:rPr>
        <w:t xml:space="preserve">آلية العمل:</w:t>
      </w:r>
      <w:r>
        <w:rPr>
          <w:rtl/>
        </w:rPr>
        <w:t xml:space="preserve"> 15 اجتماعًا في العام على الأقل (7 في كل فصل دراسي + اجتماع في الصيفي)، ومحضر موثّق لكل اجتماع يُرفع لمجلس القسم ولجنة توجيه الجودة.</w:t>
      </w:r>
    </w:p>
    <w:p>
      <w:pPr>
        <w:pStyle w:val="Heading2"/>
        <w:bidi/>
      </w:pPr>
      <w:r>
        <w:rPr>
          <w:b/>
          <w:bCs/>
          <w:sz w:val="30"/>
          <w:rtl/>
          <w:bCs/>
          <w:szCs w:val="30"/>
        </w:rPr>
        <w:t xml:space="preserve">الجدول الزمني للاجتماعات</w:t>
      </w:r>
    </w:p>
    <w:p>
      <w:pPr>
        <w:bidi/>
      </w:pPr>
      <w:r>
        <w:rPr>
          <w:rtl/>
        </w:rPr>
        <w:t xml:space="preserve">الاجتماعات الـ 15 موزعة على العام بحيث يُناقش في كل اجتماع مخرج مهمة أو أكثر. الأرقام بين الأقواس هي أرقام المهام.</w:t>
      </w:r>
    </w:p>
    <w:tbl>
      <w:tblPr>
        <w:bidiVisual/>
        <w:tblStyle w:val="TableGrid"/>
        <w:tblW w:w="0" w:type="auto"/>
        <w:tblLayout w:type="fixed"/>
        <w:tblLook w:val="04A0" w:firstRow="1" w:lastRow="0" w:firstColumn="0" w:lastColumn="0" w:noHBand="0" w:noVBand="1"/>
      </w:tblPr>
      <w:tblGrid>
        <w:gridCol w:w="1200"/>
        <w:gridCol w:w="3000"/>
        <w:gridCol w:w="10638"/>
      </w:tblGrid>
      <w:tr>
        <w:trPr>
          <w:tblHeader/>
        </w:trPr>
        <w:tc>
          <w:tcPr>
            <w:tcW w:w="1200" w:type="dxa"/>
            <w:shd w:val="clear" w:color="auto" w:fill="F2F2F2"/>
          </w:tcPr>
          <w:p>
            <w:pPr>
              <w:bidi/>
            </w:pPr>
            <w:r>
              <w:rPr>
                <w:rtl/>
              </w:rPr>
              <w:t xml:space="preserve">الاجتماع</w:t>
            </w:r>
          </w:p>
        </w:tc>
        <w:tc>
          <w:tcPr>
            <w:tcW w:w="3000" w:type="dxa"/>
            <w:shd w:val="clear" w:color="auto" w:fill="F2F2F2"/>
          </w:tcPr>
          <w:p>
            <w:pPr>
              <w:bidi/>
            </w:pPr>
            <w:r>
              <w:rPr>
                <w:rtl/>
              </w:rPr>
              <w:t xml:space="preserve">التوقيت</w:t>
            </w:r>
          </w:p>
        </w:tc>
        <w:tc>
          <w:tcPr>
            <w:tcW w:w="10638" w:type="dxa"/>
            <w:shd w:val="clear" w:color="auto" w:fill="F2F2F2"/>
          </w:tcPr>
          <w:p>
            <w:pPr>
              <w:bidi/>
            </w:pPr>
            <w:r>
              <w:rPr>
                <w:rtl/>
              </w:rPr>
              <w:t xml:space="preserve">الموضوعات</w:t>
            </w:r>
          </w:p>
        </w:tc>
      </w:tr>
      <w:tr>
        <w:tc>
          <w:tcPr>
            <w:tcW w:w="1200" w:type="dxa"/>
          </w:tcPr>
          <w:p>
            <w:pPr/>
            <w:r>
              <w:t xml:space="preserve">1</w:t>
            </w:r>
          </w:p>
        </w:tc>
        <w:tc>
          <w:tcPr>
            <w:tcW w:w="3000" w:type="dxa"/>
          </w:tcPr>
          <w:p>
            <w:pPr>
              <w:bidi/>
            </w:pPr>
            <w:r>
              <w:rPr>
                <w:rtl/>
              </w:rPr>
              <w:t xml:space="preserve">الفصل الأول – الأسبوع 1</w:t>
            </w:r>
          </w:p>
        </w:tc>
        <w:tc>
          <w:tcPr>
            <w:tcW w:w="10638" w:type="dxa"/>
          </w:tcPr>
          <w:p>
            <w:pPr>
              <w:bidi/>
            </w:pPr>
            <w:r>
              <w:rPr>
                <w:rtl/>
              </w:rPr>
              <w:t xml:space="preserve">اعتماد الخطة التشغيلية وتوزيع المهام، تعميم نماذج التوصيف (1)</w:t>
            </w:r>
          </w:p>
        </w:tc>
      </w:tr>
      <w:tr>
        <w:tc>
          <w:tcPr>
            <w:tcW w:w="1200" w:type="dxa"/>
          </w:tcPr>
          <w:p>
            <w:pPr/>
            <w:r>
              <w:t xml:space="preserve">2</w:t>
            </w:r>
          </w:p>
        </w:tc>
        <w:tc>
          <w:tcPr>
            <w:tcW w:w="3000" w:type="dxa"/>
          </w:tcPr>
          <w:p>
            <w:pPr>
              <w:bidi/>
            </w:pPr>
            <w:r>
              <w:rPr>
                <w:rtl/>
              </w:rPr>
              <w:t xml:space="preserve">الفصل الأول – الأسبوع 3</w:t>
            </w:r>
          </w:p>
        </w:tc>
        <w:tc>
          <w:tcPr>
            <w:tcW w:w="10638" w:type="dxa"/>
          </w:tcPr>
          <w:p>
            <w:pPr>
              <w:bidi/>
            </w:pPr>
            <w:r>
              <w:rPr>
                <w:rtl/>
              </w:rPr>
              <w:t xml:space="preserve">مراجعة التوصيفات (1)، مخاطبة اللجان بالمؤشرات (6)</w:t>
            </w:r>
          </w:p>
        </w:tc>
      </w:tr>
      <w:tr>
        <w:tc>
          <w:tcPr>
            <w:tcW w:w="1200" w:type="dxa"/>
          </w:tcPr>
          <w:p>
            <w:pPr/>
            <w:r>
              <w:t xml:space="preserve">3</w:t>
            </w:r>
          </w:p>
        </w:tc>
        <w:tc>
          <w:tcPr>
            <w:tcW w:w="3000" w:type="dxa"/>
          </w:tcPr>
          <w:p>
            <w:pPr>
              <w:bidi/>
            </w:pPr>
            <w:r>
              <w:rPr>
                <w:rtl/>
              </w:rPr>
              <w:t xml:space="preserve">الفصل الأول – الأسبوع 5</w:t>
            </w:r>
          </w:p>
        </w:tc>
        <w:tc>
          <w:tcPr>
            <w:tcW w:w="10638" w:type="dxa"/>
          </w:tcPr>
          <w:p>
            <w:pPr>
              <w:bidi/>
            </w:pPr>
            <w:r>
              <w:rPr>
                <w:rtl/>
              </w:rPr>
              <w:t xml:space="preserve">اعتماد خطة قياس النواتج (2)، المراجعة الذاتية للمعايير (9)</w:t>
            </w:r>
          </w:p>
        </w:tc>
      </w:tr>
      <w:tr>
        <w:tc>
          <w:tcPr>
            <w:tcW w:w="1200" w:type="dxa"/>
          </w:tcPr>
          <w:p>
            <w:pPr/>
            <w:r>
              <w:t xml:space="preserve">4</w:t>
            </w:r>
          </w:p>
        </w:tc>
        <w:tc>
          <w:tcPr>
            <w:tcW w:w="3000" w:type="dxa"/>
          </w:tcPr>
          <w:p>
            <w:pPr>
              <w:bidi/>
            </w:pPr>
            <w:r>
              <w:rPr>
                <w:rtl/>
              </w:rPr>
              <w:t xml:space="preserve">الفصل الأول – الأسبوع 7</w:t>
            </w:r>
          </w:p>
        </w:tc>
        <w:tc>
          <w:tcPr>
            <w:tcW w:w="10638" w:type="dxa"/>
          </w:tcPr>
          <w:p>
            <w:pPr>
              <w:bidi/>
            </w:pPr>
            <w:r>
              <w:rPr>
                <w:rtl/>
              </w:rPr>
              <w:t xml:space="preserve">سجل المخاطر (11)، فرق الدراسة الذاتية (10)</w:t>
            </w:r>
          </w:p>
        </w:tc>
      </w:tr>
      <w:tr>
        <w:tc>
          <w:tcPr>
            <w:tcW w:w="1200" w:type="dxa"/>
          </w:tcPr>
          <w:p>
            <w:pPr/>
            <w:r>
              <w:t xml:space="preserve">5</w:t>
            </w:r>
          </w:p>
        </w:tc>
        <w:tc>
          <w:tcPr>
            <w:tcW w:w="3000" w:type="dxa"/>
          </w:tcPr>
          <w:p>
            <w:pPr>
              <w:bidi/>
            </w:pPr>
            <w:r>
              <w:rPr>
                <w:rtl/>
              </w:rPr>
              <w:t xml:space="preserve">الفصل الأول – الأسبوع 9</w:t>
            </w:r>
          </w:p>
        </w:tc>
        <w:tc>
          <w:tcPr>
            <w:tcW w:w="10638" w:type="dxa"/>
          </w:tcPr>
          <w:p>
            <w:pPr>
              <w:bidi/>
            </w:pPr>
            <w:r>
              <w:rPr>
                <w:rtl/>
              </w:rPr>
              <w:t xml:space="preserve">متابعة توصيات الاعتماد (12)، بيانات التصنيفات (8)</w:t>
            </w:r>
          </w:p>
        </w:tc>
      </w:tr>
      <w:tr>
        <w:tc>
          <w:tcPr>
            <w:tcW w:w="1200" w:type="dxa"/>
          </w:tcPr>
          <w:p>
            <w:pPr/>
            <w:r>
              <w:t xml:space="preserve">6</w:t>
            </w:r>
          </w:p>
        </w:tc>
        <w:tc>
          <w:tcPr>
            <w:tcW w:w="3000" w:type="dxa"/>
          </w:tcPr>
          <w:p>
            <w:pPr>
              <w:bidi/>
            </w:pPr>
            <w:r>
              <w:rPr>
                <w:rtl/>
              </w:rPr>
              <w:t xml:space="preserve">الفصل الأول – الأسبوع 12</w:t>
            </w:r>
          </w:p>
        </w:tc>
        <w:tc>
          <w:tcPr>
            <w:tcW w:w="10638" w:type="dxa"/>
          </w:tcPr>
          <w:p>
            <w:pPr>
              <w:bidi/>
            </w:pPr>
            <w:r>
              <w:rPr>
                <w:rtl/>
              </w:rPr>
              <w:t xml:space="preserve">متابعة الدراسة الذاتية (10)، الاستعداد للقياس (3)</w:t>
            </w:r>
          </w:p>
        </w:tc>
      </w:tr>
      <w:tr>
        <w:tc>
          <w:tcPr>
            <w:tcW w:w="1200" w:type="dxa"/>
          </w:tcPr>
          <w:p>
            <w:pPr/>
            <w:r>
              <w:t xml:space="preserve">7</w:t>
            </w:r>
          </w:p>
        </w:tc>
        <w:tc>
          <w:tcPr>
            <w:tcW w:w="3000" w:type="dxa"/>
          </w:tcPr>
          <w:p>
            <w:pPr>
              <w:bidi/>
            </w:pPr>
            <w:r>
              <w:rPr>
                <w:rtl/>
              </w:rPr>
              <w:t xml:space="preserve">الفصل الأول – بعد الاختبارات</w:t>
            </w:r>
          </w:p>
        </w:tc>
        <w:tc>
          <w:tcPr>
            <w:tcW w:w="10638" w:type="dxa"/>
          </w:tcPr>
          <w:p>
            <w:pPr>
              <w:bidi/>
            </w:pPr>
            <w:r>
              <w:rPr>
                <w:rtl/>
              </w:rPr>
              <w:t xml:space="preserve">تقارير المقررات (4)، نتائج القياس (3)، تقرير متابعة الخطة</w:t>
            </w:r>
          </w:p>
        </w:tc>
      </w:tr>
      <w:tr>
        <w:tc>
          <w:tcPr>
            <w:tcW w:w="1200" w:type="dxa"/>
          </w:tcPr>
          <w:p>
            <w:pPr/>
            <w:r>
              <w:t xml:space="preserve">8</w:t>
            </w:r>
          </w:p>
        </w:tc>
        <w:tc>
          <w:tcPr>
            <w:tcW w:w="3000" w:type="dxa"/>
          </w:tcPr>
          <w:p>
            <w:pPr>
              <w:bidi/>
            </w:pPr>
            <w:r>
              <w:rPr>
                <w:rtl/>
              </w:rPr>
              <w:t xml:space="preserve">الفصل الثاني – الأسبوع 1</w:t>
            </w:r>
          </w:p>
        </w:tc>
        <w:tc>
          <w:tcPr>
            <w:tcW w:w="10638" w:type="dxa"/>
          </w:tcPr>
          <w:p>
            <w:pPr>
              <w:bidi/>
            </w:pPr>
            <w:r>
              <w:rPr>
                <w:rtl/>
              </w:rPr>
              <w:t xml:space="preserve">توصيف مقررات الفصل (1)، تحسينات من نتائج الفصل الأول</w:t>
            </w:r>
          </w:p>
        </w:tc>
      </w:tr>
      <w:tr>
        <w:tc>
          <w:tcPr>
            <w:tcW w:w="1200" w:type="dxa"/>
          </w:tcPr>
          <w:p>
            <w:pPr/>
            <w:r>
              <w:t xml:space="preserve">9</w:t>
            </w:r>
          </w:p>
        </w:tc>
        <w:tc>
          <w:tcPr>
            <w:tcW w:w="3000" w:type="dxa"/>
          </w:tcPr>
          <w:p>
            <w:pPr>
              <w:bidi/>
            </w:pPr>
            <w:r>
              <w:rPr>
                <w:rtl/>
              </w:rPr>
              <w:t xml:space="preserve">الفصل الثاني – الأسبوع 3</w:t>
            </w:r>
          </w:p>
        </w:tc>
        <w:tc>
          <w:tcPr>
            <w:tcW w:w="10638" w:type="dxa"/>
          </w:tcPr>
          <w:p>
            <w:pPr>
              <w:bidi/>
            </w:pPr>
            <w:r>
              <w:rPr>
                <w:rtl/>
              </w:rPr>
              <w:t xml:space="preserve">متابعة الفجوات (9)، تحديث المخاطر (11)</w:t>
            </w:r>
          </w:p>
        </w:tc>
      </w:tr>
      <w:tr>
        <w:tc>
          <w:tcPr>
            <w:tcW w:w="1200" w:type="dxa"/>
          </w:tcPr>
          <w:p>
            <w:pPr/>
            <w:r>
              <w:t xml:space="preserve">10</w:t>
            </w:r>
          </w:p>
        </w:tc>
        <w:tc>
          <w:tcPr>
            <w:tcW w:w="3000" w:type="dxa"/>
          </w:tcPr>
          <w:p>
            <w:pPr>
              <w:bidi/>
            </w:pPr>
            <w:r>
              <w:rPr>
                <w:rtl/>
              </w:rPr>
              <w:t xml:space="preserve">الفصل الثاني – الأسبوع 5</w:t>
            </w:r>
          </w:p>
        </w:tc>
        <w:tc>
          <w:tcPr>
            <w:tcW w:w="10638" w:type="dxa"/>
          </w:tcPr>
          <w:p>
            <w:pPr>
              <w:bidi/>
            </w:pPr>
            <w:r>
              <w:rPr>
                <w:rtl/>
              </w:rPr>
              <w:t xml:space="preserve">استلام بيانات اللجان (6)، متابعة التوصيات (12)</w:t>
            </w:r>
          </w:p>
        </w:tc>
      </w:tr>
      <w:tr>
        <w:tc>
          <w:tcPr>
            <w:tcW w:w="1200" w:type="dxa"/>
          </w:tcPr>
          <w:p>
            <w:pPr/>
            <w:r>
              <w:t xml:space="preserve">11</w:t>
            </w:r>
          </w:p>
        </w:tc>
        <w:tc>
          <w:tcPr>
            <w:tcW w:w="3000" w:type="dxa"/>
          </w:tcPr>
          <w:p>
            <w:pPr>
              <w:bidi/>
            </w:pPr>
            <w:r>
              <w:rPr>
                <w:rtl/>
              </w:rPr>
              <w:t xml:space="preserve">الفصل الثاني – الأسبوع 7</w:t>
            </w:r>
          </w:p>
        </w:tc>
        <w:tc>
          <w:tcPr>
            <w:tcW w:w="10638" w:type="dxa"/>
          </w:tcPr>
          <w:p>
            <w:pPr>
              <w:bidi/>
            </w:pPr>
            <w:r>
              <w:rPr>
                <w:rtl/>
              </w:rPr>
              <w:t xml:space="preserve">مسودة الدراسة الذاتية (10)، التصنيفات (8)</w:t>
            </w:r>
          </w:p>
        </w:tc>
      </w:tr>
      <w:tr>
        <w:tc>
          <w:tcPr>
            <w:tcW w:w="1200" w:type="dxa"/>
          </w:tcPr>
          <w:p>
            <w:pPr/>
            <w:r>
              <w:t xml:space="preserve">12</w:t>
            </w:r>
          </w:p>
        </w:tc>
        <w:tc>
          <w:tcPr>
            <w:tcW w:w="3000" w:type="dxa"/>
          </w:tcPr>
          <w:p>
            <w:pPr>
              <w:bidi/>
            </w:pPr>
            <w:r>
              <w:rPr>
                <w:rtl/>
              </w:rPr>
              <w:t xml:space="preserve">الفصل الثاني – الأسبوع 9</w:t>
            </w:r>
          </w:p>
        </w:tc>
        <w:tc>
          <w:tcPr>
            <w:tcW w:w="10638" w:type="dxa"/>
          </w:tcPr>
          <w:p>
            <w:pPr>
              <w:bidi/>
            </w:pPr>
            <w:r>
              <w:rPr>
                <w:rtl/>
              </w:rPr>
              <w:t xml:space="preserve">تقرير مؤشرات الأداء (7)، اجتماع اللجنة الاستشارية المهنية</w:t>
            </w:r>
          </w:p>
        </w:tc>
      </w:tr>
      <w:tr>
        <w:tc>
          <w:tcPr>
            <w:tcW w:w="1200" w:type="dxa"/>
          </w:tcPr>
          <w:p>
            <w:pPr/>
            <w:r>
              <w:t xml:space="preserve">13</w:t>
            </w:r>
          </w:p>
        </w:tc>
        <w:tc>
          <w:tcPr>
            <w:tcW w:w="3000" w:type="dxa"/>
          </w:tcPr>
          <w:p>
            <w:pPr>
              <w:bidi/>
            </w:pPr>
            <w:r>
              <w:rPr>
                <w:rtl/>
              </w:rPr>
              <w:t xml:space="preserve">الفصل الثاني – الأسبوع 12</w:t>
            </w:r>
          </w:p>
        </w:tc>
        <w:tc>
          <w:tcPr>
            <w:tcW w:w="10638" w:type="dxa"/>
          </w:tcPr>
          <w:p>
            <w:pPr>
              <w:bidi/>
            </w:pPr>
            <w:r>
              <w:rPr>
                <w:rtl/>
              </w:rPr>
              <w:t xml:space="preserve">القياس غير المباشر واستبانات الخريجين (3)، ترتيب التحكيم الخارجي ومعرض التخرج</w:t>
            </w:r>
          </w:p>
        </w:tc>
      </w:tr>
      <w:tr>
        <w:tc>
          <w:tcPr>
            <w:tcW w:w="1200" w:type="dxa"/>
          </w:tcPr>
          <w:p>
            <w:pPr/>
            <w:r>
              <w:t xml:space="preserve">14</w:t>
            </w:r>
          </w:p>
        </w:tc>
        <w:tc>
          <w:tcPr>
            <w:tcW w:w="3000" w:type="dxa"/>
          </w:tcPr>
          <w:p>
            <w:pPr>
              <w:bidi/>
            </w:pPr>
            <w:r>
              <w:rPr>
                <w:rtl/>
              </w:rPr>
              <w:t xml:space="preserve">الفصل الثاني – بعد الاختبارات</w:t>
            </w:r>
          </w:p>
        </w:tc>
        <w:tc>
          <w:tcPr>
            <w:tcW w:w="10638" w:type="dxa"/>
          </w:tcPr>
          <w:p>
            <w:pPr>
              <w:bidi/>
            </w:pPr>
            <w:r>
              <w:rPr>
                <w:rtl/>
              </w:rPr>
              <w:t xml:space="preserve">تقارير المقررات (4)، نتائج القياس (3)، تقرير متابعة الاعتماد (12)</w:t>
            </w:r>
          </w:p>
        </w:tc>
      </w:tr>
      <w:tr>
        <w:tc>
          <w:tcPr>
            <w:tcW w:w="1200" w:type="dxa"/>
          </w:tcPr>
          <w:p>
            <w:pPr/>
            <w:r>
              <w:t xml:space="preserve">15</w:t>
            </w:r>
          </w:p>
        </w:tc>
        <w:tc>
          <w:tcPr>
            <w:tcW w:w="3000" w:type="dxa"/>
          </w:tcPr>
          <w:p>
            <w:pPr>
              <w:bidi/>
            </w:pPr>
            <w:r>
              <w:rPr>
                <w:rtl/>
              </w:rPr>
              <w:t xml:space="preserve">الفصل الصيفي</w:t>
            </w:r>
          </w:p>
        </w:tc>
        <w:tc>
          <w:tcPr>
            <w:tcW w:w="10638" w:type="dxa"/>
          </w:tcPr>
          <w:p>
            <w:pPr>
              <w:bidi/>
            </w:pPr>
            <w:r>
              <w:rPr>
                <w:rtl/>
              </w:rPr>
              <w:t xml:space="preserve">اعتماد التقرير السنوي (5)، تقييم الخطة وإعداد خطة العام القادم</w:t>
            </w:r>
          </w:p>
        </w:tc>
      </w:tr>
    </w:tbl>
    <w:p>
      <w:pPr>
        <w:bidi/>
      </w:pPr>
      <w:r>
        <w:rPr>
          <w:rtl/>
        </w:rPr>
        <w:t xml:space="preserve">المهام 13 و 14 تُناقش في أقرب اجتماع بعد ورود الإحالة.</w:t>
      </w:r>
    </w:p>
    <w:p>
      <w:pPr>
        <w:pStyle w:val="Heading2"/>
        <w:bidi/>
      </w:pPr>
      <w:r>
        <w:rPr>
          <w:b/>
          <w:bCs/>
          <w:sz w:val="30"/>
          <w:rtl/>
          <w:bCs/>
          <w:szCs w:val="30"/>
        </w:rPr>
        <w:t xml:space="preserve">مؤشرات الأداء الرئيسية</w:t>
      </w:r>
    </w:p>
    <w:p>
      <w:pPr>
        <w:bidi/>
      </w:pPr>
      <w:r>
        <w:rPr>
          <w:rtl/>
        </w:rPr>
        <w:t xml:space="preserve">تُعبأ القيم الفعلية من تقرير البرنامج السنوي السابق، والمستهدفات المقترحة تُعدّل بما يتوافق مع مؤشرات الجامعة.</w:t>
      </w:r>
    </w:p>
    <w:tbl>
      <w:tblPr>
        <w:bidiVisual/>
        <w:tblStyle w:val="TableGrid"/>
        <w:tblW w:w="0" w:type="auto"/>
        <w:tblLayout w:type="fixed"/>
        <w:tblLook w:val="04A0" w:firstRow="1" w:lastRow="0" w:firstColumn="0" w:lastColumn="0" w:noHBand="0" w:noVBand="1"/>
      </w:tblPr>
      <w:tblGrid>
        <w:gridCol w:w="6000"/>
        <w:gridCol w:w="2600"/>
        <w:gridCol w:w="2600"/>
        <w:gridCol w:w="3638"/>
      </w:tblGrid>
      <w:tr>
        <w:trPr>
          <w:tblHeader/>
        </w:trPr>
        <w:tc>
          <w:tcPr>
            <w:tcW w:w="6000" w:type="dxa"/>
            <w:shd w:val="clear" w:color="auto" w:fill="F2F2F2"/>
          </w:tcPr>
          <w:p>
            <w:pPr>
              <w:bidi/>
            </w:pPr>
            <w:r>
              <w:rPr>
                <w:rtl/>
              </w:rPr>
              <w:t xml:space="preserve">المؤشر</w:t>
            </w:r>
          </w:p>
        </w:tc>
        <w:tc>
          <w:tcPr>
            <w:tcW w:w="2600" w:type="dxa"/>
            <w:shd w:val="clear" w:color="auto" w:fill="F2F2F2"/>
          </w:tcPr>
          <w:p>
            <w:pPr>
              <w:bidi/>
            </w:pPr>
            <w:r>
              <w:rPr>
                <w:rtl/>
              </w:rPr>
              <w:t xml:space="preserve">القيمة الفعلية (1447هـ)</w:t>
            </w:r>
          </w:p>
        </w:tc>
        <w:tc>
          <w:tcPr>
            <w:tcW w:w="2600" w:type="dxa"/>
            <w:shd w:val="clear" w:color="auto" w:fill="F2F2F2"/>
          </w:tcPr>
          <w:p>
            <w:pPr>
              <w:bidi/>
            </w:pPr>
            <w:r>
              <w:rPr>
                <w:rtl/>
              </w:rPr>
              <w:t xml:space="preserve">المستهدف (1448هـ)</w:t>
            </w:r>
          </w:p>
        </w:tc>
        <w:tc>
          <w:tcPr>
            <w:tcW w:w="3638" w:type="dxa"/>
            <w:shd w:val="clear" w:color="auto" w:fill="F2F2F2"/>
          </w:tcPr>
          <w:p>
            <w:pPr>
              <w:bidi/>
            </w:pPr>
            <w:r>
              <w:rPr>
                <w:rtl/>
              </w:rPr>
              <w:t xml:space="preserve">مصدر البيانات</w:t>
            </w:r>
          </w:p>
        </w:tc>
      </w:tr>
      <w:tr>
        <w:tc>
          <w:tcPr>
            <w:tcW w:w="6000" w:type="dxa"/>
          </w:tcPr>
          <w:p>
            <w:pPr>
              <w:bidi/>
            </w:pPr>
            <w:r>
              <w:rPr>
                <w:rtl/>
              </w:rPr>
              <w:t xml:space="preserve">نسبة المقررات ذات التوصيف والتقرير المكتمل</w:t>
            </w:r>
          </w:p>
        </w:tc>
        <w:tc>
          <w:tcPr>
            <w:tcW w:w="2600" w:type="dxa"/>
          </w:tcPr>
          <w:p>
            <w:pPr/>
            <w:r>
              <w:t xml:space="preserve">—</w:t>
            </w:r>
          </w:p>
        </w:tc>
        <w:tc>
          <w:tcPr>
            <w:tcW w:w="2600" w:type="dxa"/>
          </w:tcPr>
          <w:p>
            <w:pPr/>
            <w:r>
              <w:t xml:space="preserve">100%</w:t>
            </w:r>
          </w:p>
        </w:tc>
        <w:tc>
          <w:tcPr>
            <w:tcW w:w="3638" w:type="dxa"/>
          </w:tcPr>
          <w:p>
            <w:pPr>
              <w:bidi/>
            </w:pPr>
            <w:r>
              <w:rPr>
                <w:rtl/>
              </w:rPr>
              <w:t xml:space="preserve">ملفات المقررات</w:t>
            </w:r>
          </w:p>
        </w:tc>
      </w:tr>
      <w:tr>
        <w:tc>
          <w:tcPr>
            <w:tcW w:w="6000" w:type="dxa"/>
          </w:tcPr>
          <w:p>
            <w:pPr>
              <w:bidi/>
            </w:pPr>
            <w:r>
              <w:rPr>
                <w:rtl/>
              </w:rPr>
              <w:t xml:space="preserve">تقييم الطلاب لجودة المقررات (من 5)</w:t>
            </w:r>
          </w:p>
        </w:tc>
        <w:tc>
          <w:tcPr>
            <w:tcW w:w="2600" w:type="dxa"/>
          </w:tcPr>
          <w:p>
            <w:pPr/>
            <w:r>
              <w:t xml:space="preserve">—</w:t>
            </w:r>
          </w:p>
        </w:tc>
        <w:tc>
          <w:tcPr>
            <w:tcW w:w="2600" w:type="dxa"/>
          </w:tcPr>
          <w:p>
            <w:pPr/>
            <w:r>
              <w:t xml:space="preserve">4.0</w:t>
            </w:r>
          </w:p>
        </w:tc>
        <w:tc>
          <w:tcPr>
            <w:tcW w:w="3638" w:type="dxa"/>
          </w:tcPr>
          <w:p>
            <w:pPr>
              <w:bidi/>
            </w:pPr>
            <w:r>
              <w:rPr>
                <w:rtl/>
              </w:rPr>
              <w:t xml:space="preserve">استبانة تقييم المقرر</w:t>
            </w:r>
          </w:p>
        </w:tc>
      </w:tr>
      <w:tr>
        <w:tc>
          <w:tcPr>
            <w:tcW w:w="6000" w:type="dxa"/>
          </w:tcPr>
          <w:p>
            <w:pPr>
              <w:bidi/>
            </w:pPr>
            <w:r>
              <w:rPr>
                <w:rtl/>
              </w:rPr>
              <w:t xml:space="preserve">تقييم الطلاب للبرنامج وتجربتهم (من 5)</w:t>
            </w:r>
          </w:p>
        </w:tc>
        <w:tc>
          <w:tcPr>
            <w:tcW w:w="2600" w:type="dxa"/>
          </w:tcPr>
          <w:p>
            <w:pPr/>
            <w:r>
              <w:t xml:space="preserve">—</w:t>
            </w:r>
          </w:p>
        </w:tc>
        <w:tc>
          <w:tcPr>
            <w:tcW w:w="2600" w:type="dxa"/>
          </w:tcPr>
          <w:p>
            <w:pPr/>
            <w:r>
              <w:t xml:space="preserve">4.0</w:t>
            </w:r>
          </w:p>
        </w:tc>
        <w:tc>
          <w:tcPr>
            <w:tcW w:w="3638" w:type="dxa"/>
          </w:tcPr>
          <w:p>
            <w:pPr>
              <w:bidi/>
            </w:pPr>
            <w:r>
              <w:rPr>
                <w:rtl/>
              </w:rPr>
              <w:t xml:space="preserve">استبانة تجربة الطالب</w:t>
            </w:r>
          </w:p>
        </w:tc>
      </w:tr>
      <w:tr>
        <w:tc>
          <w:tcPr>
            <w:tcW w:w="6000" w:type="dxa"/>
          </w:tcPr>
          <w:p>
            <w:pPr>
              <w:bidi/>
            </w:pPr>
            <w:r>
              <w:rPr>
                <w:rtl/>
              </w:rPr>
              <w:t xml:space="preserve">نسبة تحقق نواتج التعلم المقاسة</w:t>
            </w:r>
          </w:p>
        </w:tc>
        <w:tc>
          <w:tcPr>
            <w:tcW w:w="2600" w:type="dxa"/>
          </w:tcPr>
          <w:p>
            <w:pPr/>
            <w:r>
              <w:t xml:space="preserve">—</w:t>
            </w:r>
          </w:p>
        </w:tc>
        <w:tc>
          <w:tcPr>
            <w:tcW w:w="2600" w:type="dxa"/>
          </w:tcPr>
          <w:p>
            <w:pPr>
              <w:bidi/>
            </w:pPr>
            <w:r>
              <w:rPr>
                <w:rtl/>
              </w:rPr>
              <w:t xml:space="preserve">≥ 70% من الطلاب يحققون المستوى المستهدف</w:t>
            </w:r>
          </w:p>
        </w:tc>
        <w:tc>
          <w:tcPr>
            <w:tcW w:w="3638" w:type="dxa"/>
          </w:tcPr>
          <w:p>
            <w:pPr>
              <w:bidi/>
            </w:pPr>
            <w:r>
              <w:rPr>
                <w:rtl/>
              </w:rPr>
              <w:t xml:space="preserve">تقرير قياس النواتج</w:t>
            </w:r>
          </w:p>
        </w:tc>
      </w:tr>
      <w:tr>
        <w:tc>
          <w:tcPr>
            <w:tcW w:w="6000" w:type="dxa"/>
          </w:tcPr>
          <w:p>
            <w:pPr>
              <w:bidi/>
            </w:pPr>
            <w:r>
              <w:rPr>
                <w:rtl/>
              </w:rPr>
              <w:t xml:space="preserve">نسبة إتمام البرنامج في المدة المحددة</w:t>
            </w:r>
          </w:p>
        </w:tc>
        <w:tc>
          <w:tcPr>
            <w:tcW w:w="2600" w:type="dxa"/>
          </w:tcPr>
          <w:p>
            <w:pPr/>
            <w:r>
              <w:t xml:space="preserve">—</w:t>
            </w:r>
          </w:p>
        </w:tc>
        <w:tc>
          <w:tcPr>
            <w:tcW w:w="2600" w:type="dxa"/>
          </w:tcPr>
          <w:p>
            <w:pPr/>
            <w:r>
              <w:t xml:space="preserve">≥ 80%</w:t>
            </w:r>
          </w:p>
        </w:tc>
        <w:tc>
          <w:tcPr>
            <w:tcW w:w="3638" w:type="dxa"/>
          </w:tcPr>
          <w:p>
            <w:pPr>
              <w:bidi/>
            </w:pPr>
            <w:r>
              <w:rPr>
                <w:rtl/>
              </w:rPr>
              <w:t xml:space="preserve">عمادة القبول والتسجيل</w:t>
            </w:r>
          </w:p>
        </w:tc>
      </w:tr>
      <w:tr>
        <w:tc>
          <w:tcPr>
            <w:tcW w:w="6000" w:type="dxa"/>
          </w:tcPr>
          <w:p>
            <w:pPr>
              <w:bidi/>
            </w:pPr>
            <w:r>
              <w:rPr>
                <w:rtl/>
              </w:rPr>
              <w:t xml:space="preserve">نسبة توظيف الخريجين أو التحاقهم بالدراسات العليا خلال عام</w:t>
            </w:r>
          </w:p>
        </w:tc>
        <w:tc>
          <w:tcPr>
            <w:tcW w:w="2600" w:type="dxa"/>
          </w:tcPr>
          <w:p>
            <w:pPr/>
            <w:r>
              <w:t xml:space="preserve">—</w:t>
            </w:r>
          </w:p>
        </w:tc>
        <w:tc>
          <w:tcPr>
            <w:tcW w:w="2600" w:type="dxa"/>
          </w:tcPr>
          <w:p>
            <w:pPr/>
            <w:r>
              <w:t xml:space="preserve">≥ 60%</w:t>
            </w:r>
          </w:p>
        </w:tc>
        <w:tc>
          <w:tcPr>
            <w:tcW w:w="3638" w:type="dxa"/>
          </w:tcPr>
          <w:p>
            <w:pPr>
              <w:bidi/>
            </w:pPr>
            <w:r>
              <w:rPr>
                <w:rtl/>
              </w:rPr>
              <w:t xml:space="preserve">استبانة الخريجين</w:t>
            </w:r>
          </w:p>
        </w:tc>
      </w:tr>
      <w:tr>
        <w:tc>
          <w:tcPr>
            <w:tcW w:w="6000" w:type="dxa"/>
          </w:tcPr>
          <w:p>
            <w:pPr>
              <w:bidi/>
            </w:pPr>
            <w:r>
              <w:rPr>
                <w:rtl/>
              </w:rPr>
              <w:t xml:space="preserve">رضا جهات التوظيف عن الخريجين (من 5)</w:t>
            </w:r>
          </w:p>
        </w:tc>
        <w:tc>
          <w:tcPr>
            <w:tcW w:w="2600" w:type="dxa"/>
          </w:tcPr>
          <w:p>
            <w:pPr/>
            <w:r>
              <w:t xml:space="preserve">—</w:t>
            </w:r>
          </w:p>
        </w:tc>
        <w:tc>
          <w:tcPr>
            <w:tcW w:w="2600" w:type="dxa"/>
          </w:tcPr>
          <w:p>
            <w:pPr/>
            <w:r>
              <w:t xml:space="preserve">4.0</w:t>
            </w:r>
          </w:p>
        </w:tc>
        <w:tc>
          <w:tcPr>
            <w:tcW w:w="3638" w:type="dxa"/>
          </w:tcPr>
          <w:p>
            <w:pPr>
              <w:bidi/>
            </w:pPr>
            <w:r>
              <w:rPr>
                <w:rtl/>
              </w:rPr>
              <w:t xml:space="preserve">استبانة جهات التوظيف</w:t>
            </w:r>
          </w:p>
        </w:tc>
      </w:tr>
      <w:tr>
        <w:tc>
          <w:tcPr>
            <w:tcW w:w="6000" w:type="dxa"/>
          </w:tcPr>
          <w:p>
            <w:pPr>
              <w:bidi/>
            </w:pPr>
            <w:r>
              <w:rPr>
                <w:rtl/>
              </w:rPr>
              <w:t xml:space="preserve">نسبة أعضاء هيئة التدريس المشاركين في أنشطة التطوير المهني</w:t>
            </w:r>
          </w:p>
        </w:tc>
        <w:tc>
          <w:tcPr>
            <w:tcW w:w="2600" w:type="dxa"/>
          </w:tcPr>
          <w:p>
            <w:pPr/>
            <w:r>
              <w:t xml:space="preserve">—</w:t>
            </w:r>
          </w:p>
        </w:tc>
        <w:tc>
          <w:tcPr>
            <w:tcW w:w="2600" w:type="dxa"/>
          </w:tcPr>
          <w:p>
            <w:pPr/>
            <w:r>
              <w:t xml:space="preserve">≥ 80%</w:t>
            </w:r>
          </w:p>
        </w:tc>
        <w:tc>
          <w:tcPr>
            <w:tcW w:w="3638" w:type="dxa"/>
          </w:tcPr>
          <w:p>
            <w:pPr>
              <w:bidi/>
            </w:pPr>
            <w:r>
              <w:rPr>
                <w:rtl/>
              </w:rPr>
              <w:t xml:space="preserve">سجلات الورش</w:t>
            </w:r>
          </w:p>
        </w:tc>
      </w:tr>
      <w:tr>
        <w:tc>
          <w:tcPr>
            <w:tcW w:w="6000" w:type="dxa"/>
          </w:tcPr>
          <w:p>
            <w:pPr>
              <w:bidi/>
            </w:pPr>
            <w:r>
              <w:rPr>
                <w:rtl/>
              </w:rPr>
              <w:t xml:space="preserve">نسبة تنفيذ أنشطة الخطة التشغيلية في مواعيدها</w:t>
            </w:r>
          </w:p>
        </w:tc>
        <w:tc>
          <w:tcPr>
            <w:tcW w:w="2600" w:type="dxa"/>
          </w:tcPr>
          <w:p>
            <w:pPr/>
            <w:r>
              <w:t xml:space="preserve">—</w:t>
            </w:r>
          </w:p>
        </w:tc>
        <w:tc>
          <w:tcPr>
            <w:tcW w:w="2600" w:type="dxa"/>
          </w:tcPr>
          <w:p>
            <w:pPr/>
            <w:r>
              <w:t xml:space="preserve">≥ 90%</w:t>
            </w:r>
          </w:p>
        </w:tc>
        <w:tc>
          <w:tcPr>
            <w:tcW w:w="3638" w:type="dxa"/>
          </w:tcPr>
          <w:p>
            <w:pPr>
              <w:bidi/>
            </w:pPr>
            <w:r>
              <w:rPr>
                <w:rtl/>
              </w:rPr>
              <w:t xml:space="preserve">تقارير المتابعة</w:t>
            </w:r>
          </w:p>
        </w:tc>
      </w:tr>
    </w:tbl>
    <w:p>
      <w:pPr>
        <w:bidi/>
      </w:pPr>
      <w:r>
        <w:rPr>
          <w:rtl/>
        </w:rPr>
        <w:t xml:space="preserve">وتُضاف مؤشرات أداء اللجنة نفسها: عدد الاجتماعات المنعقدة (المستهدف 15 فأكثر)، ونسبة توصيات الاعتماد المنفذة (المستهدف ≥ 80%)، ونسبة الفجوات المغلقة من سجل المخاطر.</w:t>
      </w:r>
    </w:p>
    <w:p>
      <w:pPr>
        <w:bidi/>
      </w:pPr>
      <w:r>
        <w:rPr>
          <w:b/>
          <w:rtl/>
        </w:rPr>
        <w:t xml:space="preserve">مؤشرات خاصة بقسم التصميم:</w:t>
      </w:r>
    </w:p>
    <w:tbl>
      <w:tblPr>
        <w:bidiVisual/>
        <w:tblStyle w:val="TableGrid"/>
        <w:tblW w:w="0" w:type="auto"/>
        <w:tblLayout w:type="fixed"/>
        <w:tblLook w:val="04A0" w:firstRow="1" w:lastRow="0" w:firstColumn="0" w:lastColumn="0" w:noHBand="0" w:noVBand="1"/>
      </w:tblPr>
      <w:tblGrid>
        <w:gridCol w:w="7000"/>
        <w:gridCol w:w="3000"/>
        <w:gridCol w:w="4838"/>
      </w:tblGrid>
      <w:tr>
        <w:trPr>
          <w:tblHeader/>
        </w:trPr>
        <w:tc>
          <w:tcPr>
            <w:tcW w:w="7000" w:type="dxa"/>
            <w:shd w:val="clear" w:color="auto" w:fill="F2F2F2"/>
          </w:tcPr>
          <w:p>
            <w:pPr>
              <w:bidi/>
            </w:pPr>
            <w:r>
              <w:rPr>
                <w:rtl/>
              </w:rPr>
              <w:t xml:space="preserve">المؤشر</w:t>
            </w:r>
          </w:p>
        </w:tc>
        <w:tc>
          <w:tcPr>
            <w:tcW w:w="3000" w:type="dxa"/>
            <w:shd w:val="clear" w:color="auto" w:fill="F2F2F2"/>
          </w:tcPr>
          <w:p>
            <w:pPr>
              <w:bidi/>
            </w:pPr>
            <w:r>
              <w:rPr>
                <w:rtl/>
              </w:rPr>
              <w:t xml:space="preserve">المستهدف (1448هـ)</w:t>
            </w:r>
          </w:p>
        </w:tc>
        <w:tc>
          <w:tcPr>
            <w:tcW w:w="4838" w:type="dxa"/>
            <w:shd w:val="clear" w:color="auto" w:fill="F2F2F2"/>
          </w:tcPr>
          <w:p>
            <w:pPr>
              <w:bidi/>
            </w:pPr>
            <w:r>
              <w:rPr>
                <w:rtl/>
              </w:rPr>
              <w:t xml:space="preserve">مصدر البيانات</w:t>
            </w:r>
          </w:p>
        </w:tc>
      </w:tr>
      <w:tr>
        <w:tc>
          <w:tcPr>
            <w:tcW w:w="7000" w:type="dxa"/>
          </w:tcPr>
          <w:p>
            <w:pPr>
              <w:bidi/>
            </w:pPr>
            <w:r>
              <w:rPr>
                <w:rtl/>
              </w:rPr>
              <w:t xml:space="preserve">نسبة مقررات الاستوديو التي تستخدم معايير وصفية موحدة</w:t>
            </w:r>
          </w:p>
        </w:tc>
        <w:tc>
          <w:tcPr>
            <w:tcW w:w="3000" w:type="dxa"/>
          </w:tcPr>
          <w:p>
            <w:pPr/>
            <w:r>
              <w:t xml:space="preserve">100%</w:t>
            </w:r>
          </w:p>
        </w:tc>
        <w:tc>
          <w:tcPr>
            <w:tcW w:w="4838" w:type="dxa"/>
          </w:tcPr>
          <w:p>
            <w:pPr>
              <w:bidi/>
            </w:pPr>
            <w:r>
              <w:rPr>
                <w:rtl/>
              </w:rPr>
              <w:t xml:space="preserve">ملفات المقررات</w:t>
            </w:r>
          </w:p>
        </w:tc>
      </w:tr>
      <w:tr>
        <w:tc>
          <w:tcPr>
            <w:tcW w:w="7000" w:type="dxa"/>
          </w:tcPr>
          <w:p>
            <w:pPr>
              <w:bidi/>
            </w:pPr>
            <w:r>
              <w:rPr>
                <w:rtl/>
              </w:rPr>
              <w:t xml:space="preserve">نسبة مشاريع التخرج المحكّمة خارجيًا</w:t>
            </w:r>
          </w:p>
        </w:tc>
        <w:tc>
          <w:tcPr>
            <w:tcW w:w="3000" w:type="dxa"/>
          </w:tcPr>
          <w:p>
            <w:pPr/>
            <w:r>
              <w:t xml:space="preserve">100%</w:t>
            </w:r>
          </w:p>
        </w:tc>
        <w:tc>
          <w:tcPr>
            <w:tcW w:w="4838" w:type="dxa"/>
          </w:tcPr>
          <w:p>
            <w:pPr>
              <w:bidi/>
            </w:pPr>
            <w:r>
              <w:rPr>
                <w:rtl/>
              </w:rPr>
              <w:t xml:space="preserve">تقارير المحكمين</w:t>
            </w:r>
          </w:p>
        </w:tc>
      </w:tr>
      <w:tr>
        <w:tc>
          <w:tcPr>
            <w:tcW w:w="7000" w:type="dxa"/>
          </w:tcPr>
          <w:p>
            <w:pPr>
              <w:bidi/>
            </w:pPr>
            <w:r>
              <w:rPr>
                <w:rtl/>
              </w:rPr>
              <w:t xml:space="preserve">متوسط تقييم المحكمين الخارجيين لمشاريع التخرج (من 5)</w:t>
            </w:r>
          </w:p>
        </w:tc>
        <w:tc>
          <w:tcPr>
            <w:tcW w:w="3000" w:type="dxa"/>
          </w:tcPr>
          <w:p>
            <w:pPr/>
            <w:r>
              <w:t xml:space="preserve">4.0</w:t>
            </w:r>
          </w:p>
        </w:tc>
        <w:tc>
          <w:tcPr>
            <w:tcW w:w="4838" w:type="dxa"/>
          </w:tcPr>
          <w:p>
            <w:pPr>
              <w:bidi/>
            </w:pPr>
            <w:r>
              <w:rPr>
                <w:rtl/>
              </w:rPr>
              <w:t xml:space="preserve">نماذج التحكيم</w:t>
            </w:r>
          </w:p>
        </w:tc>
      </w:tr>
      <w:tr>
        <w:tc>
          <w:tcPr>
            <w:tcW w:w="7000" w:type="dxa"/>
          </w:tcPr>
          <w:p>
            <w:pPr>
              <w:bidi/>
            </w:pPr>
            <w:r>
              <w:rPr>
                <w:rtl/>
              </w:rPr>
              <w:t xml:space="preserve">عدد مشاركات الطلاب في المعارض والمسابقات التصميمية</w:t>
            </w:r>
          </w:p>
        </w:tc>
        <w:tc>
          <w:tcPr>
            <w:tcW w:w="3000" w:type="dxa"/>
          </w:tcPr>
          <w:p>
            <w:pPr>
              <w:bidi/>
            </w:pPr>
            <w:r>
              <w:rPr>
                <w:rtl/>
              </w:rPr>
              <w:t xml:space="preserve">يُحدد بعد حصر العام السابق</w:t>
            </w:r>
          </w:p>
        </w:tc>
        <w:tc>
          <w:tcPr>
            <w:tcW w:w="4838" w:type="dxa"/>
          </w:tcPr>
          <w:p>
            <w:pPr>
              <w:bidi/>
            </w:pPr>
            <w:r>
              <w:rPr>
                <w:rtl/>
              </w:rPr>
              <w:t xml:space="preserve">سجل المشاركات</w:t>
            </w:r>
          </w:p>
        </w:tc>
      </w:tr>
      <w:tr>
        <w:tc>
          <w:tcPr>
            <w:tcW w:w="7000" w:type="dxa"/>
          </w:tcPr>
          <w:p>
            <w:pPr>
              <w:bidi/>
            </w:pPr>
            <w:r>
              <w:rPr>
                <w:rtl/>
              </w:rPr>
              <w:t xml:space="preserve">عدد الشراكات مع جهات التصميم (تدريب، مشاريع حقيقية، محكمين)</w:t>
            </w:r>
          </w:p>
        </w:tc>
        <w:tc>
          <w:tcPr>
            <w:tcW w:w="3000" w:type="dxa"/>
          </w:tcPr>
          <w:p>
            <w:pPr>
              <w:bidi/>
            </w:pPr>
            <w:r>
              <w:rPr>
                <w:rtl/>
              </w:rPr>
              <w:t xml:space="preserve">3 فأكثر</w:t>
            </w:r>
          </w:p>
        </w:tc>
        <w:tc>
          <w:tcPr>
            <w:tcW w:w="4838" w:type="dxa"/>
          </w:tcPr>
          <w:p>
            <w:pPr>
              <w:bidi/>
            </w:pPr>
            <w:r>
              <w:rPr>
                <w:rtl/>
              </w:rPr>
              <w:t xml:space="preserve">الاتفاقيات والمخاطبات</w:t>
            </w:r>
          </w:p>
        </w:tc>
      </w:tr>
      <w:tr>
        <w:tc>
          <w:tcPr>
            <w:tcW w:w="7000" w:type="dxa"/>
          </w:tcPr>
          <w:p>
            <w:pPr>
              <w:bidi/>
            </w:pPr>
            <w:r>
              <w:rPr>
                <w:rtl/>
              </w:rPr>
              <w:t xml:space="preserve">رضا الطلاب عن جاهزية الاستوديوهات والبرامج التصميمية (من 5)</w:t>
            </w:r>
          </w:p>
        </w:tc>
        <w:tc>
          <w:tcPr>
            <w:tcW w:w="3000" w:type="dxa"/>
          </w:tcPr>
          <w:p>
            <w:pPr/>
            <w:r>
              <w:t xml:space="preserve">4.0</w:t>
            </w:r>
          </w:p>
        </w:tc>
        <w:tc>
          <w:tcPr>
            <w:tcW w:w="4838" w:type="dxa"/>
          </w:tcPr>
          <w:p>
            <w:pPr>
              <w:bidi/>
            </w:pPr>
            <w:r>
              <w:rPr>
                <w:rtl/>
              </w:rPr>
              <w:t xml:space="preserve">استبانة تجربة الطالب</w:t>
            </w:r>
          </w:p>
        </w:tc>
      </w:tr>
    </w:tbl>
    <w:p>
      <w:pPr>
        <w:pStyle w:val="Heading2"/>
        <w:bidi/>
      </w:pPr>
      <w:r>
        <w:rPr>
          <w:b/>
          <w:bCs/>
          <w:sz w:val="30"/>
          <w:rtl/>
          <w:bCs/>
          <w:szCs w:val="30"/>
        </w:rPr>
        <w:t xml:space="preserve">المخاطر وخطط المعالجة</w:t>
      </w:r>
    </w:p>
    <w:tbl>
      <w:tblPr>
        <w:bidiVisual/>
        <w:tblStyle w:val="TableGrid"/>
        <w:tblW w:w="0" w:type="auto"/>
        <w:tblLayout w:type="fixed"/>
        <w:tblLook w:val="04A0" w:firstRow="1" w:lastRow="0" w:firstColumn="0" w:lastColumn="0" w:noHBand="0" w:noVBand="1"/>
      </w:tblPr>
      <w:tblGrid>
        <w:gridCol w:w="5000"/>
        <w:gridCol w:w="3000"/>
        <w:gridCol w:w="6838"/>
      </w:tblGrid>
      <w:tr>
        <w:trPr>
          <w:tblHeader/>
        </w:trPr>
        <w:tc>
          <w:tcPr>
            <w:tcW w:w="5000" w:type="dxa"/>
            <w:shd w:val="clear" w:color="auto" w:fill="F2F2F2"/>
          </w:tcPr>
          <w:p>
            <w:pPr>
              <w:bidi/>
            </w:pPr>
            <w:r>
              <w:rPr>
                <w:rtl/>
              </w:rPr>
              <w:t xml:space="preserve">الخطر</w:t>
            </w:r>
          </w:p>
        </w:tc>
        <w:tc>
          <w:tcPr>
            <w:tcW w:w="3000" w:type="dxa"/>
            <w:shd w:val="clear" w:color="auto" w:fill="F2F2F2"/>
          </w:tcPr>
          <w:p>
            <w:pPr>
              <w:bidi/>
            </w:pPr>
            <w:r>
              <w:rPr>
                <w:rtl/>
              </w:rPr>
              <w:t xml:space="preserve">الأثر</w:t>
            </w:r>
          </w:p>
        </w:tc>
        <w:tc>
          <w:tcPr>
            <w:tcW w:w="6838" w:type="dxa"/>
            <w:shd w:val="clear" w:color="auto" w:fill="F2F2F2"/>
          </w:tcPr>
          <w:p>
            <w:pPr>
              <w:bidi/>
            </w:pPr>
            <w:r>
              <w:rPr>
                <w:rtl/>
              </w:rPr>
              <w:t xml:space="preserve">المعالجة</w:t>
            </w:r>
          </w:p>
        </w:tc>
      </w:tr>
      <w:tr>
        <w:tc>
          <w:tcPr>
            <w:tcW w:w="5000" w:type="dxa"/>
          </w:tcPr>
          <w:p>
            <w:pPr>
              <w:bidi/>
            </w:pPr>
            <w:r>
              <w:rPr>
                <w:rtl/>
              </w:rPr>
              <w:t xml:space="preserve">تأخر أعضاء هيئة التدريس في تسليم توصيف وتقارير المقررات</w:t>
            </w:r>
          </w:p>
        </w:tc>
        <w:tc>
          <w:tcPr>
            <w:tcW w:w="3000" w:type="dxa"/>
          </w:tcPr>
          <w:p>
            <w:pPr>
              <w:bidi/>
            </w:pPr>
            <w:r>
              <w:rPr>
                <w:rtl/>
              </w:rPr>
              <w:t xml:space="preserve">نقص الأدلة وتأخر التقرير السنوي</w:t>
            </w:r>
          </w:p>
        </w:tc>
        <w:tc>
          <w:tcPr>
            <w:tcW w:w="6838" w:type="dxa"/>
          </w:tcPr>
          <w:p>
            <w:pPr>
              <w:bidi/>
            </w:pPr>
            <w:r>
              <w:rPr>
                <w:rtl/>
              </w:rPr>
              <w:t xml:space="preserve">مواعيد معلنة مسبقًا، نماذج جاهزة، تذكير أسبوعي ورفع المتأخرين لرئيس القسم</w:t>
            </w:r>
          </w:p>
        </w:tc>
      </w:tr>
      <w:tr>
        <w:tc>
          <w:tcPr>
            <w:tcW w:w="5000" w:type="dxa"/>
          </w:tcPr>
          <w:p>
            <w:pPr>
              <w:bidi/>
            </w:pPr>
            <w:r>
              <w:rPr>
                <w:rtl/>
              </w:rPr>
              <w:t xml:space="preserve">ضعف نسبة الاستجابة على الاستبانات</w:t>
            </w:r>
          </w:p>
        </w:tc>
        <w:tc>
          <w:tcPr>
            <w:tcW w:w="3000" w:type="dxa"/>
          </w:tcPr>
          <w:p>
            <w:pPr>
              <w:bidi/>
            </w:pPr>
            <w:r>
              <w:rPr>
                <w:rtl/>
              </w:rPr>
              <w:t xml:space="preserve">نتائج غير ممثلة</w:t>
            </w:r>
          </w:p>
        </w:tc>
        <w:tc>
          <w:tcPr>
            <w:tcW w:w="6838" w:type="dxa"/>
          </w:tcPr>
          <w:p>
            <w:pPr>
              <w:bidi/>
            </w:pPr>
            <w:r>
              <w:rPr>
                <w:rtl/>
              </w:rPr>
              <w:t xml:space="preserve">تطبيق الاستبانة داخل وقت المحاضرة، والتواصل مع الخريجين عبر شبكات التواصل المهني</w:t>
            </w:r>
          </w:p>
        </w:tc>
      </w:tr>
      <w:tr>
        <w:tc>
          <w:tcPr>
            <w:tcW w:w="5000" w:type="dxa"/>
          </w:tcPr>
          <w:p>
            <w:pPr>
              <w:bidi/>
            </w:pPr>
            <w:r>
              <w:rPr>
                <w:rtl/>
              </w:rPr>
              <w:t xml:space="preserve">صعوبة قياس النواتج في المقررات الاستوديو</w:t>
            </w:r>
          </w:p>
        </w:tc>
        <w:tc>
          <w:tcPr>
            <w:tcW w:w="3000" w:type="dxa"/>
          </w:tcPr>
          <w:p>
            <w:pPr>
              <w:bidi/>
            </w:pPr>
            <w:r>
              <w:rPr>
                <w:rtl/>
              </w:rPr>
              <w:t xml:space="preserve">قياس غير دقيق</w:t>
            </w:r>
          </w:p>
        </w:tc>
        <w:tc>
          <w:tcPr>
            <w:tcW w:w="6838" w:type="dxa"/>
          </w:tcPr>
          <w:p>
            <w:pPr>
              <w:bidi/>
            </w:pPr>
            <w:r>
              <w:rPr>
                <w:rtl/>
              </w:rPr>
              <w:t xml:space="preserve">معايير وصفية (Rubrics) موحدة وتحكيم ثنائي للمشاريع</w:t>
            </w:r>
          </w:p>
        </w:tc>
      </w:tr>
      <w:tr>
        <w:tc>
          <w:tcPr>
            <w:tcW w:w="5000" w:type="dxa"/>
          </w:tcPr>
          <w:p>
            <w:pPr>
              <w:bidi/>
            </w:pPr>
            <w:r>
              <w:rPr>
                <w:rtl/>
              </w:rPr>
              <w:t xml:space="preserve">تغيّر أعضاء اللجنة أثناء العام</w:t>
            </w:r>
          </w:p>
        </w:tc>
        <w:tc>
          <w:tcPr>
            <w:tcW w:w="3000" w:type="dxa"/>
          </w:tcPr>
          <w:p>
            <w:pPr>
              <w:bidi/>
            </w:pPr>
            <w:r>
              <w:rPr>
                <w:rtl/>
              </w:rPr>
              <w:t xml:space="preserve">انقطاع المتابعة</w:t>
            </w:r>
          </w:p>
        </w:tc>
        <w:tc>
          <w:tcPr>
            <w:tcW w:w="6838" w:type="dxa"/>
          </w:tcPr>
          <w:p>
            <w:pPr>
              <w:bidi/>
            </w:pPr>
            <w:r>
              <w:rPr>
                <w:rtl/>
              </w:rPr>
              <w:t xml:space="preserve">توثيق الإجراءات والملفات في مستودع مشترك، وعضو بديل لكل ملف</w:t>
            </w:r>
          </w:p>
        </w:tc>
      </w:tr>
      <w:tr>
        <w:tc>
          <w:tcPr>
            <w:tcW w:w="5000" w:type="dxa"/>
          </w:tcPr>
          <w:p>
            <w:pPr>
              <w:bidi/>
            </w:pPr>
            <w:r>
              <w:rPr>
                <w:rtl/>
              </w:rPr>
              <w:t xml:space="preserve">تحديث معايير أو نماذج المركز الوطني</w:t>
            </w:r>
          </w:p>
        </w:tc>
        <w:tc>
          <w:tcPr>
            <w:tcW w:w="3000" w:type="dxa"/>
          </w:tcPr>
          <w:p>
            <w:pPr>
              <w:bidi/>
            </w:pPr>
            <w:r>
              <w:rPr>
                <w:rtl/>
              </w:rPr>
              <w:t xml:space="preserve">إعادة العمل</w:t>
            </w:r>
          </w:p>
        </w:tc>
        <w:tc>
          <w:tcPr>
            <w:tcW w:w="6838" w:type="dxa"/>
          </w:tcPr>
          <w:p>
            <w:pPr>
              <w:bidi/>
            </w:pPr>
            <w:r>
              <w:rPr>
                <w:rtl/>
              </w:rPr>
              <w:t xml:space="preserve">متابعة تعاميم عمادة الجودة واعتماد أحدث النماذج فور صدورها</w:t>
            </w:r>
          </w:p>
        </w:tc>
      </w:tr>
    </w:tbl>
    <w:p>
      <w:pPr>
        <w:pStyle w:val="Heading2"/>
        <w:bidi/>
      </w:pPr>
      <w:r>
        <w:rPr>
          <w:b/>
          <w:bCs/>
          <w:sz w:val="30"/>
          <w:rtl/>
          <w:bCs/>
          <w:szCs w:val="30"/>
        </w:rPr>
        <w:t xml:space="preserve">المتابعة والتقارير</w:t>
      </w:r>
    </w:p>
    <w:tbl>
      <w:tblPr>
        <w:bidiVisual/>
        <w:tblStyle w:val="TableGrid"/>
        <w:tblW w:w="0" w:type="auto"/>
        <w:tblLayout w:type="fixed"/>
        <w:tblLook w:val="04A0" w:firstRow="1" w:lastRow="0" w:firstColumn="0" w:lastColumn="0" w:noHBand="0" w:noVBand="1"/>
      </w:tblPr>
      <w:tblGrid>
        <w:gridCol w:w="6000"/>
        <w:gridCol w:w="3500"/>
        <w:gridCol w:w="5338"/>
      </w:tblGrid>
      <w:tr>
        <w:trPr>
          <w:tblHeader/>
        </w:trPr>
        <w:tc>
          <w:tcPr>
            <w:tcW w:w="6000" w:type="dxa"/>
            <w:shd w:val="clear" w:color="auto" w:fill="F2F2F2"/>
          </w:tcPr>
          <w:p>
            <w:pPr>
              <w:bidi/>
            </w:pPr>
            <w:r>
              <w:rPr>
                <w:rtl/>
              </w:rPr>
              <w:t xml:space="preserve">التقرير</w:t>
            </w:r>
          </w:p>
        </w:tc>
        <w:tc>
          <w:tcPr>
            <w:tcW w:w="3500" w:type="dxa"/>
            <w:shd w:val="clear" w:color="auto" w:fill="F2F2F2"/>
          </w:tcPr>
          <w:p>
            <w:pPr>
              <w:bidi/>
            </w:pPr>
            <w:r>
              <w:rPr>
                <w:rtl/>
              </w:rPr>
              <w:t xml:space="preserve">التوقيت</w:t>
            </w:r>
          </w:p>
        </w:tc>
        <w:tc>
          <w:tcPr>
            <w:tcW w:w="5338" w:type="dxa"/>
            <w:shd w:val="clear" w:color="auto" w:fill="F2F2F2"/>
          </w:tcPr>
          <w:p>
            <w:pPr>
              <w:bidi/>
            </w:pPr>
            <w:r>
              <w:rPr>
                <w:rtl/>
              </w:rPr>
              <w:t xml:space="preserve">يُرفع إلى</w:t>
            </w:r>
          </w:p>
        </w:tc>
      </w:tr>
      <w:tr>
        <w:tc>
          <w:tcPr>
            <w:tcW w:w="6000" w:type="dxa"/>
          </w:tcPr>
          <w:p>
            <w:pPr>
              <w:bidi/>
            </w:pPr>
            <w:r>
              <w:rPr>
                <w:rtl/>
              </w:rPr>
              <w:t xml:space="preserve">محضر اجتماع اللجنة</w:t>
            </w:r>
          </w:p>
        </w:tc>
        <w:tc>
          <w:tcPr>
            <w:tcW w:w="3500" w:type="dxa"/>
          </w:tcPr>
          <w:p>
            <w:pPr>
              <w:bidi/>
            </w:pPr>
            <w:r>
              <w:rPr>
                <w:rtl/>
              </w:rPr>
              <w:t xml:space="preserve">بعد كل اجتماع (15 اجتماعًا كحد أدنى)</w:t>
            </w:r>
          </w:p>
        </w:tc>
        <w:tc>
          <w:tcPr>
            <w:tcW w:w="5338" w:type="dxa"/>
          </w:tcPr>
          <w:p>
            <w:pPr>
              <w:bidi/>
            </w:pPr>
            <w:r>
              <w:rPr>
                <w:rtl/>
              </w:rPr>
              <w:t xml:space="preserve">مجلس القسم</w:t>
            </w:r>
          </w:p>
        </w:tc>
      </w:tr>
      <w:tr>
        <w:tc>
          <w:tcPr>
            <w:tcW w:w="6000" w:type="dxa"/>
          </w:tcPr>
          <w:p>
            <w:pPr>
              <w:bidi/>
            </w:pPr>
            <w:r>
              <w:rPr>
                <w:rtl/>
              </w:rPr>
              <w:t xml:space="preserve">تقرير متابعة تنفيذ الخطة (منجز / جارٍ / متأخر)</w:t>
            </w:r>
          </w:p>
        </w:tc>
        <w:tc>
          <w:tcPr>
            <w:tcW w:w="3500" w:type="dxa"/>
          </w:tcPr>
          <w:p>
            <w:pPr>
              <w:bidi/>
            </w:pPr>
            <w:r>
              <w:rPr>
                <w:rtl/>
              </w:rPr>
              <w:t xml:space="preserve">نهاية كل فصل</w:t>
            </w:r>
          </w:p>
        </w:tc>
        <w:tc>
          <w:tcPr>
            <w:tcW w:w="5338" w:type="dxa"/>
          </w:tcPr>
          <w:p>
            <w:pPr>
              <w:bidi/>
            </w:pPr>
            <w:r>
              <w:rPr>
                <w:rtl/>
              </w:rPr>
              <w:t xml:space="preserve">لجنة توجيه الجودة بالقسم ووكالة الكلية للتطوير والجودة</w:t>
            </w:r>
          </w:p>
        </w:tc>
      </w:tr>
      <w:tr>
        <w:tc>
          <w:tcPr>
            <w:tcW w:w="6000" w:type="dxa"/>
          </w:tcPr>
          <w:p>
            <w:pPr>
              <w:bidi/>
            </w:pPr>
            <w:r>
              <w:rPr>
                <w:rtl/>
              </w:rPr>
              <w:t xml:space="preserve">التقرير السنوي للبرنامج + خطة التحسين</w:t>
            </w:r>
          </w:p>
        </w:tc>
        <w:tc>
          <w:tcPr>
            <w:tcW w:w="3500" w:type="dxa"/>
          </w:tcPr>
          <w:p>
            <w:pPr>
              <w:bidi/>
            </w:pPr>
            <w:r>
              <w:rPr>
                <w:rtl/>
              </w:rPr>
              <w:t xml:space="preserve">نهاية العام الجامعي</w:t>
            </w:r>
          </w:p>
        </w:tc>
        <w:tc>
          <w:tcPr>
            <w:tcW w:w="5338" w:type="dxa"/>
          </w:tcPr>
          <w:p>
            <w:pPr>
              <w:bidi/>
            </w:pPr>
            <w:r>
              <w:rPr>
                <w:rtl/>
              </w:rPr>
              <w:t xml:space="preserve">مجلس الكلية وعمادة الجودة</w:t>
            </w:r>
          </w:p>
        </w:tc>
      </w:tr>
    </w:tbl>
    <w:p>
      <w:pPr>
        <w:bidi/>
      </w:pPr>
      <w:r>
        <w:rPr>
          <w:rtl/>
        </w:rPr>
        <w:t xml:space="preserve">يُقيّم نجاح الخطة بنسبة الأنشطة المنفذة في مواعيدها ومدى تحقق المستهدفات، وتُنقل الأنشطة غير المنجزة إلى خطة العام القادم مع بيان السبب.</w:t>
      </w:r>
    </w:p>
    <w:sectPr>
      <w:pgSz w:w="16838" w:h="11906" w:orient="landscape"/>
      <w:pgMar w:top="1000" w:right="1000" w:bottom="1000" w:left="10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الخطة التشغيلية للجنة الجودة والاعتماد الأكاديمي – قسم التصميم</dc:title>
  <dc:description>Claude Docs node/df8eb535-50d6@36 docx-w6</dc:description>
  <cp:revision>36</cp:revision>
</cp:coreProperties>
</file>