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pPr>
      <w:r>
        <w:rPr>
          <w:rFonts w:ascii="Sakkal Majalla" w:hAnsi="Sakkal Majalla" w:cs="Sakkal Majalla"/>
          <w:b/>
          <w:color w:val="1F3864"/>
          <w:sz w:val="36"/>
          <w:rtl/>
          <w:bCs/>
          <w:szCs w:val="36"/>
        </w:rPr>
        <w:t>الخطة التشغيلية للفصل الأول 1448هـ – لجنة الجودة والاعتماد – قسم التصميم</w:t>
      </w:r>
    </w:p>
    <w:p>
      <w:pPr>
        <w:bidi/>
        <w:spacing w:after="200"/>
      </w:pPr>
      <w:r>
        <w:rPr>
          <w:rFonts w:ascii="Sakkal Majalla" w:hAnsi="Sakkal Majalla" w:cs="Sakkal Majalla"/>
          <w:color w:val="595959"/>
          <w:sz w:val="22"/>
          <w:rtl/>
          <w:szCs w:val="22"/>
        </w:rPr>
        <w:t>جامعة الملك سعود · إعداد: أ. نوره السعدون، مقرر اللجنة · الأعضاء: د. لمى الحركان، أ. لينا ولي، أ. وفاء الخضير</w:t>
      </w:r>
    </w:p>
    <w:p>
      <w:pPr>
        <w:bidi/>
        <w:spacing w:after="240"/>
      </w:pPr>
      <w:r>
        <w:rPr>
          <w:rFonts w:ascii="Sakkal Majalla" w:hAnsi="Sakkal Majalla" w:cs="Sakkal Majalla"/>
          <w:sz w:val="24"/>
          <w:rtl/>
          <w:szCs w:val="24"/>
        </w:rPr>
        <w:t>تغطي هذه الخطة الفصل الدراسي الأول من العام الجامعي 1448هـ، وتنفّذ مهام اللجنة الـ 14 الواردة في مسودة اللجان الأكاديمية، وتنتهي بتقرير متابعة فصلي يُرفع للجنة توجيه الجودة ووكالة الكلية للتطوير والجودة.</w:t>
      </w:r>
    </w:p>
    <w:p>
      <w:pPr>
        <w:bidi/>
        <w:spacing w:after="120"/>
      </w:pPr>
      <w:r>
        <w:rPr>
          <w:rFonts w:ascii="Sakkal Majalla" w:hAnsi="Sakkal Majalla" w:cs="Sakkal Majalla"/>
          <w:b/>
          <w:color w:val="1F3864"/>
          <w:sz w:val="30"/>
          <w:rtl/>
          <w:bCs/>
          <w:szCs w:val="30"/>
        </w:rPr>
        <w:t>المهام والأنشطة</w:t>
      </w:r>
    </w:p>
    <w:p>
      <w:pPr>
        <w:bidi/>
        <w:spacing w:after="120"/>
      </w:pPr>
      <w:r>
        <w:rPr>
          <w:rFonts w:ascii="Sakkal Majalla" w:hAnsi="Sakkal Majalla" w:cs="Sakkal Majalla"/>
          <w:sz w:val="24"/>
          <w:rtl/>
          <w:szCs w:val="24"/>
        </w:rPr>
        <w:t>كل صف مهمة من مهام اللجنة، ومعها أنشطة هذا الفصل فقط. المهمتان 5 و 7 تُستكملان في الفصل الثاني، ويقتصر نشاطهما الآن على جمع بيانات الفصل الأول.</w:t>
      </w:r>
    </w:p>
    <w:tbl>
      <w:tblPr>
        <w:tblStyle w:val="TableGrid"/>
        <w:tblW w:type="auto" w:w="0"/>
        <w:tblLook w:firstColumn="1" w:firstRow="1" w:lastColumn="0" w:lastRow="0" w:noHBand="0" w:noVBand="1" w:val="04A0"/>
        <w:bidiVisual/>
      </w:tblPr>
      <w:tblGrid>
        <w:gridCol w:w="500"/>
        <w:gridCol w:w="2400"/>
        <w:gridCol w:w="5838"/>
        <w:gridCol w:w="1900"/>
        <w:gridCol w:w="1300"/>
        <w:gridCol w:w="1500"/>
        <w:gridCol w:w="1400"/>
      </w:tblGrid>
      <w:tr>
        <w:trPr>
          <w:tblHeader/>
        </w:trPr>
        <w:tc>
          <w:tcPr>
            <w:tcW w:type="dxa" w:w="500"/>
            <w:shd w:val="clear" w:color="auto" w:fill="D9E2F3"/>
          </w:tcPr>
          <w:p>
            <w:pPr>
              <w:bidi/>
              <w:spacing w:after="0"/>
            </w:pPr>
            <w:r>
              <w:rPr>
                <w:rFonts w:ascii="Sakkal Majalla" w:hAnsi="Sakkal Majalla" w:cs="Sakkal Majalla"/>
                <w:b/>
                <w:sz w:val="22"/>
                <w:rtl/>
                <w:bCs/>
                <w:szCs w:val="22"/>
              </w:rPr>
              <w:t>م</w:t>
            </w:r>
          </w:p>
        </w:tc>
        <w:tc>
          <w:tcPr>
            <w:tcW w:type="dxa" w:w="2400"/>
            <w:shd w:val="clear" w:color="auto" w:fill="D9E2F3"/>
          </w:tcPr>
          <w:p>
            <w:pPr>
              <w:bidi/>
              <w:spacing w:after="0"/>
            </w:pPr>
            <w:r>
              <w:rPr>
                <w:rFonts w:ascii="Sakkal Majalla" w:hAnsi="Sakkal Majalla" w:cs="Sakkal Majalla"/>
                <w:b/>
                <w:sz w:val="22"/>
                <w:rtl/>
                <w:bCs/>
                <w:szCs w:val="22"/>
              </w:rPr>
              <w:t>المهمة</w:t>
            </w:r>
          </w:p>
        </w:tc>
        <w:tc>
          <w:tcPr>
            <w:tcW w:type="dxa" w:w="5838"/>
            <w:shd w:val="clear" w:color="auto" w:fill="D9E2F3"/>
          </w:tcPr>
          <w:p>
            <w:pPr>
              <w:bidi/>
              <w:spacing w:after="0"/>
            </w:pPr>
            <w:r>
              <w:rPr>
                <w:rFonts w:ascii="Sakkal Majalla" w:hAnsi="Sakkal Majalla" w:cs="Sakkal Majalla"/>
                <w:b/>
                <w:sz w:val="22"/>
                <w:rtl/>
                <w:bCs/>
                <w:szCs w:val="22"/>
              </w:rPr>
              <w:t>أنشطة الفصل الأول</w:t>
            </w:r>
          </w:p>
        </w:tc>
        <w:tc>
          <w:tcPr>
            <w:tcW w:type="dxa" w:w="1900"/>
            <w:shd w:val="clear" w:color="auto" w:fill="D9E2F3"/>
          </w:tcPr>
          <w:p>
            <w:pPr>
              <w:bidi/>
              <w:spacing w:after="0"/>
            </w:pPr>
            <w:r>
              <w:rPr>
                <w:rFonts w:ascii="Sakkal Majalla" w:hAnsi="Sakkal Majalla" w:cs="Sakkal Majalla"/>
                <w:b/>
                <w:sz w:val="22"/>
                <w:rtl/>
                <w:bCs/>
                <w:szCs w:val="22"/>
              </w:rPr>
              <w:t>المسؤول</w:t>
            </w:r>
          </w:p>
        </w:tc>
        <w:tc>
          <w:tcPr>
            <w:tcW w:type="dxa" w:w="1300"/>
            <w:shd w:val="clear" w:color="auto" w:fill="D9E2F3"/>
          </w:tcPr>
          <w:p>
            <w:pPr>
              <w:bidi/>
              <w:spacing w:after="0"/>
            </w:pPr>
            <w:r>
              <w:rPr>
                <w:rFonts w:ascii="Sakkal Majalla" w:hAnsi="Sakkal Majalla" w:cs="Sakkal Majalla"/>
                <w:b/>
                <w:sz w:val="22"/>
                <w:rtl/>
                <w:bCs/>
                <w:szCs w:val="22"/>
              </w:rPr>
              <w:t>الأسبوع</w:t>
            </w:r>
          </w:p>
        </w:tc>
        <w:tc>
          <w:tcPr>
            <w:tcW w:type="dxa" w:w="1500"/>
            <w:shd w:val="clear" w:color="auto" w:fill="D9E2F3"/>
          </w:tcPr>
          <w:p>
            <w:pPr>
              <w:bidi/>
              <w:spacing w:after="0"/>
            </w:pPr>
            <w:r>
              <w:rPr>
                <w:rFonts w:ascii="Sakkal Majalla" w:hAnsi="Sakkal Majalla" w:cs="Sakkal Majalla"/>
                <w:b/>
                <w:sz w:val="22"/>
                <w:rtl/>
                <w:bCs/>
                <w:szCs w:val="22"/>
              </w:rPr>
              <w:t>المخرج</w:t>
            </w:r>
          </w:p>
        </w:tc>
        <w:tc>
          <w:tcPr>
            <w:tcW w:type="dxa" w:w="1400"/>
            <w:shd w:val="clear" w:color="auto" w:fill="D9E2F3"/>
          </w:tcPr>
          <w:p>
            <w:pPr>
              <w:bidi/>
              <w:spacing w:after="0"/>
            </w:pPr>
            <w:r>
              <w:rPr>
                <w:rFonts w:ascii="Sakkal Majalla" w:hAnsi="Sakkal Majalla" w:cs="Sakkal Majalla"/>
                <w:b/>
                <w:sz w:val="22"/>
                <w:rtl/>
                <w:bCs/>
                <w:szCs w:val="22"/>
              </w:rPr>
              <w:t>الحالة</w:t>
            </w:r>
          </w:p>
        </w:tc>
      </w:tr>
      <w:tr>
        <w:tc>
          <w:tcPr>
            <w:tcW w:type="dxa" w:w="500"/>
          </w:tcPr>
          <w:p>
            <w:pPr>
              <w:bidi/>
              <w:spacing w:after="0"/>
            </w:pPr>
            <w:r>
              <w:rPr>
                <w:rFonts w:ascii="Sakkal Majalla" w:hAnsi="Sakkal Majalla" w:cs="Sakkal Majalla"/>
                <w:sz w:val="22"/>
                <w:rtl/>
                <w:szCs w:val="22"/>
              </w:rPr>
              <w:t>1</w:t>
            </w:r>
          </w:p>
        </w:tc>
        <w:tc>
          <w:tcPr>
            <w:tcW w:type="dxa" w:w="2400"/>
          </w:tcPr>
          <w:p>
            <w:pPr>
              <w:bidi/>
              <w:spacing w:after="0"/>
            </w:pPr>
            <w:r>
              <w:rPr>
                <w:rFonts w:ascii="Sakkal Majalla" w:hAnsi="Sakkal Majalla" w:cs="Sakkal Majalla"/>
                <w:sz w:val="22"/>
                <w:rtl/>
                <w:szCs w:val="22"/>
              </w:rPr>
              <w:t>متابعة تحديث جودة وتواصيف البرنامج والمقررات</w:t>
            </w:r>
          </w:p>
        </w:tc>
        <w:tc>
          <w:tcPr>
            <w:tcW w:type="dxa" w:w="5838"/>
          </w:tcPr>
          <w:p>
            <w:pPr>
              <w:bidi/>
              <w:spacing w:after="0"/>
            </w:pPr>
            <w:r>
              <w:rPr>
                <w:rFonts w:ascii="Sakkal Majalla" w:hAnsi="Sakkal Majalla" w:cs="Sakkal Majalla"/>
                <w:sz w:val="22"/>
                <w:rtl/>
                <w:szCs w:val="22"/>
              </w:rPr>
              <w:t>(1) توزيع ملف منسقي المقررات. (2) إرسال رابط محتوى المقررات. (3) استلام توصيفات المقررات ومراجعتها بقائمة تدقيق. (4) مراجعة توصيف البرنامج.</w:t>
            </w:r>
          </w:p>
        </w:tc>
        <w:tc>
          <w:tcPr>
            <w:tcW w:type="dxa" w:w="1900"/>
          </w:tcPr>
          <w:p>
            <w:pPr>
              <w:bidi/>
              <w:spacing w:after="0"/>
            </w:pPr>
            <w:r>
              <w:rPr>
                <w:rFonts w:ascii="Sakkal Majalla" w:hAnsi="Sakkal Majalla" w:cs="Sakkal Majalla"/>
                <w:sz w:val="22"/>
                <w:rtl/>
                <w:szCs w:val="22"/>
              </w:rPr>
              <w:t>أ. لينا ولي</w:t>
            </w:r>
          </w:p>
        </w:tc>
        <w:tc>
          <w:tcPr>
            <w:tcW w:type="dxa" w:w="1300"/>
          </w:tcPr>
          <w:p>
            <w:pPr>
              <w:bidi/>
              <w:spacing w:after="0"/>
            </w:pPr>
            <w:r>
              <w:rPr>
                <w:rFonts w:ascii="Sakkal Majalla" w:hAnsi="Sakkal Majalla" w:cs="Sakkal Majalla"/>
                <w:sz w:val="22"/>
                <w:rtl/>
                <w:szCs w:val="22"/>
              </w:rPr>
              <w:t>1–6</w:t>
            </w:r>
          </w:p>
        </w:tc>
        <w:tc>
          <w:tcPr>
            <w:tcW w:type="dxa" w:w="1500"/>
          </w:tcPr>
          <w:p>
            <w:pPr>
              <w:bidi/>
              <w:spacing w:after="0"/>
            </w:pPr>
            <w:r>
              <w:rPr>
                <w:rFonts w:ascii="Sakkal Majalla" w:hAnsi="Sakkal Majalla" w:cs="Sakkal Majalla"/>
                <w:sz w:val="22"/>
                <w:rtl/>
                <w:szCs w:val="22"/>
              </w:rPr>
              <w:t>توصيفات محدّثة 100%</w:t>
            </w:r>
          </w:p>
        </w:tc>
        <w:tc>
          <w:tcPr>
            <w:tcW w:type="dxa" w:w="1400"/>
          </w:tcPr>
          <w:p>
            <w:pPr>
              <w:bidi/>
              <w:spacing w:after="0"/>
            </w:pPr>
            <w:r>
              <w:rPr>
                <w:rFonts w:ascii="Sakkal Majalla" w:hAnsi="Sakkal Majalla" w:cs="Sakkal Majalla"/>
                <w:sz w:val="22"/>
                <w:rtl/>
                <w:szCs w:val="22"/>
              </w:rPr>
              <w:t>(1) و(2) منجز، (3) و(4) جارٍ</w:t>
            </w:r>
          </w:p>
        </w:tc>
      </w:tr>
      <w:tr>
        <w:tc>
          <w:tcPr>
            <w:tcW w:type="dxa" w:w="500"/>
          </w:tcPr>
          <w:p>
            <w:pPr>
              <w:bidi/>
              <w:spacing w:after="0"/>
            </w:pPr>
            <w:r>
              <w:rPr>
                <w:rFonts w:ascii="Sakkal Majalla" w:hAnsi="Sakkal Majalla" w:cs="Sakkal Majalla"/>
                <w:sz w:val="22"/>
                <w:rtl/>
                <w:szCs w:val="22"/>
              </w:rPr>
              <w:t>2</w:t>
            </w:r>
          </w:p>
        </w:tc>
        <w:tc>
          <w:tcPr>
            <w:tcW w:type="dxa" w:w="2400"/>
          </w:tcPr>
          <w:p>
            <w:pPr>
              <w:bidi/>
              <w:spacing w:after="0"/>
            </w:pPr>
            <w:r>
              <w:rPr>
                <w:rFonts w:ascii="Sakkal Majalla" w:hAnsi="Sakkal Majalla" w:cs="Sakkal Majalla"/>
                <w:sz w:val="22"/>
                <w:rtl/>
                <w:szCs w:val="22"/>
              </w:rPr>
              <w:t>إعداد خطة قياس نواتج التعلم</w:t>
            </w:r>
          </w:p>
        </w:tc>
        <w:tc>
          <w:tcPr>
            <w:tcW w:type="dxa" w:w="5838"/>
          </w:tcPr>
          <w:p>
            <w:pPr>
              <w:bidi/>
              <w:spacing w:after="0"/>
            </w:pPr>
            <w:r>
              <w:rPr>
                <w:rFonts w:ascii="Sakkal Majalla" w:hAnsi="Sakkal Majalla" w:cs="Sakkal Majalla"/>
                <w:sz w:val="22"/>
                <w:rtl/>
                <w:szCs w:val="22"/>
              </w:rPr>
              <w:t>(1) تحديث مصفوفة النواتج. (2) تحديد مقررات القياس لهذا الفصل. (3) إعداد المعايير الوصفية (Rubrics) لمشاريع الاستوديو. (4) اعتماد الخطة من مجلس القسم.</w:t>
            </w:r>
          </w:p>
        </w:tc>
        <w:tc>
          <w:tcPr>
            <w:tcW w:type="dxa" w:w="1900"/>
          </w:tcPr>
          <w:p>
            <w:pPr>
              <w:bidi/>
              <w:spacing w:after="0"/>
            </w:pPr>
            <w:r>
              <w:rPr>
                <w:rFonts w:ascii="Sakkal Majalla" w:hAnsi="Sakkal Majalla" w:cs="Sakkal Majalla"/>
                <w:sz w:val="22"/>
                <w:rtl/>
                <w:szCs w:val="22"/>
              </w:rPr>
              <w:t>د. لمى الحركان</w:t>
            </w:r>
          </w:p>
        </w:tc>
        <w:tc>
          <w:tcPr>
            <w:tcW w:type="dxa" w:w="1300"/>
          </w:tcPr>
          <w:p>
            <w:pPr>
              <w:bidi/>
              <w:spacing w:after="0"/>
            </w:pPr>
            <w:r>
              <w:rPr>
                <w:rFonts w:ascii="Sakkal Majalla" w:hAnsi="Sakkal Majalla" w:cs="Sakkal Majalla"/>
                <w:sz w:val="22"/>
                <w:rtl/>
                <w:szCs w:val="22"/>
              </w:rPr>
              <w:t>4–8</w:t>
            </w:r>
          </w:p>
        </w:tc>
        <w:tc>
          <w:tcPr>
            <w:tcW w:type="dxa" w:w="1500"/>
          </w:tcPr>
          <w:p>
            <w:pPr>
              <w:bidi/>
              <w:spacing w:after="0"/>
            </w:pPr>
            <w:r>
              <w:rPr>
                <w:rFonts w:ascii="Sakkal Majalla" w:hAnsi="Sakkal Majalla" w:cs="Sakkal Majalla"/>
                <w:sz w:val="22"/>
                <w:rtl/>
                <w:szCs w:val="22"/>
              </w:rPr>
              <w:t>خطة قياس معتمدة</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3</w:t>
            </w:r>
          </w:p>
        </w:tc>
        <w:tc>
          <w:tcPr>
            <w:tcW w:type="dxa" w:w="2400"/>
          </w:tcPr>
          <w:p>
            <w:pPr>
              <w:bidi/>
              <w:spacing w:after="0"/>
            </w:pPr>
            <w:r>
              <w:rPr>
                <w:rFonts w:ascii="Sakkal Majalla" w:hAnsi="Sakkal Majalla" w:cs="Sakkal Majalla"/>
                <w:sz w:val="22"/>
                <w:rtl/>
                <w:szCs w:val="22"/>
              </w:rPr>
              <w:t>قياس نواتج التعلم</w:t>
            </w:r>
          </w:p>
        </w:tc>
        <w:tc>
          <w:tcPr>
            <w:tcW w:type="dxa" w:w="5838"/>
          </w:tcPr>
          <w:p>
            <w:pPr>
              <w:bidi/>
              <w:spacing w:after="0"/>
            </w:pPr>
            <w:r>
              <w:rPr>
                <w:rFonts w:ascii="Sakkal Majalla" w:hAnsi="Sakkal Majalla" w:cs="Sakkal Majalla"/>
                <w:sz w:val="22"/>
                <w:rtl/>
                <w:szCs w:val="22"/>
              </w:rPr>
              <w:t>(1) ورشة لأعضاء هيئة التدريس عن القياس في الاستوديو. (2) تحكيم منتصف ونهاية الفصل (Jury). (3) جمع نتائج القياس المباشر. (4) استبانات تقييم المقرر. (5) تحليل النتائج.</w:t>
            </w:r>
          </w:p>
        </w:tc>
        <w:tc>
          <w:tcPr>
            <w:tcW w:type="dxa" w:w="1900"/>
          </w:tcPr>
          <w:p>
            <w:pPr>
              <w:bidi/>
              <w:spacing w:after="0"/>
            </w:pPr>
            <w:r>
              <w:rPr>
                <w:rFonts w:ascii="Sakkal Majalla" w:hAnsi="Sakkal Majalla" w:cs="Sakkal Majalla"/>
                <w:sz w:val="22"/>
                <w:rtl/>
                <w:szCs w:val="22"/>
              </w:rPr>
              <w:t>د. لمى الحركان + منسقو المقررات</w:t>
            </w:r>
          </w:p>
        </w:tc>
        <w:tc>
          <w:tcPr>
            <w:tcW w:type="dxa" w:w="1300"/>
          </w:tcPr>
          <w:p>
            <w:pPr>
              <w:bidi/>
              <w:spacing w:after="0"/>
            </w:pPr>
            <w:r>
              <w:rPr>
                <w:rFonts w:ascii="Sakkal Majalla" w:hAnsi="Sakkal Majalla" w:cs="Sakkal Majalla"/>
                <w:sz w:val="22"/>
                <w:rtl/>
                <w:szCs w:val="22"/>
              </w:rPr>
              <w:t>8–بعد الاختبارات</w:t>
            </w:r>
          </w:p>
        </w:tc>
        <w:tc>
          <w:tcPr>
            <w:tcW w:type="dxa" w:w="1500"/>
          </w:tcPr>
          <w:p>
            <w:pPr>
              <w:bidi/>
              <w:spacing w:after="0"/>
            </w:pPr>
            <w:r>
              <w:rPr>
                <w:rFonts w:ascii="Sakkal Majalla" w:hAnsi="Sakkal Majalla" w:cs="Sakkal Majalla"/>
                <w:sz w:val="22"/>
                <w:rtl/>
                <w:szCs w:val="22"/>
              </w:rPr>
              <w:t>تقرير قياس النواتج</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4</w:t>
            </w:r>
          </w:p>
        </w:tc>
        <w:tc>
          <w:tcPr>
            <w:tcW w:type="dxa" w:w="2400"/>
          </w:tcPr>
          <w:p>
            <w:pPr>
              <w:bidi/>
              <w:spacing w:after="0"/>
            </w:pPr>
            <w:r>
              <w:rPr>
                <w:rFonts w:ascii="Sakkal Majalla" w:hAnsi="Sakkal Majalla" w:cs="Sakkal Majalla"/>
                <w:sz w:val="22"/>
                <w:rtl/>
                <w:szCs w:val="22"/>
              </w:rPr>
              <w:t>جمع تقارير المقررات ومراجعتها</w:t>
            </w:r>
          </w:p>
        </w:tc>
        <w:tc>
          <w:tcPr>
            <w:tcW w:type="dxa" w:w="5838"/>
          </w:tcPr>
          <w:p>
            <w:pPr>
              <w:bidi/>
              <w:spacing w:after="0"/>
            </w:pPr>
            <w:r>
              <w:rPr>
                <w:rFonts w:ascii="Sakkal Majalla" w:hAnsi="Sakkal Majalla" w:cs="Sakkal Majalla"/>
                <w:sz w:val="22"/>
                <w:rtl/>
                <w:szCs w:val="22"/>
              </w:rPr>
              <w:t>(1) تعميم نموذج التقرير وموعده. (2) استلام التقارير ومراجعتها. (3) أرشفة نماذج من أعمال الطلاب (ممتاز / متوسط / ضعيف). (4) تلخيص الملاحظات.</w:t>
            </w:r>
          </w:p>
        </w:tc>
        <w:tc>
          <w:tcPr>
            <w:tcW w:type="dxa" w:w="1900"/>
          </w:tcPr>
          <w:p>
            <w:pPr>
              <w:bidi/>
              <w:spacing w:after="0"/>
            </w:pPr>
            <w:r>
              <w:rPr>
                <w:rFonts w:ascii="Sakkal Majalla" w:hAnsi="Sakkal Majalla" w:cs="Sakkal Majalla"/>
                <w:sz w:val="22"/>
                <w:rtl/>
                <w:szCs w:val="22"/>
              </w:rPr>
              <w:t>أ. لينا ولي</w:t>
            </w:r>
          </w:p>
        </w:tc>
        <w:tc>
          <w:tcPr>
            <w:tcW w:type="dxa" w:w="1300"/>
          </w:tcPr>
          <w:p>
            <w:pPr>
              <w:bidi/>
              <w:spacing w:after="0"/>
            </w:pPr>
            <w:r>
              <w:rPr>
                <w:rFonts w:ascii="Sakkal Majalla" w:hAnsi="Sakkal Majalla" w:cs="Sakkal Majalla"/>
                <w:sz w:val="22"/>
                <w:rtl/>
                <w:szCs w:val="22"/>
              </w:rPr>
              <w:t>بعد الاختبارات (خلال أسبوعين)</w:t>
            </w:r>
          </w:p>
        </w:tc>
        <w:tc>
          <w:tcPr>
            <w:tcW w:type="dxa" w:w="1500"/>
          </w:tcPr>
          <w:p>
            <w:pPr>
              <w:bidi/>
              <w:spacing w:after="0"/>
            </w:pPr>
            <w:r>
              <w:rPr>
                <w:rFonts w:ascii="Sakkal Majalla" w:hAnsi="Sakkal Majalla" w:cs="Sakkal Majalla"/>
                <w:sz w:val="22"/>
                <w:rtl/>
                <w:szCs w:val="22"/>
              </w:rPr>
              <w:t>100% من التقارير</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5</w:t>
            </w:r>
          </w:p>
        </w:tc>
        <w:tc>
          <w:tcPr>
            <w:tcW w:type="dxa" w:w="2400"/>
          </w:tcPr>
          <w:p>
            <w:pPr>
              <w:bidi/>
              <w:spacing w:after="0"/>
            </w:pPr>
            <w:r>
              <w:rPr>
                <w:rFonts w:ascii="Sakkal Majalla" w:hAnsi="Sakkal Majalla" w:cs="Sakkal Majalla"/>
                <w:sz w:val="22"/>
                <w:rtl/>
                <w:szCs w:val="22"/>
              </w:rPr>
              <w:t>إعداد التقرير السنوي للبرنامج</w:t>
            </w:r>
          </w:p>
        </w:tc>
        <w:tc>
          <w:tcPr>
            <w:tcW w:type="dxa" w:w="5838"/>
          </w:tcPr>
          <w:p>
            <w:pPr>
              <w:bidi/>
              <w:spacing w:after="0"/>
            </w:pPr>
            <w:r>
              <w:rPr>
                <w:rFonts w:ascii="Sakkal Majalla" w:hAnsi="Sakkal Majalla" w:cs="Sakkal Majalla"/>
                <w:sz w:val="22"/>
                <w:rtl/>
                <w:szCs w:val="22"/>
              </w:rPr>
              <w:t>حفظ بيانات الفصل الأول (التقارير، القياس، الاستبانات) في ملف التقرير السنوي.</w:t>
            </w:r>
          </w:p>
        </w:tc>
        <w:tc>
          <w:tcPr>
            <w:tcW w:type="dxa" w:w="1900"/>
          </w:tcPr>
          <w:p>
            <w:pPr>
              <w:bidi/>
              <w:spacing w:after="0"/>
            </w:pPr>
            <w:r>
              <w:rPr>
                <w:rFonts w:ascii="Sakkal Majalla" w:hAnsi="Sakkal Majalla" w:cs="Sakkal Majalla"/>
                <w:sz w:val="22"/>
                <w:rtl/>
                <w:szCs w:val="22"/>
              </w:rPr>
              <w:t>أ. نوره السعدون</w:t>
            </w:r>
          </w:p>
        </w:tc>
        <w:tc>
          <w:tcPr>
            <w:tcW w:type="dxa" w:w="1300"/>
          </w:tcPr>
          <w:p>
            <w:pPr>
              <w:bidi/>
              <w:spacing w:after="0"/>
            </w:pPr>
            <w:r>
              <w:rPr>
                <w:rFonts w:ascii="Sakkal Majalla" w:hAnsi="Sakkal Majalla" w:cs="Sakkal Majalla"/>
                <w:sz w:val="22"/>
                <w:rtl/>
                <w:szCs w:val="22"/>
              </w:rPr>
              <w:t>نهاية الفصل</w:t>
            </w:r>
          </w:p>
        </w:tc>
        <w:tc>
          <w:tcPr>
            <w:tcW w:type="dxa" w:w="1500"/>
          </w:tcPr>
          <w:p>
            <w:pPr>
              <w:bidi/>
              <w:spacing w:after="0"/>
            </w:pPr>
            <w:r>
              <w:rPr>
                <w:rFonts w:ascii="Sakkal Majalla" w:hAnsi="Sakkal Majalla" w:cs="Sakkal Majalla"/>
                <w:sz w:val="22"/>
                <w:rtl/>
                <w:szCs w:val="22"/>
              </w:rPr>
              <w:t>ملف بيانات جاهز</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6</w:t>
            </w:r>
          </w:p>
        </w:tc>
        <w:tc>
          <w:tcPr>
            <w:tcW w:type="dxa" w:w="2400"/>
          </w:tcPr>
          <w:p>
            <w:pPr>
              <w:bidi/>
              <w:spacing w:after="0"/>
            </w:pPr>
            <w:r>
              <w:rPr>
                <w:rFonts w:ascii="Sakkal Majalla" w:hAnsi="Sakkal Majalla" w:cs="Sakkal Majalla"/>
                <w:sz w:val="22"/>
                <w:rtl/>
                <w:szCs w:val="22"/>
              </w:rPr>
              <w:t>التواصل مع اللجان الأخرى للحصول على مؤشرات الأداء</w:t>
            </w:r>
          </w:p>
        </w:tc>
        <w:tc>
          <w:tcPr>
            <w:tcW w:type="dxa" w:w="5838"/>
          </w:tcPr>
          <w:p>
            <w:pPr>
              <w:bidi/>
              <w:spacing w:after="0"/>
            </w:pPr>
            <w:r>
              <w:rPr>
                <w:rFonts w:ascii="Sakkal Majalla" w:hAnsi="Sakkal Majalla" w:cs="Sakkal Majalla"/>
                <w:sz w:val="22"/>
                <w:rtl/>
                <w:szCs w:val="22"/>
              </w:rPr>
              <w:t>(1) حصر المؤشرات المطلوبة من كل لجنة. (2) مخاطبة اللجان بنموذج موحد وموعد تسليم. (3) متابعة الاستلام.</w:t>
            </w:r>
          </w:p>
        </w:tc>
        <w:tc>
          <w:tcPr>
            <w:tcW w:type="dxa" w:w="1900"/>
          </w:tcPr>
          <w:p>
            <w:pPr>
              <w:bidi/>
              <w:spacing w:after="0"/>
            </w:pPr>
            <w:r>
              <w:rPr>
                <w:rFonts w:ascii="Sakkal Majalla" w:hAnsi="Sakkal Majalla" w:cs="Sakkal Majalla"/>
                <w:sz w:val="22"/>
                <w:rtl/>
                <w:szCs w:val="22"/>
              </w:rPr>
              <w:t>أ. وفاء الخضير</w:t>
            </w:r>
          </w:p>
        </w:tc>
        <w:tc>
          <w:tcPr>
            <w:tcW w:type="dxa" w:w="1300"/>
          </w:tcPr>
          <w:p>
            <w:pPr>
              <w:bidi/>
              <w:spacing w:after="0"/>
            </w:pPr>
            <w:r>
              <w:rPr>
                <w:rFonts w:ascii="Sakkal Majalla" w:hAnsi="Sakkal Majalla" w:cs="Sakkal Majalla"/>
                <w:sz w:val="22"/>
                <w:rtl/>
                <w:szCs w:val="22"/>
              </w:rPr>
              <w:t>6–12</w:t>
            </w:r>
          </w:p>
        </w:tc>
        <w:tc>
          <w:tcPr>
            <w:tcW w:type="dxa" w:w="1500"/>
          </w:tcPr>
          <w:p>
            <w:pPr>
              <w:bidi/>
              <w:spacing w:after="0"/>
            </w:pPr>
            <w:r>
              <w:rPr>
                <w:rFonts w:ascii="Sakkal Majalla" w:hAnsi="Sakkal Majalla" w:cs="Sakkal Majalla"/>
                <w:sz w:val="22"/>
                <w:rtl/>
                <w:szCs w:val="22"/>
              </w:rPr>
              <w:t>بيانات اللجان مستلمة</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7</w:t>
            </w:r>
          </w:p>
        </w:tc>
        <w:tc>
          <w:tcPr>
            <w:tcW w:type="dxa" w:w="2400"/>
          </w:tcPr>
          <w:p>
            <w:pPr>
              <w:bidi/>
              <w:spacing w:after="0"/>
            </w:pPr>
            <w:r>
              <w:rPr>
                <w:rFonts w:ascii="Sakkal Majalla" w:hAnsi="Sakkal Majalla" w:cs="Sakkal Majalla"/>
                <w:sz w:val="22"/>
                <w:rtl/>
                <w:szCs w:val="22"/>
              </w:rPr>
              <w:t>إعداد تقرير مؤشرات الأداء</w:t>
            </w:r>
          </w:p>
        </w:tc>
        <w:tc>
          <w:tcPr>
            <w:tcW w:type="dxa" w:w="5838"/>
          </w:tcPr>
          <w:p>
            <w:pPr>
              <w:bidi/>
              <w:spacing w:after="0"/>
            </w:pPr>
            <w:r>
              <w:rPr>
                <w:rFonts w:ascii="Sakkal Majalla" w:hAnsi="Sakkal Majalla" w:cs="Sakkal Majalla"/>
                <w:sz w:val="22"/>
                <w:rtl/>
                <w:szCs w:val="22"/>
              </w:rPr>
              <w:t>جمع قيم مؤشرات الفصل الأول وحفظها لتقرير الفصل الثاني.</w:t>
            </w:r>
          </w:p>
        </w:tc>
        <w:tc>
          <w:tcPr>
            <w:tcW w:type="dxa" w:w="1900"/>
          </w:tcPr>
          <w:p>
            <w:pPr>
              <w:bidi/>
              <w:spacing w:after="0"/>
            </w:pPr>
            <w:r>
              <w:rPr>
                <w:rFonts w:ascii="Sakkal Majalla" w:hAnsi="Sakkal Majalla" w:cs="Sakkal Majalla"/>
                <w:sz w:val="22"/>
                <w:rtl/>
                <w:szCs w:val="22"/>
              </w:rPr>
              <w:t>أ. وفاء الخضير</w:t>
            </w:r>
          </w:p>
        </w:tc>
        <w:tc>
          <w:tcPr>
            <w:tcW w:type="dxa" w:w="1300"/>
          </w:tcPr>
          <w:p>
            <w:pPr>
              <w:bidi/>
              <w:spacing w:after="0"/>
            </w:pPr>
            <w:r>
              <w:rPr>
                <w:rFonts w:ascii="Sakkal Majalla" w:hAnsi="Sakkal Majalla" w:cs="Sakkal Majalla"/>
                <w:sz w:val="22"/>
                <w:rtl/>
                <w:szCs w:val="22"/>
              </w:rPr>
              <w:t>نهاية الفصل</w:t>
            </w:r>
          </w:p>
        </w:tc>
        <w:tc>
          <w:tcPr>
            <w:tcW w:type="dxa" w:w="1500"/>
          </w:tcPr>
          <w:p>
            <w:pPr>
              <w:bidi/>
              <w:spacing w:after="0"/>
            </w:pPr>
            <w:r>
              <w:rPr>
                <w:rFonts w:ascii="Sakkal Majalla" w:hAnsi="Sakkal Majalla" w:cs="Sakkal Majalla"/>
                <w:sz w:val="22"/>
                <w:rtl/>
                <w:szCs w:val="22"/>
              </w:rPr>
              <w:t>جدول مؤشرات الفصل</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8</w:t>
            </w:r>
          </w:p>
        </w:tc>
        <w:tc>
          <w:tcPr>
            <w:tcW w:type="dxa" w:w="2400"/>
          </w:tcPr>
          <w:p>
            <w:pPr>
              <w:bidi/>
              <w:spacing w:after="0"/>
            </w:pPr>
            <w:r>
              <w:rPr>
                <w:rFonts w:ascii="Sakkal Majalla" w:hAnsi="Sakkal Majalla" w:cs="Sakkal Majalla"/>
                <w:sz w:val="22"/>
                <w:rtl/>
                <w:szCs w:val="22"/>
              </w:rPr>
              <w:t>جمع وتحليل بيانات معايير التصنيفات العالمية</w:t>
            </w:r>
          </w:p>
        </w:tc>
        <w:tc>
          <w:tcPr>
            <w:tcW w:type="dxa" w:w="5838"/>
          </w:tcPr>
          <w:p>
            <w:pPr>
              <w:bidi/>
              <w:spacing w:after="0"/>
            </w:pPr>
            <w:r>
              <w:rPr>
                <w:rFonts w:ascii="Sakkal Majalla" w:hAnsi="Sakkal Majalla" w:cs="Sakkal Majalla"/>
                <w:sz w:val="22"/>
                <w:rtl/>
                <w:szCs w:val="22"/>
              </w:rPr>
              <w:t>(1) حصر المطلوب من الوكالة. (2) جمع بيانات أعضاء هيئة التدريس (نشر، معارض، جوائز). (3) حصر مشاركات الطلاب في المسابقات والمعارض. (4) التحقق والتسليم.</w:t>
            </w:r>
          </w:p>
        </w:tc>
        <w:tc>
          <w:tcPr>
            <w:tcW w:type="dxa" w:w="1900"/>
          </w:tcPr>
          <w:p>
            <w:pPr>
              <w:bidi/>
              <w:spacing w:after="0"/>
            </w:pPr>
            <w:r>
              <w:rPr>
                <w:rFonts w:ascii="Sakkal Majalla" w:hAnsi="Sakkal Majalla" w:cs="Sakkal Majalla"/>
                <w:sz w:val="22"/>
                <w:rtl/>
                <w:szCs w:val="22"/>
              </w:rPr>
              <w:t>أ. وفاء الخضير</w:t>
            </w:r>
          </w:p>
        </w:tc>
        <w:tc>
          <w:tcPr>
            <w:tcW w:type="dxa" w:w="1300"/>
          </w:tcPr>
          <w:p>
            <w:pPr>
              <w:bidi/>
              <w:spacing w:after="0"/>
            </w:pPr>
            <w:r>
              <w:rPr>
                <w:rFonts w:ascii="Sakkal Majalla" w:hAnsi="Sakkal Majalla" w:cs="Sakkal Majalla"/>
                <w:sz w:val="22"/>
                <w:rtl/>
                <w:szCs w:val="22"/>
              </w:rPr>
              <w:t>حسب مواعيد الوكالة</w:t>
            </w:r>
          </w:p>
        </w:tc>
        <w:tc>
          <w:tcPr>
            <w:tcW w:type="dxa" w:w="1500"/>
          </w:tcPr>
          <w:p>
            <w:pPr>
              <w:bidi/>
              <w:spacing w:after="0"/>
            </w:pPr>
            <w:r>
              <w:rPr>
                <w:rFonts w:ascii="Sakkal Majalla" w:hAnsi="Sakkal Majalla" w:cs="Sakkal Majalla"/>
                <w:sz w:val="22"/>
                <w:rtl/>
                <w:szCs w:val="22"/>
              </w:rPr>
              <w:t>ملف بيانات مدقق</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9</w:t>
            </w:r>
          </w:p>
        </w:tc>
        <w:tc>
          <w:tcPr>
            <w:tcW w:type="dxa" w:w="2400"/>
          </w:tcPr>
          <w:p>
            <w:pPr>
              <w:bidi/>
              <w:spacing w:after="0"/>
            </w:pPr>
            <w:r>
              <w:rPr>
                <w:rFonts w:ascii="Sakkal Majalla" w:hAnsi="Sakkal Majalla" w:cs="Sakkal Majalla"/>
                <w:sz w:val="22"/>
                <w:rtl/>
                <w:szCs w:val="22"/>
              </w:rPr>
              <w:t>ضمان الامتثال لمعايير الاعتماد</w:t>
            </w:r>
          </w:p>
        </w:tc>
        <w:tc>
          <w:tcPr>
            <w:tcW w:type="dxa" w:w="5838"/>
          </w:tcPr>
          <w:p>
            <w:pPr>
              <w:bidi/>
              <w:spacing w:after="0"/>
            </w:pPr>
            <w:r>
              <w:rPr>
                <w:rFonts w:ascii="Sakkal Majalla" w:hAnsi="Sakkal Majalla" w:cs="Sakkal Majalla"/>
                <w:sz w:val="22"/>
                <w:rtl/>
                <w:szCs w:val="22"/>
              </w:rPr>
              <w:t>(1) مراجعة ذاتية للمعايير بقائمة تحقق. (2) تحديد الفجوات وتوزيع مهام سدها.</w:t>
            </w:r>
          </w:p>
        </w:tc>
        <w:tc>
          <w:tcPr>
            <w:tcW w:type="dxa" w:w="1900"/>
          </w:tcPr>
          <w:p>
            <w:pPr>
              <w:bidi/>
              <w:spacing w:after="0"/>
            </w:pPr>
            <w:r>
              <w:rPr>
                <w:rFonts w:ascii="Sakkal Majalla" w:hAnsi="Sakkal Majalla" w:cs="Sakkal Majalla"/>
                <w:sz w:val="22"/>
                <w:rtl/>
                <w:szCs w:val="22"/>
              </w:rPr>
              <w:t>أ. نوره السعدون</w:t>
            </w:r>
          </w:p>
        </w:tc>
        <w:tc>
          <w:tcPr>
            <w:tcW w:type="dxa" w:w="1300"/>
          </w:tcPr>
          <w:p>
            <w:pPr>
              <w:bidi/>
              <w:spacing w:after="0"/>
            </w:pPr>
            <w:r>
              <w:rPr>
                <w:rFonts w:ascii="Sakkal Majalla" w:hAnsi="Sakkal Majalla" w:cs="Sakkal Majalla"/>
                <w:sz w:val="22"/>
                <w:rtl/>
                <w:szCs w:val="22"/>
              </w:rPr>
              <w:t>5–10</w:t>
            </w:r>
          </w:p>
        </w:tc>
        <w:tc>
          <w:tcPr>
            <w:tcW w:type="dxa" w:w="1500"/>
          </w:tcPr>
          <w:p>
            <w:pPr>
              <w:bidi/>
              <w:spacing w:after="0"/>
            </w:pPr>
            <w:r>
              <w:rPr>
                <w:rFonts w:ascii="Sakkal Majalla" w:hAnsi="Sakkal Majalla" w:cs="Sakkal Majalla"/>
                <w:sz w:val="22"/>
                <w:rtl/>
                <w:szCs w:val="22"/>
              </w:rPr>
              <w:t>قائمة الفجوات</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10</w:t>
            </w:r>
          </w:p>
        </w:tc>
        <w:tc>
          <w:tcPr>
            <w:tcW w:type="dxa" w:w="2400"/>
          </w:tcPr>
          <w:p>
            <w:pPr>
              <w:bidi/>
              <w:spacing w:after="0"/>
            </w:pPr>
            <w:r>
              <w:rPr>
                <w:rFonts w:ascii="Sakkal Majalla" w:hAnsi="Sakkal Majalla" w:cs="Sakkal Majalla"/>
                <w:sz w:val="22"/>
                <w:rtl/>
                <w:szCs w:val="22"/>
              </w:rPr>
              <w:t>الإشراف على إعداد الدراسة الذاتية</w:t>
            </w:r>
          </w:p>
        </w:tc>
        <w:tc>
          <w:tcPr>
            <w:tcW w:type="dxa" w:w="5838"/>
          </w:tcPr>
          <w:p>
            <w:pPr>
              <w:bidi/>
              <w:spacing w:after="0"/>
            </w:pPr>
            <w:r>
              <w:rPr>
                <w:rFonts w:ascii="Sakkal Majalla" w:hAnsi="Sakkal Majalla" w:cs="Sakkal Majalla"/>
                <w:sz w:val="22"/>
                <w:rtl/>
                <w:szCs w:val="22"/>
              </w:rPr>
              <w:t>(1) تشكيل فرق المعايير. (2) إنشاء مستودع الأدلة الإلكتروني. (3) جدول زمني للكتابة.</w:t>
            </w:r>
          </w:p>
        </w:tc>
        <w:tc>
          <w:tcPr>
            <w:tcW w:type="dxa" w:w="1900"/>
          </w:tcPr>
          <w:p>
            <w:pPr>
              <w:bidi/>
              <w:spacing w:after="0"/>
            </w:pPr>
            <w:r>
              <w:rPr>
                <w:rFonts w:ascii="Sakkal Majalla" w:hAnsi="Sakkal Majalla" w:cs="Sakkal Majalla"/>
                <w:sz w:val="22"/>
                <w:rtl/>
                <w:szCs w:val="22"/>
              </w:rPr>
              <w:t>رئيس اللجنة + د. لمى الحركان</w:t>
            </w:r>
          </w:p>
        </w:tc>
        <w:tc>
          <w:tcPr>
            <w:tcW w:type="dxa" w:w="1300"/>
          </w:tcPr>
          <w:p>
            <w:pPr>
              <w:bidi/>
              <w:spacing w:after="0"/>
            </w:pPr>
            <w:r>
              <w:rPr>
                <w:rFonts w:ascii="Sakkal Majalla" w:hAnsi="Sakkal Majalla" w:cs="Sakkal Majalla"/>
                <w:sz w:val="22"/>
                <w:rtl/>
                <w:szCs w:val="22"/>
              </w:rPr>
              <w:t>6–12</w:t>
            </w:r>
          </w:p>
        </w:tc>
        <w:tc>
          <w:tcPr>
            <w:tcW w:type="dxa" w:w="1500"/>
          </w:tcPr>
          <w:p>
            <w:pPr>
              <w:bidi/>
              <w:spacing w:after="0"/>
            </w:pPr>
            <w:r>
              <w:rPr>
                <w:rFonts w:ascii="Sakkal Majalla" w:hAnsi="Sakkal Majalla" w:cs="Sakkal Majalla"/>
                <w:sz w:val="22"/>
                <w:rtl/>
                <w:szCs w:val="22"/>
              </w:rPr>
              <w:t>فرق مشكلة + مستودع جاهز</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11</w:t>
            </w:r>
          </w:p>
        </w:tc>
        <w:tc>
          <w:tcPr>
            <w:tcW w:type="dxa" w:w="2400"/>
          </w:tcPr>
          <w:p>
            <w:pPr>
              <w:bidi/>
              <w:spacing w:after="0"/>
            </w:pPr>
            <w:r>
              <w:rPr>
                <w:rFonts w:ascii="Sakkal Majalla" w:hAnsi="Sakkal Majalla" w:cs="Sakkal Majalla"/>
                <w:sz w:val="22"/>
                <w:rtl/>
                <w:szCs w:val="22"/>
              </w:rPr>
              <w:t>تحديد مجالات المخاطر</w:t>
            </w:r>
          </w:p>
        </w:tc>
        <w:tc>
          <w:tcPr>
            <w:tcW w:type="dxa" w:w="5838"/>
          </w:tcPr>
          <w:p>
            <w:pPr>
              <w:bidi/>
              <w:spacing w:after="0"/>
            </w:pPr>
            <w:r>
              <w:rPr>
                <w:rFonts w:ascii="Sakkal Majalla" w:hAnsi="Sakkal Majalla" w:cs="Sakkal Majalla"/>
                <w:sz w:val="22"/>
                <w:rtl/>
                <w:szCs w:val="22"/>
              </w:rPr>
              <w:t>(1) تقييم جاهزية الاستوديوهات والمعامل والبرامج. (2) إعداد سجل المخاطر. (3) اقتراح الإجراءات التصحيحية.</w:t>
            </w:r>
          </w:p>
        </w:tc>
        <w:tc>
          <w:tcPr>
            <w:tcW w:type="dxa" w:w="1900"/>
          </w:tcPr>
          <w:p>
            <w:pPr>
              <w:bidi/>
              <w:spacing w:after="0"/>
            </w:pPr>
            <w:r>
              <w:rPr>
                <w:rFonts w:ascii="Sakkal Majalla" w:hAnsi="Sakkal Majalla" w:cs="Sakkal Majalla"/>
                <w:sz w:val="22"/>
                <w:rtl/>
                <w:szCs w:val="22"/>
              </w:rPr>
              <w:t>أ. لينا ولي</w:t>
            </w:r>
          </w:p>
        </w:tc>
        <w:tc>
          <w:tcPr>
            <w:tcW w:type="dxa" w:w="1300"/>
          </w:tcPr>
          <w:p>
            <w:pPr>
              <w:bidi/>
              <w:spacing w:after="0"/>
            </w:pPr>
            <w:r>
              <w:rPr>
                <w:rFonts w:ascii="Sakkal Majalla" w:hAnsi="Sakkal Majalla" w:cs="Sakkal Majalla"/>
                <w:sz w:val="22"/>
                <w:rtl/>
                <w:szCs w:val="22"/>
              </w:rPr>
              <w:t>6–10</w:t>
            </w:r>
          </w:p>
        </w:tc>
        <w:tc>
          <w:tcPr>
            <w:tcW w:type="dxa" w:w="1500"/>
          </w:tcPr>
          <w:p>
            <w:pPr>
              <w:bidi/>
              <w:spacing w:after="0"/>
            </w:pPr>
            <w:r>
              <w:rPr>
                <w:rFonts w:ascii="Sakkal Majalla" w:hAnsi="Sakkal Majalla" w:cs="Sakkal Majalla"/>
                <w:sz w:val="22"/>
                <w:rtl/>
                <w:szCs w:val="22"/>
              </w:rPr>
              <w:t>سجل مخاطر معتمد</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12</w:t>
            </w:r>
          </w:p>
        </w:tc>
        <w:tc>
          <w:tcPr>
            <w:tcW w:type="dxa" w:w="2400"/>
          </w:tcPr>
          <w:p>
            <w:pPr>
              <w:bidi/>
              <w:spacing w:after="0"/>
            </w:pPr>
            <w:r>
              <w:rPr>
                <w:rFonts w:ascii="Sakkal Majalla" w:hAnsi="Sakkal Majalla" w:cs="Sakkal Majalla"/>
                <w:sz w:val="22"/>
                <w:rtl/>
                <w:szCs w:val="22"/>
              </w:rPr>
              <w:t>تقارير متابعة الاعتماد وتوصياته</w:t>
            </w:r>
          </w:p>
        </w:tc>
        <w:tc>
          <w:tcPr>
            <w:tcW w:type="dxa" w:w="5838"/>
          </w:tcPr>
          <w:p>
            <w:pPr>
              <w:bidi/>
              <w:spacing w:after="0"/>
            </w:pPr>
            <w:r>
              <w:rPr>
                <w:rFonts w:ascii="Sakkal Majalla" w:hAnsi="Sakkal Majalla" w:cs="Sakkal Majalla"/>
                <w:sz w:val="22"/>
                <w:rtl/>
                <w:szCs w:val="22"/>
              </w:rPr>
              <w:t>(1) جدول بتوصيات الاعتماد والمسؤول عن كل توصية. (2) متابعة التنفيذ في الاجتماعات.</w:t>
            </w:r>
          </w:p>
        </w:tc>
        <w:tc>
          <w:tcPr>
            <w:tcW w:type="dxa" w:w="1900"/>
          </w:tcPr>
          <w:p>
            <w:pPr>
              <w:bidi/>
              <w:spacing w:after="0"/>
            </w:pPr>
            <w:r>
              <w:rPr>
                <w:rFonts w:ascii="Sakkal Majalla" w:hAnsi="Sakkal Majalla" w:cs="Sakkal Majalla"/>
                <w:sz w:val="22"/>
                <w:rtl/>
                <w:szCs w:val="22"/>
              </w:rPr>
              <w:t>أ. نوره السعدون</w:t>
            </w:r>
          </w:p>
        </w:tc>
        <w:tc>
          <w:tcPr>
            <w:tcW w:type="dxa" w:w="1300"/>
          </w:tcPr>
          <w:p>
            <w:pPr>
              <w:bidi/>
              <w:spacing w:after="0"/>
            </w:pPr>
            <w:r>
              <w:rPr>
                <w:rFonts w:ascii="Sakkal Majalla" w:hAnsi="Sakkal Majalla" w:cs="Sakkal Majalla"/>
                <w:sz w:val="22"/>
                <w:rtl/>
                <w:szCs w:val="22"/>
              </w:rPr>
              <w:t>6–نهاية الفصل</w:t>
            </w:r>
          </w:p>
        </w:tc>
        <w:tc>
          <w:tcPr>
            <w:tcW w:type="dxa" w:w="1500"/>
          </w:tcPr>
          <w:p>
            <w:pPr>
              <w:bidi/>
              <w:spacing w:after="0"/>
            </w:pPr>
            <w:r>
              <w:rPr>
                <w:rFonts w:ascii="Sakkal Majalla" w:hAnsi="Sakkal Majalla" w:cs="Sakkal Majalla"/>
                <w:sz w:val="22"/>
                <w:rtl/>
                <w:szCs w:val="22"/>
              </w:rPr>
              <w:t>جدول متابعة محدّث</w:t>
            </w:r>
          </w:p>
        </w:tc>
        <w:tc>
          <w:tcPr>
            <w:tcW w:type="dxa" w:w="1400"/>
          </w:tcPr>
          <w:p>
            <w:pPr>
              <w:bidi/>
              <w:spacing w:after="0"/>
            </w:pPr>
            <w:r>
              <w:rPr>
                <w:rFonts w:ascii="Sakkal Majalla" w:hAnsi="Sakkal Majalla" w:cs="Sakkal Majalla"/>
                <w:sz w:val="22"/>
                <w:rtl/>
                <w:szCs w:val="22"/>
              </w:rPr>
              <w:t>لم يبدأ</w:t>
            </w:r>
          </w:p>
        </w:tc>
      </w:tr>
      <w:tr>
        <w:tc>
          <w:tcPr>
            <w:tcW w:type="dxa" w:w="500"/>
          </w:tcPr>
          <w:p>
            <w:pPr>
              <w:bidi/>
              <w:spacing w:after="0"/>
            </w:pPr>
            <w:r>
              <w:rPr>
                <w:rFonts w:ascii="Sakkal Majalla" w:hAnsi="Sakkal Majalla" w:cs="Sakkal Majalla"/>
                <w:sz w:val="22"/>
                <w:rtl/>
                <w:szCs w:val="22"/>
              </w:rPr>
              <w:t>13</w:t>
            </w:r>
          </w:p>
        </w:tc>
        <w:tc>
          <w:tcPr>
            <w:tcW w:type="dxa" w:w="2400"/>
          </w:tcPr>
          <w:p>
            <w:pPr>
              <w:bidi/>
              <w:spacing w:after="0"/>
            </w:pPr>
            <w:r>
              <w:rPr>
                <w:rFonts w:ascii="Sakkal Majalla" w:hAnsi="Sakkal Majalla" w:cs="Sakkal Majalla"/>
                <w:sz w:val="22"/>
                <w:rtl/>
                <w:szCs w:val="22"/>
              </w:rPr>
              <w:t>تنفيذ ما يحال من مجلس القسم</w:t>
            </w:r>
          </w:p>
        </w:tc>
        <w:tc>
          <w:tcPr>
            <w:tcW w:type="dxa" w:w="5838"/>
          </w:tcPr>
          <w:p>
            <w:pPr>
              <w:bidi/>
              <w:spacing w:after="0"/>
            </w:pPr>
            <w:r>
              <w:rPr>
                <w:rFonts w:ascii="Sakkal Majalla" w:hAnsi="Sakkal Majalla" w:cs="Sakkal Majalla"/>
                <w:sz w:val="22"/>
                <w:rtl/>
                <w:szCs w:val="22"/>
              </w:rPr>
              <w:t>قيد الإحالات ومناقشتها في أقرب اجتماع والرد بالتوصية.</w:t>
            </w:r>
          </w:p>
        </w:tc>
        <w:tc>
          <w:tcPr>
            <w:tcW w:type="dxa" w:w="1900"/>
          </w:tcPr>
          <w:p>
            <w:pPr>
              <w:bidi/>
              <w:spacing w:after="0"/>
            </w:pPr>
            <w:r>
              <w:rPr>
                <w:rFonts w:ascii="Sakkal Majalla" w:hAnsi="Sakkal Majalla" w:cs="Sakkal Majalla"/>
                <w:sz w:val="22"/>
                <w:rtl/>
                <w:szCs w:val="22"/>
              </w:rPr>
              <w:t>رئيس اللجنة + المقرر</w:t>
            </w:r>
          </w:p>
        </w:tc>
        <w:tc>
          <w:tcPr>
            <w:tcW w:type="dxa" w:w="1300"/>
          </w:tcPr>
          <w:p>
            <w:pPr>
              <w:bidi/>
              <w:spacing w:after="0"/>
            </w:pPr>
            <w:r>
              <w:rPr>
                <w:rFonts w:ascii="Sakkal Majalla" w:hAnsi="Sakkal Majalla" w:cs="Sakkal Majalla"/>
                <w:sz w:val="22"/>
                <w:rtl/>
                <w:szCs w:val="22"/>
              </w:rPr>
              <w:t>مستمر</w:t>
            </w:r>
          </w:p>
        </w:tc>
        <w:tc>
          <w:tcPr>
            <w:tcW w:type="dxa" w:w="1500"/>
          </w:tcPr>
          <w:p>
            <w:pPr>
              <w:bidi/>
              <w:spacing w:after="0"/>
            </w:pPr>
            <w:r>
              <w:rPr>
                <w:rFonts w:ascii="Sakkal Majalla" w:hAnsi="Sakkal Majalla" w:cs="Sakkal Majalla"/>
                <w:sz w:val="22"/>
                <w:rtl/>
                <w:szCs w:val="22"/>
              </w:rPr>
              <w:t>الرد خلال أسبوعين</w:t>
            </w:r>
          </w:p>
        </w:tc>
        <w:tc>
          <w:tcPr>
            <w:tcW w:type="dxa" w:w="1400"/>
          </w:tcPr>
          <w:p>
            <w:pPr>
              <w:bidi/>
              <w:spacing w:after="0"/>
            </w:pPr>
            <w:r>
              <w:rPr>
                <w:rFonts w:ascii="Sakkal Majalla" w:hAnsi="Sakkal Majalla" w:cs="Sakkal Majalla"/>
                <w:sz w:val="22"/>
                <w:rtl/>
                <w:szCs w:val="22"/>
              </w:rPr>
              <w:t>مستمر</w:t>
            </w:r>
          </w:p>
        </w:tc>
      </w:tr>
      <w:tr>
        <w:tc>
          <w:tcPr>
            <w:tcW w:type="dxa" w:w="500"/>
          </w:tcPr>
          <w:p>
            <w:pPr>
              <w:bidi/>
              <w:spacing w:after="0"/>
            </w:pPr>
            <w:r>
              <w:rPr>
                <w:rFonts w:ascii="Sakkal Majalla" w:hAnsi="Sakkal Majalla" w:cs="Sakkal Majalla"/>
                <w:sz w:val="22"/>
                <w:rtl/>
                <w:szCs w:val="22"/>
              </w:rPr>
              <w:t>14</w:t>
            </w:r>
          </w:p>
        </w:tc>
        <w:tc>
          <w:tcPr>
            <w:tcW w:type="dxa" w:w="2400"/>
          </w:tcPr>
          <w:p>
            <w:pPr>
              <w:bidi/>
              <w:spacing w:after="0"/>
            </w:pPr>
            <w:r>
              <w:rPr>
                <w:rFonts w:ascii="Sakkal Majalla" w:hAnsi="Sakkal Majalla" w:cs="Sakkal Majalla"/>
                <w:sz w:val="22"/>
                <w:rtl/>
                <w:szCs w:val="22"/>
              </w:rPr>
              <w:t>ما يضيفه مجلس القسم من مهام</w:t>
            </w:r>
          </w:p>
        </w:tc>
        <w:tc>
          <w:tcPr>
            <w:tcW w:type="dxa" w:w="5838"/>
          </w:tcPr>
          <w:p>
            <w:pPr>
              <w:bidi/>
              <w:spacing w:after="0"/>
            </w:pPr>
            <w:r>
              <w:rPr>
                <w:rFonts w:ascii="Sakkal Majalla" w:hAnsi="Sakkal Majalla" w:cs="Sakkal Majalla"/>
                <w:sz w:val="22"/>
                <w:rtl/>
                <w:szCs w:val="22"/>
              </w:rPr>
              <w:t>تضمينها في الخطة بمسؤول وموعد.</w:t>
            </w:r>
          </w:p>
        </w:tc>
        <w:tc>
          <w:tcPr>
            <w:tcW w:type="dxa" w:w="1900"/>
          </w:tcPr>
          <w:p>
            <w:pPr>
              <w:bidi/>
              <w:spacing w:after="0"/>
            </w:pPr>
            <w:r>
              <w:rPr>
                <w:rFonts w:ascii="Sakkal Majalla" w:hAnsi="Sakkal Majalla" w:cs="Sakkal Majalla"/>
                <w:sz w:val="22"/>
                <w:rtl/>
                <w:szCs w:val="22"/>
              </w:rPr>
              <w:t>رئيس اللجنة</w:t>
            </w:r>
          </w:p>
        </w:tc>
        <w:tc>
          <w:tcPr>
            <w:tcW w:type="dxa" w:w="1300"/>
          </w:tcPr>
          <w:p>
            <w:pPr>
              <w:bidi/>
              <w:spacing w:after="0"/>
            </w:pPr>
            <w:r>
              <w:rPr>
                <w:rFonts w:ascii="Sakkal Majalla" w:hAnsi="Sakkal Majalla" w:cs="Sakkal Majalla"/>
                <w:sz w:val="22"/>
                <w:rtl/>
                <w:szCs w:val="22"/>
              </w:rPr>
              <w:t>عند الإضافة</w:t>
            </w:r>
          </w:p>
        </w:tc>
        <w:tc>
          <w:tcPr>
            <w:tcW w:type="dxa" w:w="1500"/>
          </w:tcPr>
          <w:p>
            <w:pPr>
              <w:bidi/>
              <w:spacing w:after="0"/>
            </w:pPr>
            <w:r>
              <w:rPr>
                <w:rFonts w:ascii="Sakkal Majalla" w:hAnsi="Sakkal Majalla" w:cs="Sakkal Majalla"/>
                <w:sz w:val="22"/>
                <w:rtl/>
                <w:szCs w:val="22"/>
              </w:rPr>
              <w:t>خطة محدّثة</w:t>
            </w:r>
          </w:p>
        </w:tc>
        <w:tc>
          <w:tcPr>
            <w:tcW w:type="dxa" w:w="1400"/>
          </w:tcPr>
          <w:p>
            <w:pPr>
              <w:bidi/>
              <w:spacing w:after="0"/>
            </w:pPr>
            <w:r>
              <w:rPr>
                <w:rFonts w:ascii="Sakkal Majalla" w:hAnsi="Sakkal Majalla" w:cs="Sakkal Majalla"/>
                <w:sz w:val="22"/>
                <w:rtl/>
                <w:szCs w:val="22"/>
              </w:rPr>
              <w:t>مستمر</w:t>
            </w:r>
          </w:p>
        </w:tc>
      </w:tr>
    </w:tbl>
    <w:p>
      <w:pPr>
        <w:bidi/>
        <w:spacing w:after="120"/>
      </w:pPr>
      <w:r>
        <w:rPr>
          <w:rFonts w:ascii="Sakkal Majalla" w:hAnsi="Sakkal Majalla" w:cs="Sakkal Majalla"/>
          <w:sz w:val="12"/>
          <w:rtl/>
          <w:szCs w:val="12"/>
        </w:rPr>
      </w:r>
    </w:p>
    <w:p>
      <w:pPr>
        <w:bidi/>
        <w:spacing w:after="120"/>
      </w:pPr>
      <w:r>
        <w:rPr>
          <w:rFonts w:ascii="Sakkal Majalla" w:hAnsi="Sakkal Majalla" w:cs="Sakkal Majalla"/>
          <w:b/>
          <w:color w:val="1F3864"/>
          <w:sz w:val="30"/>
          <w:rtl/>
          <w:bCs/>
          <w:szCs w:val="30"/>
        </w:rPr>
        <w:t>اجتماعات الفصل</w:t>
      </w:r>
    </w:p>
    <w:p>
      <w:pPr>
        <w:bidi/>
        <w:spacing w:after="120"/>
      </w:pPr>
      <w:r>
        <w:rPr>
          <w:rFonts w:ascii="Sakkal Majalla" w:hAnsi="Sakkal Majalla" w:cs="Sakkal Majalla"/>
          <w:sz w:val="24"/>
          <w:rtl/>
          <w:szCs w:val="24"/>
        </w:rPr>
        <w:t>7 اجتماعات هذا الفصل من أصل 15 اجتماعًا مطلوبة في العام. الأرقام بين الأقواس أرقام المهام.</w:t>
      </w:r>
    </w:p>
    <w:tbl>
      <w:tblPr>
        <w:tblStyle w:val="TableGrid"/>
        <w:tblW w:type="auto" w:w="0"/>
        <w:tblLook w:firstColumn="1" w:firstRow="1" w:lastColumn="0" w:lastRow="0" w:noHBand="0" w:noVBand="1" w:val="04A0"/>
        <w:bidiVisual/>
      </w:tblPr>
      <w:tblGrid>
        <w:gridCol w:w="1300"/>
        <w:gridCol w:w="1800"/>
        <w:gridCol w:w="11738"/>
      </w:tblGrid>
      <w:tr>
        <w:trPr>
          <w:tblHeader/>
        </w:trPr>
        <w:tc>
          <w:tcPr>
            <w:tcW w:type="dxa" w:w="1300"/>
            <w:shd w:val="clear" w:color="auto" w:fill="D9E2F3"/>
          </w:tcPr>
          <w:p>
            <w:pPr>
              <w:bidi/>
              <w:spacing w:after="0"/>
            </w:pPr>
            <w:r>
              <w:rPr>
                <w:rFonts w:ascii="Sakkal Majalla" w:hAnsi="Sakkal Majalla" w:cs="Sakkal Majalla"/>
                <w:b/>
                <w:sz w:val="22"/>
                <w:rtl/>
                <w:bCs/>
                <w:szCs w:val="22"/>
              </w:rPr>
              <w:t>الاجتماع</w:t>
            </w:r>
          </w:p>
        </w:tc>
        <w:tc>
          <w:tcPr>
            <w:tcW w:type="dxa" w:w="1800"/>
            <w:shd w:val="clear" w:color="auto" w:fill="D9E2F3"/>
          </w:tcPr>
          <w:p>
            <w:pPr>
              <w:bidi/>
              <w:spacing w:after="0"/>
            </w:pPr>
            <w:r>
              <w:rPr>
                <w:rFonts w:ascii="Sakkal Majalla" w:hAnsi="Sakkal Majalla" w:cs="Sakkal Majalla"/>
                <w:b/>
                <w:sz w:val="22"/>
                <w:rtl/>
                <w:bCs/>
                <w:szCs w:val="22"/>
              </w:rPr>
              <w:t>الأسبوع</w:t>
            </w:r>
          </w:p>
        </w:tc>
        <w:tc>
          <w:tcPr>
            <w:tcW w:type="dxa" w:w="11738"/>
            <w:shd w:val="clear" w:color="auto" w:fill="D9E2F3"/>
          </w:tcPr>
          <w:p>
            <w:pPr>
              <w:bidi/>
              <w:spacing w:after="0"/>
            </w:pPr>
            <w:r>
              <w:rPr>
                <w:rFonts w:ascii="Sakkal Majalla" w:hAnsi="Sakkal Majalla" w:cs="Sakkal Majalla"/>
                <w:b/>
                <w:sz w:val="22"/>
                <w:rtl/>
                <w:bCs/>
                <w:szCs w:val="22"/>
              </w:rPr>
              <w:t>الموضوعات</w:t>
            </w:r>
          </w:p>
        </w:tc>
      </w:tr>
      <w:tr>
        <w:tc>
          <w:tcPr>
            <w:tcW w:type="dxa" w:w="1300"/>
          </w:tcPr>
          <w:p>
            <w:pPr>
              <w:bidi/>
              <w:spacing w:after="0"/>
            </w:pPr>
            <w:r>
              <w:rPr>
                <w:rFonts w:ascii="Sakkal Majalla" w:hAnsi="Sakkal Majalla" w:cs="Sakkal Majalla"/>
                <w:sz w:val="22"/>
                <w:rtl/>
                <w:szCs w:val="22"/>
              </w:rPr>
              <w:t>1</w:t>
            </w:r>
          </w:p>
        </w:tc>
        <w:tc>
          <w:tcPr>
            <w:tcW w:type="dxa" w:w="1800"/>
          </w:tcPr>
          <w:p>
            <w:pPr>
              <w:bidi/>
              <w:spacing w:after="0"/>
            </w:pPr>
            <w:r>
              <w:rPr>
                <w:rFonts w:ascii="Sakkal Majalla" w:hAnsi="Sakkal Majalla" w:cs="Sakkal Majalla"/>
                <w:sz w:val="22"/>
                <w:rtl/>
                <w:szCs w:val="22"/>
              </w:rPr>
              <w:t>6</w:t>
            </w:r>
          </w:p>
        </w:tc>
        <w:tc>
          <w:tcPr>
            <w:tcW w:type="dxa" w:w="11738"/>
          </w:tcPr>
          <w:p>
            <w:pPr>
              <w:bidi/>
              <w:spacing w:after="0"/>
            </w:pPr>
            <w:r>
              <w:rPr>
                <w:rFonts w:ascii="Sakkal Majalla" w:hAnsi="Sakkal Majalla" w:cs="Sakkal Majalla"/>
                <w:sz w:val="22"/>
                <w:rtl/>
                <w:szCs w:val="22"/>
              </w:rPr>
              <w:t>اعتماد خطة الفصل وتوزيع المهام، متابعة التوصيفات (1)، مخاطبة اللجان بالمؤشرات (6)</w:t>
            </w:r>
          </w:p>
        </w:tc>
      </w:tr>
      <w:tr>
        <w:tc>
          <w:tcPr>
            <w:tcW w:type="dxa" w:w="1300"/>
          </w:tcPr>
          <w:p>
            <w:pPr>
              <w:bidi/>
              <w:spacing w:after="0"/>
            </w:pPr>
            <w:r>
              <w:rPr>
                <w:rFonts w:ascii="Sakkal Majalla" w:hAnsi="Sakkal Majalla" w:cs="Sakkal Majalla"/>
                <w:sz w:val="22"/>
                <w:rtl/>
                <w:szCs w:val="22"/>
              </w:rPr>
              <w:t>2</w:t>
            </w:r>
          </w:p>
        </w:tc>
        <w:tc>
          <w:tcPr>
            <w:tcW w:type="dxa" w:w="1800"/>
          </w:tcPr>
          <w:p>
            <w:pPr>
              <w:bidi/>
              <w:spacing w:after="0"/>
            </w:pPr>
            <w:r>
              <w:rPr>
                <w:rFonts w:ascii="Sakkal Majalla" w:hAnsi="Sakkal Majalla" w:cs="Sakkal Majalla"/>
                <w:sz w:val="22"/>
                <w:rtl/>
                <w:szCs w:val="22"/>
              </w:rPr>
              <w:t>7</w:t>
            </w:r>
          </w:p>
        </w:tc>
        <w:tc>
          <w:tcPr>
            <w:tcW w:type="dxa" w:w="11738"/>
          </w:tcPr>
          <w:p>
            <w:pPr>
              <w:bidi/>
              <w:spacing w:after="0"/>
            </w:pPr>
            <w:r>
              <w:rPr>
                <w:rFonts w:ascii="Sakkal Majalla" w:hAnsi="Sakkal Majalla" w:cs="Sakkal Majalla"/>
                <w:sz w:val="22"/>
                <w:rtl/>
                <w:szCs w:val="22"/>
              </w:rPr>
              <w:t>خطة قياس النواتج والمعايير الوصفية (2)، فرق الدراسة الذاتية (10)</w:t>
            </w:r>
          </w:p>
        </w:tc>
      </w:tr>
      <w:tr>
        <w:tc>
          <w:tcPr>
            <w:tcW w:type="dxa" w:w="1300"/>
          </w:tcPr>
          <w:p>
            <w:pPr>
              <w:bidi/>
              <w:spacing w:after="0"/>
            </w:pPr>
            <w:r>
              <w:rPr>
                <w:rFonts w:ascii="Sakkal Majalla" w:hAnsi="Sakkal Majalla" w:cs="Sakkal Majalla"/>
                <w:sz w:val="22"/>
                <w:rtl/>
                <w:szCs w:val="22"/>
              </w:rPr>
              <w:t>3</w:t>
            </w:r>
          </w:p>
        </w:tc>
        <w:tc>
          <w:tcPr>
            <w:tcW w:type="dxa" w:w="1800"/>
          </w:tcPr>
          <w:p>
            <w:pPr>
              <w:bidi/>
              <w:spacing w:after="0"/>
            </w:pPr>
            <w:r>
              <w:rPr>
                <w:rFonts w:ascii="Sakkal Majalla" w:hAnsi="Sakkal Majalla" w:cs="Sakkal Majalla"/>
                <w:sz w:val="22"/>
                <w:rtl/>
                <w:szCs w:val="22"/>
              </w:rPr>
              <w:t>8</w:t>
            </w:r>
          </w:p>
        </w:tc>
        <w:tc>
          <w:tcPr>
            <w:tcW w:type="dxa" w:w="11738"/>
          </w:tcPr>
          <w:p>
            <w:pPr>
              <w:bidi/>
              <w:spacing w:after="0"/>
            </w:pPr>
            <w:r>
              <w:rPr>
                <w:rFonts w:ascii="Sakkal Majalla" w:hAnsi="Sakkal Majalla" w:cs="Sakkal Majalla"/>
                <w:sz w:val="22"/>
                <w:rtl/>
                <w:szCs w:val="22"/>
              </w:rPr>
              <w:t>المراجعة الذاتية للمعايير (9)، جاهزية الاستوديوهات والمخاطر (11)</w:t>
            </w:r>
          </w:p>
        </w:tc>
      </w:tr>
      <w:tr>
        <w:tc>
          <w:tcPr>
            <w:tcW w:type="dxa" w:w="1300"/>
          </w:tcPr>
          <w:p>
            <w:pPr>
              <w:bidi/>
              <w:spacing w:after="0"/>
            </w:pPr>
            <w:r>
              <w:rPr>
                <w:rFonts w:ascii="Sakkal Majalla" w:hAnsi="Sakkal Majalla" w:cs="Sakkal Majalla"/>
                <w:sz w:val="22"/>
                <w:rtl/>
                <w:szCs w:val="22"/>
              </w:rPr>
              <w:t>4</w:t>
            </w:r>
          </w:p>
        </w:tc>
        <w:tc>
          <w:tcPr>
            <w:tcW w:type="dxa" w:w="1800"/>
          </w:tcPr>
          <w:p>
            <w:pPr>
              <w:bidi/>
              <w:spacing w:after="0"/>
            </w:pPr>
            <w:r>
              <w:rPr>
                <w:rFonts w:ascii="Sakkal Majalla" w:hAnsi="Sakkal Majalla" w:cs="Sakkal Majalla"/>
                <w:sz w:val="22"/>
                <w:rtl/>
                <w:szCs w:val="22"/>
              </w:rPr>
              <w:t>9</w:t>
            </w:r>
          </w:p>
        </w:tc>
        <w:tc>
          <w:tcPr>
            <w:tcW w:type="dxa" w:w="11738"/>
          </w:tcPr>
          <w:p>
            <w:pPr>
              <w:bidi/>
              <w:spacing w:after="0"/>
            </w:pPr>
            <w:r>
              <w:rPr>
                <w:rFonts w:ascii="Sakkal Majalla" w:hAnsi="Sakkal Majalla" w:cs="Sakkal Majalla"/>
                <w:sz w:val="22"/>
                <w:rtl/>
                <w:szCs w:val="22"/>
              </w:rPr>
              <w:t>نتائج تحكيم منتصف الفصل (3)، جدول توصيات الاعتماد (12)</w:t>
            </w:r>
          </w:p>
        </w:tc>
      </w:tr>
      <w:tr>
        <w:tc>
          <w:tcPr>
            <w:tcW w:type="dxa" w:w="1300"/>
          </w:tcPr>
          <w:p>
            <w:pPr>
              <w:bidi/>
              <w:spacing w:after="0"/>
            </w:pPr>
            <w:r>
              <w:rPr>
                <w:rFonts w:ascii="Sakkal Majalla" w:hAnsi="Sakkal Majalla" w:cs="Sakkal Majalla"/>
                <w:sz w:val="22"/>
                <w:rtl/>
                <w:szCs w:val="22"/>
              </w:rPr>
              <w:t>5</w:t>
            </w:r>
          </w:p>
        </w:tc>
        <w:tc>
          <w:tcPr>
            <w:tcW w:type="dxa" w:w="1800"/>
          </w:tcPr>
          <w:p>
            <w:pPr>
              <w:bidi/>
              <w:spacing w:after="0"/>
            </w:pPr>
            <w:r>
              <w:rPr>
                <w:rFonts w:ascii="Sakkal Majalla" w:hAnsi="Sakkal Majalla" w:cs="Sakkal Majalla"/>
                <w:sz w:val="22"/>
                <w:rtl/>
                <w:szCs w:val="22"/>
              </w:rPr>
              <w:t>11</w:t>
            </w:r>
          </w:p>
        </w:tc>
        <w:tc>
          <w:tcPr>
            <w:tcW w:type="dxa" w:w="11738"/>
          </w:tcPr>
          <w:p>
            <w:pPr>
              <w:bidi/>
              <w:spacing w:after="0"/>
            </w:pPr>
            <w:r>
              <w:rPr>
                <w:rFonts w:ascii="Sakkal Majalla" w:hAnsi="Sakkal Majalla" w:cs="Sakkal Majalla"/>
                <w:sz w:val="22"/>
                <w:rtl/>
                <w:szCs w:val="22"/>
              </w:rPr>
              <w:t>بيانات التصنيفات (8)، استلام بيانات اللجان (6)، اعتماد سجل المخاطر (11)</w:t>
            </w:r>
          </w:p>
        </w:tc>
      </w:tr>
      <w:tr>
        <w:tc>
          <w:tcPr>
            <w:tcW w:type="dxa" w:w="1300"/>
          </w:tcPr>
          <w:p>
            <w:pPr>
              <w:bidi/>
              <w:spacing w:after="0"/>
            </w:pPr>
            <w:r>
              <w:rPr>
                <w:rFonts w:ascii="Sakkal Majalla" w:hAnsi="Sakkal Majalla" w:cs="Sakkal Majalla"/>
                <w:sz w:val="22"/>
                <w:rtl/>
                <w:szCs w:val="22"/>
              </w:rPr>
              <w:t>6</w:t>
            </w:r>
          </w:p>
        </w:tc>
        <w:tc>
          <w:tcPr>
            <w:tcW w:type="dxa" w:w="1800"/>
          </w:tcPr>
          <w:p>
            <w:pPr>
              <w:bidi/>
              <w:spacing w:after="0"/>
            </w:pPr>
            <w:r>
              <w:rPr>
                <w:rFonts w:ascii="Sakkal Majalla" w:hAnsi="Sakkal Majalla" w:cs="Sakkal Majalla"/>
                <w:sz w:val="22"/>
                <w:rtl/>
                <w:szCs w:val="22"/>
              </w:rPr>
              <w:t>13</w:t>
            </w:r>
          </w:p>
        </w:tc>
        <w:tc>
          <w:tcPr>
            <w:tcW w:type="dxa" w:w="11738"/>
          </w:tcPr>
          <w:p>
            <w:pPr>
              <w:bidi/>
              <w:spacing w:after="0"/>
            </w:pPr>
            <w:r>
              <w:rPr>
                <w:rFonts w:ascii="Sakkal Majalla" w:hAnsi="Sakkal Majalla" w:cs="Sakkal Majalla"/>
                <w:sz w:val="22"/>
                <w:rtl/>
                <w:szCs w:val="22"/>
              </w:rPr>
              <w:t>الاستعداد للقياس النهائي والاستبانات (3)، تعميم نموذج تقرير المقرر (4)، متابعة الفجوات (9)</w:t>
            </w:r>
          </w:p>
        </w:tc>
      </w:tr>
      <w:tr>
        <w:tc>
          <w:tcPr>
            <w:tcW w:type="dxa" w:w="1300"/>
          </w:tcPr>
          <w:p>
            <w:pPr>
              <w:bidi/>
              <w:spacing w:after="0"/>
            </w:pPr>
            <w:r>
              <w:rPr>
                <w:rFonts w:ascii="Sakkal Majalla" w:hAnsi="Sakkal Majalla" w:cs="Sakkal Majalla"/>
                <w:sz w:val="22"/>
                <w:rtl/>
                <w:szCs w:val="22"/>
              </w:rPr>
              <w:t>7</w:t>
            </w:r>
          </w:p>
        </w:tc>
        <w:tc>
          <w:tcPr>
            <w:tcW w:type="dxa" w:w="1800"/>
          </w:tcPr>
          <w:p>
            <w:pPr>
              <w:bidi/>
              <w:spacing w:after="0"/>
            </w:pPr>
            <w:r>
              <w:rPr>
                <w:rFonts w:ascii="Sakkal Majalla" w:hAnsi="Sakkal Majalla" w:cs="Sakkal Majalla"/>
                <w:sz w:val="22"/>
                <w:rtl/>
                <w:szCs w:val="22"/>
              </w:rPr>
              <w:t>بعد الاختبارات</w:t>
            </w:r>
          </w:p>
        </w:tc>
        <w:tc>
          <w:tcPr>
            <w:tcW w:type="dxa" w:w="11738"/>
          </w:tcPr>
          <w:p>
            <w:pPr>
              <w:bidi/>
              <w:spacing w:after="0"/>
            </w:pPr>
            <w:r>
              <w:rPr>
                <w:rFonts w:ascii="Sakkal Majalla" w:hAnsi="Sakkal Majalla" w:cs="Sakkal Majalla"/>
                <w:sz w:val="22"/>
                <w:rtl/>
                <w:szCs w:val="22"/>
              </w:rPr>
              <w:t>تقارير المقررات (4)، نتائج القياس (3)، اعتماد تقرير متابعة الفصل</w:t>
            </w:r>
          </w:p>
        </w:tc>
      </w:tr>
    </w:tbl>
    <w:p>
      <w:pPr>
        <w:bidi/>
        <w:spacing w:after="240"/>
      </w:pPr>
      <w:r>
        <w:rPr>
          <w:rFonts w:ascii="Sakkal Majalla" w:hAnsi="Sakkal Majalla" w:cs="Sakkal Majalla"/>
          <w:sz w:val="24"/>
          <w:rtl/>
          <w:szCs w:val="24"/>
        </w:rPr>
        <w:t>تُناقش إحالات مجلس القسم (13، 14) في أقرب اجتماع، وتتولى أ. نوره السعدون محاضر الاجتماعات.</w:t>
      </w:r>
    </w:p>
    <w:p>
      <w:pPr>
        <w:bidi/>
        <w:spacing w:after="120"/>
      </w:pPr>
      <w:r>
        <w:rPr>
          <w:rFonts w:ascii="Sakkal Majalla" w:hAnsi="Sakkal Majalla" w:cs="Sakkal Majalla"/>
          <w:b/>
          <w:color w:val="1F3864"/>
          <w:sz w:val="30"/>
          <w:rtl/>
          <w:bCs/>
          <w:szCs w:val="30"/>
        </w:rPr>
        <w:t>مخرجات نهاية الفصل</w:t>
      </w:r>
    </w:p>
    <w:p>
      <w:pPr>
        <w:bidi/>
        <w:spacing w:after="40"/>
      </w:pPr>
      <w:r>
        <w:rPr>
          <w:rFonts w:ascii="Sakkal Majalla" w:hAnsi="Sakkal Majalla" w:cs="Sakkal Majalla"/>
          <w:sz w:val="24"/>
          <w:rtl/>
          <w:szCs w:val="24"/>
        </w:rPr>
        <w:t>☑ ملف منسقي المقررات</w:t>
      </w:r>
    </w:p>
    <w:p>
      <w:pPr>
        <w:bidi/>
        <w:spacing w:after="40"/>
      </w:pPr>
      <w:r>
        <w:rPr>
          <w:rFonts w:ascii="Sakkal Majalla" w:hAnsi="Sakkal Majalla" w:cs="Sakkal Majalla"/>
          <w:sz w:val="24"/>
          <w:rtl/>
          <w:szCs w:val="24"/>
        </w:rPr>
        <w:t>☑ رابط محتوى المقررات</w:t>
      </w:r>
    </w:p>
    <w:p>
      <w:pPr>
        <w:bidi/>
        <w:spacing w:after="40"/>
      </w:pPr>
      <w:r>
        <w:rPr>
          <w:rFonts w:ascii="Sakkal Majalla" w:hAnsi="Sakkal Majalla" w:cs="Sakkal Majalla"/>
          <w:sz w:val="24"/>
          <w:rtl/>
          <w:szCs w:val="24"/>
        </w:rPr>
        <w:t>☐ توصيفات المقررات والبرنامج مراجعة</w:t>
      </w:r>
    </w:p>
    <w:p>
      <w:pPr>
        <w:bidi/>
        <w:spacing w:after="40"/>
      </w:pPr>
      <w:r>
        <w:rPr>
          <w:rFonts w:ascii="Sakkal Majalla" w:hAnsi="Sakkal Majalla" w:cs="Sakkal Majalla"/>
          <w:sz w:val="24"/>
          <w:rtl/>
          <w:szCs w:val="24"/>
        </w:rPr>
        <w:t>☐ خطة قياس نواتج التعلم والمعايير الوصفية معتمدة</w:t>
      </w:r>
    </w:p>
    <w:p>
      <w:pPr>
        <w:bidi/>
        <w:spacing w:after="40"/>
      </w:pPr>
      <w:r>
        <w:rPr>
          <w:rFonts w:ascii="Sakkal Majalla" w:hAnsi="Sakkal Majalla" w:cs="Sakkal Majalla"/>
          <w:sz w:val="24"/>
          <w:rtl/>
          <w:szCs w:val="24"/>
        </w:rPr>
        <w:t>☐ تقرير قياس النواتج للفصل</w:t>
      </w:r>
    </w:p>
    <w:p>
      <w:pPr>
        <w:bidi/>
        <w:spacing w:after="40"/>
      </w:pPr>
      <w:r>
        <w:rPr>
          <w:rFonts w:ascii="Sakkal Majalla" w:hAnsi="Sakkal Majalla" w:cs="Sakkal Majalla"/>
          <w:sz w:val="24"/>
          <w:rtl/>
          <w:szCs w:val="24"/>
        </w:rPr>
        <w:t>☐ تقارير المقررات مستلمة ومراجعة + نماذج أعمال الطلاب</w:t>
      </w:r>
    </w:p>
    <w:p>
      <w:pPr>
        <w:bidi/>
        <w:spacing w:after="40"/>
      </w:pPr>
      <w:r>
        <w:rPr>
          <w:rFonts w:ascii="Sakkal Majalla" w:hAnsi="Sakkal Majalla" w:cs="Sakkal Majalla"/>
          <w:sz w:val="24"/>
          <w:rtl/>
          <w:szCs w:val="24"/>
        </w:rPr>
        <w:t>☐ قائمة فجوات الاعتماد وسجل المخاطر</w:t>
      </w:r>
    </w:p>
    <w:p>
      <w:pPr>
        <w:bidi/>
        <w:spacing w:after="40"/>
      </w:pPr>
      <w:r>
        <w:rPr>
          <w:rFonts w:ascii="Sakkal Majalla" w:hAnsi="Sakkal Majalla" w:cs="Sakkal Majalla"/>
          <w:sz w:val="24"/>
          <w:rtl/>
          <w:szCs w:val="24"/>
        </w:rPr>
        <w:t>☐ جدول متابعة توصيات الاعتماد</w:t>
      </w:r>
    </w:p>
    <w:p>
      <w:pPr>
        <w:bidi/>
        <w:spacing w:after="40"/>
      </w:pPr>
      <w:r>
        <w:rPr>
          <w:rFonts w:ascii="Sakkal Majalla" w:hAnsi="Sakkal Majalla" w:cs="Sakkal Majalla"/>
          <w:sz w:val="24"/>
          <w:rtl/>
          <w:szCs w:val="24"/>
        </w:rPr>
        <w:t>☐ مستودع الأدلة وفرق الدراسة الذاتية</w:t>
      </w:r>
    </w:p>
    <w:p>
      <w:pPr>
        <w:bidi/>
        <w:spacing w:after="40"/>
      </w:pPr>
      <w:r>
        <w:rPr>
          <w:rFonts w:ascii="Sakkal Majalla" w:hAnsi="Sakkal Majalla" w:cs="Sakkal Majalla"/>
          <w:sz w:val="24"/>
          <w:rtl/>
          <w:szCs w:val="24"/>
        </w:rPr>
        <w:t>☐ بيانات المؤشرات والتصنيفات للفصل</w:t>
      </w:r>
    </w:p>
    <w:p>
      <w:pPr>
        <w:bidi/>
        <w:spacing w:after="40"/>
      </w:pPr>
      <w:r>
        <w:rPr>
          <w:rFonts w:ascii="Sakkal Majalla" w:hAnsi="Sakkal Majalla" w:cs="Sakkal Majalla"/>
          <w:sz w:val="24"/>
          <w:rtl/>
          <w:szCs w:val="24"/>
        </w:rPr>
        <w:t>☐ 7 محاضر اجتماعات</w:t>
      </w:r>
    </w:p>
    <w:p>
      <w:pPr>
        <w:bidi/>
        <w:spacing w:after="40"/>
      </w:pPr>
      <w:r>
        <w:rPr>
          <w:rFonts w:ascii="Sakkal Majalla" w:hAnsi="Sakkal Majalla" w:cs="Sakkal Majalla"/>
          <w:sz w:val="24"/>
          <w:rtl/>
          <w:szCs w:val="24"/>
        </w:rPr>
        <w:t>☐ تقرير متابعة الفصل مرفوع للجنة توجيه الجودة ووكالة الكلية</w:t>
      </w:r>
    </w:p>
    <w:sectPr w:rsidR="00FC693F" w:rsidRPr="0006063C" w:rsidSect="00034616">
      <w:pgSz w:w="16838" w:h="11906" w:orient="landscape"/>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