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0" w:after="120"/>
        <w:jc w:val="center"/>
      </w:pPr>
      <w:r>
        <w:rPr>
          <w:rFonts w:ascii="Calibri" w:cs="Calibri" w:eastAsia="Calibri" w:hAnsi="Calibri"/>
          <w:b/>
          <w:bCs/>
          <w:color w:val="004422"/>
          <w:sz w:val="28"/>
          <w:szCs w:val="28"/>
        </w:rPr>
        <w:t xml:space="preserve">Université Hassan 1er</w:t>
      </w:r>
    </w:p>
    <w:p>
      <w:pPr>
        <w:spacing w:before="60" w:after="60"/>
        <w:jc w:val="center"/>
      </w:pPr>
      <w:r>
        <w:rPr>
          <w:rFonts w:ascii="Calibri" w:cs="Calibri" w:eastAsia="Calibri" w:hAnsi="Calibri"/>
          <w:b/>
          <w:bCs/>
          <w:color w:val="006633"/>
          <w:sz w:val="30"/>
          <w:szCs w:val="30"/>
        </w:rPr>
        <w:t xml:space="preserve">ÉCOLE NATIONALE DE COMMERCE ET DE GESTION</w:t>
      </w:r>
    </w:p>
    <w:p>
      <w:pPr>
        <w:pBdr>
          <w:bottom w:val="single" w:color="D4A017" w:sz="6" w:space="6"/>
        </w:pBdr>
        <w:spacing w:before="60" w:after="300"/>
        <w:jc w:val="center"/>
      </w:pPr>
      <w:r>
        <w:rPr>
          <w:rFonts w:ascii="Calibri" w:cs="Calibri" w:eastAsia="Calibri" w:hAnsi="Calibri"/>
          <w:b/>
          <w:bCs/>
          <w:color w:val="006633"/>
          <w:sz w:val="30"/>
          <w:szCs w:val="30"/>
        </w:rPr>
        <w:t xml:space="preserve">DE SETTAT</w:t>
      </w:r>
    </w:p>
    <w:p>
      <w:pPr>
        <w:spacing w:before="120" w:after="120"/>
      </w:pPr>
      <w:r>
        <w:t xml:space="preserve"/>
      </w:r>
    </w:p>
    <w:p>
      <w:pPr>
        <w:spacing w:before="200" w:after="200"/>
        <w:jc w:val="center"/>
      </w:pPr>
      <w:r>
        <w:rPr>
          <w:rFonts w:ascii="Calibri" w:cs="Calibri" w:eastAsia="Calibri" w:hAnsi="Calibri"/>
          <w:b/>
          <w:bCs/>
          <w:color w:val="006633"/>
          <w:sz w:val="32"/>
          <w:szCs w:val="32"/>
        </w:rPr>
        <w:t xml:space="preserve">COMPTE RENDU DE PROJET / TRAVAUX DIRIGÉS</w:t>
      </w:r>
    </w:p>
    <w:p>
      <w:pPr>
        <w:pBdr>
          <w:bottom w:val="single" w:color="D4A017" w:sz="6" w:space="6"/>
        </w:pBdr>
        <w:spacing w:before="0" w:after="240"/>
        <w:jc w:val="center"/>
      </w:pPr>
      <w:r>
        <w:t xml:space="preserve"/>
      </w:r>
    </w:p>
    <w:p>
      <w:pPr>
        <w:spacing w:before="120" w:after="120"/>
      </w:pPr>
      <w:r>
        <w:t xml:space="preserve"/>
      </w:r>
    </w:p>
    <w:p>
      <w:pPr>
        <w:spacing w:before="120" w:after="240"/>
        <w:jc w:val="center"/>
      </w:pPr>
      <w:r>
        <w:rPr>
          <w:rFonts w:ascii="Calibri" w:cs="Calibri" w:eastAsia="Calibri" w:hAnsi="Calibri"/>
          <w:b/>
          <w:bCs/>
          <w:color w:val="2C2C2C"/>
          <w:sz w:val="28"/>
          <w:szCs w:val="28"/>
        </w:rPr>
        <w:t xml:space="preserve">Prédiction du Défaut de Remboursement de Prêt Automobile</w:t>
      </w:r>
    </w:p>
    <w:p>
      <w:pPr>
        <w:spacing w:before="120"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Intitulé</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Prédiction du Défaut de Prêt Automobile (Classification)</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Module</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Data Mining / Machine Learning</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Filière</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L3 S8 — ENCG Settat</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Source des données</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Kaggle — Vehicle Loan Default Prediction</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Réalisé par</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Fouad NOUR AL HOUDA</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Encadrant(e)</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[Titre + Prénom NOM de l'encadrant(e)]</w:t>
            </w:r>
          </w:p>
        </w:tc>
      </w:tr>
      <w:tr>
        <w:tc>
          <w:tcPr>
            <w:tcW w:type="dxa" w:w="2800"/>
            <w:tcBorders>
              <w:top w:val="single" w:color="006633" w:sz="1"/>
              <w:left w:val="single" w:color="006633" w:sz="1"/>
              <w:bottom w:val="single" w:color="006633" w:sz="1"/>
              <w:right w:val="single" w:color="006633" w:sz="1"/>
            </w:tcBorders>
            <w:shd w:fill="006633" w:val="clear"/>
            <w:tcMar>
              <w:top w:type="dxa" w:w="100"/>
              <w:left w:type="dxa" w:w="160"/>
              <w:bottom w:type="dxa" w:w="100"/>
              <w:right w:type="dxa" w:w="120"/>
            </w:tcMar>
          </w:tcPr>
          <w:p>
            <w:r>
              <w:rPr>
                <w:rFonts w:ascii="Calibri" w:cs="Calibri" w:eastAsia="Calibri" w:hAnsi="Calibri"/>
                <w:b/>
                <w:bCs/>
                <w:color w:val="FFFFFF"/>
                <w:sz w:val="22"/>
                <w:szCs w:val="22"/>
              </w:rPr>
              <w:t xml:space="preserve">Période</w:t>
            </w:r>
          </w:p>
        </w:tc>
        <w:tc>
          <w:tcPr>
            <w:tcW w:type="dxa" w:w="4400"/>
            <w:tcBorders>
              <w:top w:val="single" w:color="006633" w:sz="1"/>
              <w:left w:val="single" w:color="006633" w:sz="1"/>
              <w:bottom w:val="single" w:color="006633" w:sz="1"/>
              <w:right w:val="single" w:color="006633" w:sz="1"/>
            </w:tcBorders>
            <w:shd w:fill="FFFFFF" w:val="clear"/>
            <w:tcMar>
              <w:top w:type="dxa" w:w="100"/>
              <w:left w:type="dxa" w:w="160"/>
              <w:bottom w:type="dxa" w:w="100"/>
              <w:right w:type="dxa" w:w="120"/>
            </w:tcMar>
          </w:tcPr>
          <w:p>
            <w:r>
              <w:rPr>
                <w:rFonts w:ascii="Calibri" w:cs="Calibri" w:eastAsia="Calibri" w:hAnsi="Calibri"/>
                <w:color w:val="2C2C2C"/>
                <w:sz w:val="22"/>
                <w:szCs w:val="22"/>
              </w:rPr>
              <w:t xml:space="preserve">Année Universitaire 2024–2025</w:t>
            </w:r>
          </w:p>
        </w:tc>
      </w:tr>
    </w:tbl>
    <w:p>
      <w:pPr>
        <w:spacing w:before="180" w:after="180"/>
      </w:pPr>
      <w:r>
        <w:t xml:space="preserve"/>
      </w:r>
    </w:p>
    <w:p>
      <w:pPr>
        <w:spacing w:before="200" w:after="0"/>
        <w:jc w:val="center"/>
      </w:pPr>
      <w:r>
        <w:rPr>
          <w:rFonts w:ascii="Calibri" w:cs="Calibri" w:eastAsia="Calibri" w:hAnsi="Calibri"/>
          <w:b/>
          <w:bCs/>
          <w:color w:val="004422"/>
          <w:sz w:val="24"/>
          <w:szCs w:val="24"/>
        </w:rPr>
        <w:t xml:space="preserve">Année Universitaire 2024–2025</w:t>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SOMMAIRE</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   Introduction</w:t>
      </w:r>
      <w:r>
        <w:rPr>
          <w:rFonts w:ascii="Calibri" w:cs="Calibri" w:eastAsia="Calibri" w:hAnsi="Calibri"/>
          <w:color w:val="2C2C2C"/>
          <w:sz w:val="22"/>
          <w:szCs w:val="22"/>
        </w:rPr>
        <w:t xml:space="preserve">	3</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I.1   Contexte et problématique</w:t>
      </w:r>
      <w:r>
        <w:rPr>
          <w:rFonts w:ascii="Calibri" w:cs="Calibri" w:eastAsia="Calibri" w:hAnsi="Calibri"/>
          <w:color w:val="2C2C2C"/>
          <w:sz w:val="22"/>
          <w:szCs w:val="22"/>
        </w:rPr>
        <w:t xml:space="preserve">	3</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I.2   Objectifs du projet</w:t>
      </w:r>
      <w:r>
        <w:rPr>
          <w:rFonts w:ascii="Calibri" w:cs="Calibri" w:eastAsia="Calibri" w:hAnsi="Calibri"/>
          <w:color w:val="2C2C2C"/>
          <w:sz w:val="22"/>
          <w:szCs w:val="22"/>
        </w:rPr>
        <w:t xml:space="preserve">	3</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I.3   Méthodologie adoptée</w:t>
      </w:r>
      <w:r>
        <w:rPr>
          <w:rFonts w:ascii="Calibri" w:cs="Calibri" w:eastAsia="Calibri" w:hAnsi="Calibri"/>
          <w:color w:val="2C2C2C"/>
          <w:sz w:val="22"/>
          <w:szCs w:val="22"/>
        </w:rPr>
        <w:t xml:space="preserve">	3</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   Description et Exploration des Données</w:t>
      </w:r>
      <w:r>
        <w:rPr>
          <w:rFonts w:ascii="Calibri" w:cs="Calibri" w:eastAsia="Calibri" w:hAnsi="Calibri"/>
          <w:color w:val="2C2C2C"/>
          <w:sz w:val="22"/>
          <w:szCs w:val="22"/>
        </w:rPr>
        <w:t xml:space="preserve">	4</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II.1   Présentation du jeu de données</w:t>
      </w:r>
      <w:r>
        <w:rPr>
          <w:rFonts w:ascii="Calibri" w:cs="Calibri" w:eastAsia="Calibri" w:hAnsi="Calibri"/>
          <w:color w:val="2C2C2C"/>
          <w:sz w:val="22"/>
          <w:szCs w:val="22"/>
        </w:rPr>
        <w:t xml:space="preserve">	4</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II.2   Distribution de la variable cible</w:t>
      </w:r>
      <w:r>
        <w:rPr>
          <w:rFonts w:ascii="Calibri" w:cs="Calibri" w:eastAsia="Calibri" w:hAnsi="Calibri"/>
          <w:color w:val="2C2C2C"/>
          <w:sz w:val="22"/>
          <w:szCs w:val="22"/>
        </w:rPr>
        <w:t xml:space="preserve">	4</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II.3   Analyse par profil emprunteur</w:t>
      </w:r>
      <w:r>
        <w:rPr>
          <w:rFonts w:ascii="Calibri" w:cs="Calibri" w:eastAsia="Calibri" w:hAnsi="Calibri"/>
          <w:color w:val="2C2C2C"/>
          <w:sz w:val="22"/>
          <w:szCs w:val="22"/>
        </w:rPr>
        <w:t xml:space="preserve">	5</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II.4   Analyse du montant décaissé</w:t>
      </w:r>
      <w:r>
        <w:rPr>
          <w:rFonts w:ascii="Calibri" w:cs="Calibri" w:eastAsia="Calibri" w:hAnsi="Calibri"/>
          <w:color w:val="2C2C2C"/>
          <w:sz w:val="22"/>
          <w:szCs w:val="22"/>
        </w:rPr>
        <w:t xml:space="preserve">	6</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III.   Préparation des Données et Ingénierie des Features</w:t>
      </w:r>
      <w:r>
        <w:rPr>
          <w:rFonts w:ascii="Calibri" w:cs="Calibri" w:eastAsia="Calibri" w:hAnsi="Calibri"/>
          <w:color w:val="2C2C2C"/>
          <w:sz w:val="22"/>
          <w:szCs w:val="22"/>
        </w:rPr>
        <w:t xml:space="preserve">	7</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III.1   Nettoyage des données</w:t>
      </w:r>
      <w:r>
        <w:rPr>
          <w:rFonts w:ascii="Calibri" w:cs="Calibri" w:eastAsia="Calibri" w:hAnsi="Calibri"/>
          <w:color w:val="2C2C2C"/>
          <w:sz w:val="22"/>
          <w:szCs w:val="22"/>
        </w:rPr>
        <w:t xml:space="preserve">	7</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III.2   Construction des variables</w:t>
      </w:r>
      <w:r>
        <w:rPr>
          <w:rFonts w:ascii="Calibri" w:cs="Calibri" w:eastAsia="Calibri" w:hAnsi="Calibri"/>
          <w:color w:val="2C2C2C"/>
          <w:sz w:val="22"/>
          <w:szCs w:val="22"/>
        </w:rPr>
        <w:t xml:space="preserve">	7</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III.3   Découpage et encodage</w:t>
      </w:r>
      <w:r>
        <w:rPr>
          <w:rFonts w:ascii="Calibri" w:cs="Calibri" w:eastAsia="Calibri" w:hAnsi="Calibri"/>
          <w:color w:val="2C2C2C"/>
          <w:sz w:val="22"/>
          <w:szCs w:val="22"/>
        </w:rPr>
        <w:t xml:space="preserve">	7</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IV.   Modélisation</w:t>
      </w:r>
      <w:r>
        <w:rPr>
          <w:rFonts w:ascii="Calibri" w:cs="Calibri" w:eastAsia="Calibri" w:hAnsi="Calibri"/>
          <w:color w:val="2C2C2C"/>
          <w:sz w:val="22"/>
          <w:szCs w:val="22"/>
        </w:rPr>
        <w:t xml:space="preserve">	8</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IV.1   Algorithmes utilisés</w:t>
      </w:r>
      <w:r>
        <w:rPr>
          <w:rFonts w:ascii="Calibri" w:cs="Calibri" w:eastAsia="Calibri" w:hAnsi="Calibri"/>
          <w:color w:val="2C2C2C"/>
          <w:sz w:val="22"/>
          <w:szCs w:val="22"/>
        </w:rPr>
        <w:t xml:space="preserve">	8</w:t>
      </w:r>
    </w:p>
    <w:p>
      <w:pPr>
        <w:tabs>
          <w:tab w:val="right" w:pos="8640"/>
        </w:tabs>
        <w:spacing w:before="60" w:after="60"/>
        <w:ind w:left="360"/>
        <w:jc w:val="left"/>
      </w:pPr>
      <w:r>
        <w:rPr>
          <w:rFonts w:ascii="Calibri" w:cs="Calibri" w:eastAsia="Calibri" w:hAnsi="Calibri"/>
          <w:b w:val="false"/>
          <w:bCs w:val="false"/>
          <w:color w:val="2C2C2C"/>
          <w:sz w:val="22"/>
          <w:szCs w:val="22"/>
        </w:rPr>
        <w:t xml:space="preserve">IV.2   Protocole de validation</w:t>
      </w:r>
      <w:r>
        <w:rPr>
          <w:rFonts w:ascii="Calibri" w:cs="Calibri" w:eastAsia="Calibri" w:hAnsi="Calibri"/>
          <w:color w:val="2C2C2C"/>
          <w:sz w:val="22"/>
          <w:szCs w:val="22"/>
        </w:rPr>
        <w:t xml:space="preserve">	8</w:t>
      </w:r>
    </w:p>
    <w:p>
      <w:pPr>
        <w:tabs>
          <w:tab w:val="right" w:pos="8640"/>
        </w:tabs>
        <w:spacing w:before="60" w:after="60"/>
        <w:ind w:left="360"/>
        <w:jc w:val="left"/>
      </w:pPr>
      <w:r>
        <w:rPr>
          <w:rFonts w:ascii="Calibri" w:cs="Calibri" w:eastAsia="Calibri" w:hAnsi="Calibri"/>
          <w:b w:val="false"/>
          <w:bCs w:val="false"/>
          <w:color w:val="2C2C2C"/>
          <w:sz w:val="22"/>
          <w:szCs w:val="22"/>
        </w:rPr>
        <w:t xml:space="preserve">V.   Résultats et Discussion</w:t>
      </w:r>
      <w:r>
        <w:rPr>
          <w:rFonts w:ascii="Calibri" w:cs="Calibri" w:eastAsia="Calibri" w:hAnsi="Calibri"/>
          <w:color w:val="2C2C2C"/>
          <w:sz w:val="22"/>
          <w:szCs w:val="22"/>
        </w:rPr>
        <w:t xml:space="preserve">	9</w:t>
      </w:r>
    </w:p>
    <w:p>
      <w:pPr>
        <w:tabs>
          <w:tab w:val="right" w:pos="8640"/>
        </w:tabs>
        <w:spacing w:before="60" w:after="60"/>
        <w:ind w:left="360"/>
        <w:jc w:val="left"/>
      </w:pPr>
      <w:r>
        <w:rPr>
          <w:rFonts w:ascii="Calibri" w:cs="Calibri" w:eastAsia="Calibri" w:hAnsi="Calibri"/>
          <w:b w:val="false"/>
          <w:bCs w:val="false"/>
          <w:color w:val="2C2C2C"/>
          <w:sz w:val="22"/>
          <w:szCs w:val="22"/>
        </w:rPr>
        <w:t xml:space="preserve">V.1   Performances des modèles</w:t>
      </w:r>
      <w:r>
        <w:rPr>
          <w:rFonts w:ascii="Calibri" w:cs="Calibri" w:eastAsia="Calibri" w:hAnsi="Calibri"/>
          <w:color w:val="2C2C2C"/>
          <w:sz w:val="22"/>
          <w:szCs w:val="22"/>
        </w:rPr>
        <w:t xml:space="preserve">	9</w:t>
      </w:r>
    </w:p>
    <w:p>
      <w:pPr>
        <w:tabs>
          <w:tab w:val="right" w:pos="8640"/>
        </w:tabs>
        <w:spacing w:before="60" w:after="60"/>
        <w:ind w:left="360"/>
        <w:jc w:val="left"/>
      </w:pPr>
      <w:r>
        <w:rPr>
          <w:rFonts w:ascii="Calibri" w:cs="Calibri" w:eastAsia="Calibri" w:hAnsi="Calibri"/>
          <w:b w:val="false"/>
          <w:bCs w:val="false"/>
          <w:color w:val="2C2C2C"/>
          <w:sz w:val="22"/>
          <w:szCs w:val="22"/>
        </w:rPr>
        <w:t xml:space="preserve">V.2   Analyse critique des résultats</w:t>
      </w:r>
      <w:r>
        <w:rPr>
          <w:rFonts w:ascii="Calibri" w:cs="Calibri" w:eastAsia="Calibri" w:hAnsi="Calibri"/>
          <w:color w:val="2C2C2C"/>
          <w:sz w:val="22"/>
          <w:szCs w:val="22"/>
        </w:rPr>
        <w:t xml:space="preserve">	9</w:t>
      </w:r>
    </w:p>
    <w:p>
      <w:pPr>
        <w:tabs>
          <w:tab w:val="right" w:pos="8640"/>
        </w:tabs>
        <w:spacing w:before="60" w:after="60"/>
        <w:ind w:left="360"/>
        <w:jc w:val="left"/>
      </w:pPr>
      <w:r>
        <w:rPr>
          <w:rFonts w:ascii="Calibri" w:cs="Calibri" w:eastAsia="Calibri" w:hAnsi="Calibri"/>
          <w:b w:val="false"/>
          <w:bCs w:val="false"/>
          <w:color w:val="2C2C2C"/>
          <w:sz w:val="22"/>
          <w:szCs w:val="22"/>
        </w:rPr>
        <w:t xml:space="preserve">V.3   Limites et axes d'amélioration</w:t>
      </w:r>
      <w:r>
        <w:rPr>
          <w:rFonts w:ascii="Calibri" w:cs="Calibri" w:eastAsia="Calibri" w:hAnsi="Calibri"/>
          <w:color w:val="2C2C2C"/>
          <w:sz w:val="22"/>
          <w:szCs w:val="22"/>
        </w:rPr>
        <w:t xml:space="preserve">	10</w:t>
      </w:r>
    </w:p>
    <w:p>
      <w:pPr>
        <w:tabs>
          <w:tab w:val="right" w:pos="8640"/>
        </w:tabs>
        <w:spacing w:before="60" w:after="60"/>
        <w:ind w:left="360"/>
        <w:jc w:val="left"/>
      </w:pPr>
      <w:r>
        <w:rPr>
          <w:rFonts w:ascii="Calibri" w:cs="Calibri" w:eastAsia="Calibri" w:hAnsi="Calibri"/>
          <w:b w:val="false"/>
          <w:bCs w:val="false"/>
          <w:color w:val="2C2C2C"/>
          <w:sz w:val="22"/>
          <w:szCs w:val="22"/>
        </w:rPr>
        <w:t xml:space="preserve">VI.   Conclusion</w:t>
      </w:r>
      <w:r>
        <w:rPr>
          <w:rFonts w:ascii="Calibri" w:cs="Calibri" w:eastAsia="Calibri" w:hAnsi="Calibri"/>
          <w:color w:val="2C2C2C"/>
          <w:sz w:val="22"/>
          <w:szCs w:val="22"/>
        </w:rPr>
        <w:t xml:space="preserve">	11</w:t>
      </w:r>
    </w:p>
    <w:p>
      <w:pPr>
        <w:tabs>
          <w:tab w:val="right" w:pos="8640"/>
        </w:tabs>
        <w:spacing w:before="60" w:after="60"/>
        <w:ind w:left="0"/>
        <w:jc w:val="left"/>
      </w:pPr>
      <w:r>
        <w:rPr>
          <w:rFonts w:ascii="Calibri" w:cs="Calibri" w:eastAsia="Calibri" w:hAnsi="Calibri"/>
          <w:b/>
          <w:bCs/>
          <w:color w:val="2C2C2C"/>
          <w:sz w:val="22"/>
          <w:szCs w:val="22"/>
        </w:rPr>
        <w:t xml:space="preserve">      Bibliographie / Webographie</w:t>
      </w:r>
      <w:r>
        <w:rPr>
          <w:rFonts w:ascii="Calibri" w:cs="Calibri" w:eastAsia="Calibri" w:hAnsi="Calibri"/>
          <w:color w:val="2C2C2C"/>
          <w:sz w:val="22"/>
          <w:szCs w:val="22"/>
        </w:rPr>
        <w:t xml:space="preserve">	11</w:t>
      </w:r>
    </w:p>
    <w:p>
      <w:pPr>
        <w:tabs>
          <w:tab w:val="right" w:pos="8640"/>
        </w:tabs>
        <w:spacing w:before="60" w:after="60"/>
        <w:ind w:left="0"/>
        <w:jc w:val="left"/>
      </w:pPr>
      <w:r>
        <w:rPr>
          <w:rFonts w:ascii="Calibri" w:cs="Calibri" w:eastAsia="Calibri" w:hAnsi="Calibri"/>
          <w:b/>
          <w:bCs/>
          <w:color w:val="2C2C2C"/>
          <w:sz w:val="22"/>
          <w:szCs w:val="22"/>
        </w:rPr>
        <w:t xml:space="preserve">      Annexes</w:t>
      </w:r>
      <w:r>
        <w:rPr>
          <w:rFonts w:ascii="Calibri" w:cs="Calibri" w:eastAsia="Calibri" w:hAnsi="Calibri"/>
          <w:color w:val="2C2C2C"/>
          <w:sz w:val="22"/>
          <w:szCs w:val="22"/>
        </w:rPr>
        <w:t xml:space="preserve">	12</w:t>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I. INTRODUCTION</w:t>
      </w:r>
    </w:p>
    <w:p>
      <w:pPr>
        <w:pStyle w:val="Heading2"/>
        <w:spacing w:before="240" w:after="120"/>
      </w:pPr>
      <w:r>
        <w:rPr>
          <w:rFonts w:ascii="Calibri" w:cs="Calibri" w:eastAsia="Calibri" w:hAnsi="Calibri"/>
          <w:b/>
          <w:bCs/>
          <w:color w:val="004422"/>
          <w:sz w:val="24"/>
          <w:szCs w:val="24"/>
        </w:rPr>
        <w:t xml:space="preserve">I.1 Contexte et problématique</w:t>
      </w:r>
    </w:p>
    <w:p>
      <w:pPr>
        <w:spacing w:before="80" w:after="80"/>
        <w:ind w:firstLine="360"/>
        <w:jc w:val="both"/>
      </w:pPr>
      <w:r>
        <w:rPr>
          <w:rFonts w:ascii="Calibri" w:cs="Calibri" w:eastAsia="Calibri" w:hAnsi="Calibri"/>
          <w:color w:val="2C2C2C"/>
          <w:sz w:val="24"/>
          <w:szCs w:val="24"/>
        </w:rPr>
        <w:t xml:space="preserve">Dans un contexte de digitalisation croissante du secteur financier, l'évaluation du risque de crédit constitue un enjeu stratégique pour toute institution bancaire ou organisme de financement. Le défaut de remboursement d'un prêt représente une perte financière directe pour le prêteur et peut déstabiliser l'équilibre d'un portefeuille de crédit. La capacité à anticiper ces défauts, grâce aux outils d'apprentissage automatique, offre un avantage concurrentiel considérable.</w:t>
      </w:r>
    </w:p>
    <w:p>
      <w:pPr>
        <w:spacing w:before="80" w:after="80"/>
        <w:ind w:firstLine="360"/>
        <w:jc w:val="both"/>
      </w:pPr>
      <w:r>
        <w:rPr>
          <w:rFonts w:ascii="Calibri" w:cs="Calibri" w:eastAsia="Calibri" w:hAnsi="Calibri"/>
          <w:color w:val="2C2C2C"/>
          <w:sz w:val="24"/>
          <w:szCs w:val="24"/>
        </w:rPr>
        <w:t xml:space="preserve">Le présent projet s'inscrit dans cette problématique en mobilisant des techniques de classification supervisée pour prédire, à partir de données socio-économiques et financières d'emprunteurs, la probabilité qu'un client fasse défaut sur son prêt automobile. La question centrale peut être formulée ainsi : quelles variables du profil emprunteur permettent de distinguer de manière fiable les clients solvables des clients à risque ?</w:t>
      </w:r>
    </w:p>
    <w:p>
      <w:pPr>
        <w:pStyle w:val="Heading2"/>
        <w:spacing w:before="240" w:after="120"/>
      </w:pPr>
      <w:r>
        <w:rPr>
          <w:rFonts w:ascii="Calibri" w:cs="Calibri" w:eastAsia="Calibri" w:hAnsi="Calibri"/>
          <w:b/>
          <w:bCs/>
          <w:color w:val="004422"/>
          <w:sz w:val="24"/>
          <w:szCs w:val="24"/>
        </w:rPr>
        <w:t xml:space="preserve">I.2 Objectifs du projet</w:t>
      </w:r>
    </w:p>
    <w:p>
      <w:pPr>
        <w:spacing w:before="80" w:after="80"/>
        <w:ind w:firstLine="360"/>
        <w:jc w:val="both"/>
      </w:pPr>
      <w:r>
        <w:rPr>
          <w:rFonts w:ascii="Calibri" w:cs="Calibri" w:eastAsia="Calibri" w:hAnsi="Calibri"/>
          <w:color w:val="2C2C2C"/>
          <w:sz w:val="24"/>
          <w:szCs w:val="24"/>
        </w:rPr>
        <w:t xml:space="preserve">Les objectifs assignés à ce travail sont les suivants :</w:t>
      </w:r>
    </w:p>
    <w:p>
      <w:pPr>
        <w:pStyle w:val="ListParagraph"/>
        <w:numPr>
          <w:ilvl w:val="0"/>
          <w:numId w:val="2"/>
        </w:numPr>
        <w:spacing w:before="60" w:after="60"/>
      </w:pPr>
      <w:r>
        <w:rPr>
          <w:rFonts w:ascii="Calibri" w:cs="Calibri" w:eastAsia="Calibri" w:hAnsi="Calibri"/>
          <w:color w:val="2C2C2C"/>
          <w:sz w:val="24"/>
          <w:szCs w:val="24"/>
        </w:rPr>
        <w:t xml:space="preserve">Explorer et analyser un jeu de données réel de prêts automobiles à grande échelle.</w:t>
      </w:r>
    </w:p>
    <w:p>
      <w:pPr>
        <w:pStyle w:val="ListParagraph"/>
        <w:numPr>
          <w:ilvl w:val="0"/>
          <w:numId w:val="2"/>
        </w:numPr>
        <w:spacing w:before="60" w:after="60"/>
      </w:pPr>
      <w:r>
        <w:rPr>
          <w:rFonts w:ascii="Calibri" w:cs="Calibri" w:eastAsia="Calibri" w:hAnsi="Calibri"/>
          <w:color w:val="2C2C2C"/>
          <w:sz w:val="24"/>
          <w:szCs w:val="24"/>
        </w:rPr>
        <w:t xml:space="preserve">Identifier les variables les plus discriminantes du risque de défaut.</w:t>
      </w:r>
    </w:p>
    <w:p>
      <w:pPr>
        <w:pStyle w:val="ListParagraph"/>
        <w:numPr>
          <w:ilvl w:val="0"/>
          <w:numId w:val="2"/>
        </w:numPr>
        <w:spacing w:before="60" w:after="60"/>
      </w:pPr>
      <w:r>
        <w:rPr>
          <w:rFonts w:ascii="Calibri" w:cs="Calibri" w:eastAsia="Calibri" w:hAnsi="Calibri"/>
          <w:color w:val="2C2C2C"/>
          <w:sz w:val="24"/>
          <w:szCs w:val="24"/>
        </w:rPr>
        <w:t xml:space="preserve">Construire et comparer plusieurs modèles de classification binaire.</w:t>
      </w:r>
    </w:p>
    <w:p>
      <w:pPr>
        <w:pStyle w:val="ListParagraph"/>
        <w:numPr>
          <w:ilvl w:val="0"/>
          <w:numId w:val="2"/>
        </w:numPr>
        <w:spacing w:before="60" w:after="60"/>
      </w:pPr>
      <w:r>
        <w:rPr>
          <w:rFonts w:ascii="Calibri" w:cs="Calibri" w:eastAsia="Calibri" w:hAnsi="Calibri"/>
          <w:color w:val="2C2C2C"/>
          <w:sz w:val="24"/>
          <w:szCs w:val="24"/>
        </w:rPr>
        <w:t xml:space="preserve">Évaluer les performances des modèles et proposer des pistes d'amélioration.</w:t>
      </w:r>
    </w:p>
    <w:p>
      <w:pPr>
        <w:pStyle w:val="Heading2"/>
        <w:spacing w:before="240" w:after="120"/>
      </w:pPr>
      <w:r>
        <w:rPr>
          <w:rFonts w:ascii="Calibri" w:cs="Calibri" w:eastAsia="Calibri" w:hAnsi="Calibri"/>
          <w:b/>
          <w:bCs/>
          <w:color w:val="004422"/>
          <w:sz w:val="24"/>
          <w:szCs w:val="24"/>
        </w:rPr>
        <w:t xml:space="preserve">I.3 Méthodologie adoptée</w:t>
      </w:r>
    </w:p>
    <w:p>
      <w:pPr>
        <w:spacing w:before="80" w:after="80"/>
        <w:ind w:firstLine="360"/>
        <w:jc w:val="both"/>
      </w:pPr>
      <w:r>
        <w:rPr>
          <w:rFonts w:ascii="Calibri" w:cs="Calibri" w:eastAsia="Calibri" w:hAnsi="Calibri"/>
          <w:color w:val="2C2C2C"/>
          <w:sz w:val="24"/>
          <w:szCs w:val="24"/>
        </w:rPr>
        <w:t xml:space="preserve">La démarche suivie s'appuie sur la méthodologie standard du Data Mining, articulée en cinq étapes successives : (1) collecte et chargement des données depuis la plateforme Kaggle ; (2) analyse exploratoire approfondie (EDA) ; (3) prétraitement et ingénierie des variables ; (4) modélisation comparative ; (5) évaluation et interprétation des résultats. L'ensemble du travail a été réalisé sous Python, au sein d'un notebook Jupyter, en s'appuyant sur les bibliothèques scientifiques les plus répandues dans la communauté Data Science.</w:t>
      </w:r>
    </w:p>
    <w:p>
      <w:pPr>
        <w:spacing w:before="60" w:after="6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II. DESCRIPTION ET EXPLORATION DES DONNÉES</w:t>
      </w:r>
    </w:p>
    <w:p>
      <w:pPr>
        <w:pStyle w:val="Heading2"/>
        <w:spacing w:before="240" w:after="120"/>
      </w:pPr>
      <w:r>
        <w:rPr>
          <w:rFonts w:ascii="Calibri" w:cs="Calibri" w:eastAsia="Calibri" w:hAnsi="Calibri"/>
          <w:b/>
          <w:bCs/>
          <w:color w:val="004422"/>
          <w:sz w:val="24"/>
          <w:szCs w:val="24"/>
        </w:rPr>
        <w:t xml:space="preserve">II.1 Présentation du jeu de données</w:t>
      </w:r>
    </w:p>
    <w:p>
      <w:pPr>
        <w:spacing w:before="80" w:after="80"/>
        <w:ind w:firstLine="360"/>
        <w:jc w:val="both"/>
      </w:pPr>
      <w:r>
        <w:rPr>
          <w:rFonts w:ascii="Calibri" w:cs="Calibri" w:eastAsia="Calibri" w:hAnsi="Calibri"/>
          <w:color w:val="2C2C2C"/>
          <w:sz w:val="24"/>
          <w:szCs w:val="24"/>
        </w:rPr>
        <w:t xml:space="preserve">Le jeu de données utilisé est issu de la compétition Kaggle « Vehicle Loan Default Prediction » (auteur : avikpaul4u). Il rend compte de dossiers de demandes de prêts automobiles en Inde, avec une variable cible binaire indiquant si l'emprunteur a fait défaut ou non.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rPr>
          <w:tblHeader/>
        </w:trPr>
        <w:tc>
          <w:tcPr>
            <w:tcW w:type="dxa" w:w="36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Dataset</w:t>
            </w:r>
          </w:p>
        </w:tc>
        <w:tc>
          <w:tcPr>
            <w:tcW w:type="dxa" w:w="28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Nombre de lignes</w:t>
            </w:r>
          </w:p>
        </w:tc>
        <w:tc>
          <w:tcPr>
            <w:tcW w:type="dxa" w:w="28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Nombre de colonnes</w:t>
            </w:r>
          </w:p>
        </w:tc>
      </w:tr>
      <w:tr>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Entraînement (train)</w:t>
            </w:r>
          </w:p>
        </w:tc>
        <w:tc>
          <w:tcPr>
            <w:tcW w:type="dxa" w:w="2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233 154</w:t>
            </w:r>
          </w:p>
        </w:tc>
        <w:tc>
          <w:tcPr>
            <w:tcW w:type="dxa" w:w="2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41</w:t>
            </w:r>
          </w:p>
        </w:tc>
      </w:tr>
      <w:tr>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Test (test)</w:t>
            </w:r>
          </w:p>
        </w:tc>
        <w:tc>
          <w:tcPr>
            <w:tcW w:type="dxa" w:w="28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112 392</w:t>
            </w:r>
          </w:p>
        </w:tc>
        <w:tc>
          <w:tcPr>
            <w:tcW w:type="dxa" w:w="28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40</w:t>
            </w:r>
          </w:p>
        </w:tc>
      </w:tr>
    </w:tbl>
    <w:p>
      <w:pPr>
        <w:spacing w:before="60" w:after="180"/>
        <w:jc w:val="center"/>
      </w:pPr>
      <w:r>
        <w:rPr>
          <w:rFonts w:ascii="Calibri" w:cs="Calibri" w:eastAsia="Calibri" w:hAnsi="Calibri"/>
          <w:i/>
          <w:iCs/>
          <w:color w:val="888888"/>
          <w:sz w:val="20"/>
          <w:szCs w:val="20"/>
        </w:rPr>
        <w:t xml:space="preserve">Tableau 1 : Dimensions des jeux de données</w:t>
      </w:r>
    </w:p>
    <w:p>
      <w:pPr>
        <w:spacing w:before="80" w:after="80"/>
        <w:ind w:firstLine="360"/>
        <w:jc w:val="both"/>
      </w:pPr>
      <w:r>
        <w:rPr>
          <w:rFonts w:ascii="Calibri" w:cs="Calibri" w:eastAsia="Calibri" w:hAnsi="Calibri"/>
          <w:color w:val="2C2C2C"/>
          <w:sz w:val="24"/>
          <w:szCs w:val="24"/>
        </w:rPr>
        <w:t xml:space="preserve">Le jeu de données comporte 41 variables réparties en six grandes catégories : informations sur le prêt (montant décaissé, coût de l'actif, ratio LTV), profil socio-démographique de l'emprunteur (type d'emploi, date de naissance, zone géographique), documents d'identité disponibles (Aadhar, PAN, passeport, permis de conduire, carte électorale), score de crédit PERFORM_CNS et description associée, historique des comptes primaires et secondaires (nombre de comptes, comptes en souffrance, soldes en cours), ainsi que les variables de comportement crédit récent (nouvelles ouvertures de comptes, comptes défaillants dans les six derniers mois).</w:t>
      </w:r>
    </w:p>
    <w:p>
      <w:pPr>
        <w:pStyle w:val="Heading2"/>
        <w:spacing w:before="240" w:after="120"/>
      </w:pPr>
      <w:r>
        <w:rPr>
          <w:rFonts w:ascii="Calibri" w:cs="Calibri" w:eastAsia="Calibri" w:hAnsi="Calibri"/>
          <w:b/>
          <w:bCs/>
          <w:color w:val="004422"/>
          <w:sz w:val="24"/>
          <w:szCs w:val="24"/>
        </w:rPr>
        <w:t xml:space="preserve">II.2 Distribution de la variable cible</w:t>
      </w:r>
    </w:p>
    <w:p>
      <w:pPr>
        <w:spacing w:before="80" w:after="80"/>
        <w:ind w:firstLine="360"/>
        <w:jc w:val="both"/>
      </w:pPr>
      <w:r>
        <w:rPr>
          <w:rFonts w:ascii="Calibri" w:cs="Calibri" w:eastAsia="Calibri" w:hAnsi="Calibri"/>
          <w:color w:val="2C2C2C"/>
          <w:sz w:val="24"/>
          <w:szCs w:val="24"/>
        </w:rPr>
        <w:t xml:space="preserve">L'analyse de la variable cible LOAN_DEFAULT révèle un déséquilibre de classes significatif, caractéristique des problèmes de détection de risque. En effet, les cas de défaut représentent environ 21,71 % des observations, contre 78,29 % de non-défaut.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rPr>
          <w:tblHeader/>
        </w:trPr>
        <w:tc>
          <w:tcPr>
            <w:tcW w:type="dxa" w:w="38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Classe</w:t>
            </w:r>
          </w:p>
        </w:tc>
        <w:tc>
          <w:tcPr>
            <w:tcW w:type="dxa" w:w="27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Effectif</w:t>
            </w:r>
          </w:p>
        </w:tc>
        <w:tc>
          <w:tcPr>
            <w:tcW w:type="dxa" w:w="27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Proportion (%)</w:t>
            </w:r>
          </w:p>
        </w:tc>
      </w:tr>
      <w:tr>
        <w:tc>
          <w:tcPr>
            <w:tcW w:type="dxa" w:w="3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0 — Pas de défaut</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182 543</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78,29 %</w:t>
            </w:r>
          </w:p>
        </w:tc>
      </w:tr>
      <w:tr>
        <w:tc>
          <w:tcPr>
            <w:tcW w:type="dxa" w:w="38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1 — Défaut</w:t>
            </w:r>
          </w:p>
        </w:tc>
        <w:tc>
          <w:tcPr>
            <w:tcW w:type="dxa" w:w="27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50 611</w:t>
            </w:r>
          </w:p>
        </w:tc>
        <w:tc>
          <w:tcPr>
            <w:tcW w:type="dxa" w:w="27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21,71 %</w:t>
            </w:r>
          </w:p>
        </w:tc>
      </w:tr>
      <w:tr>
        <w:tc>
          <w:tcPr>
            <w:tcW w:type="dxa" w:w="3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Total</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233 154</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100,00 %</w:t>
            </w:r>
          </w:p>
        </w:tc>
      </w:tr>
    </w:tbl>
    <w:p>
      <w:pPr>
        <w:spacing w:before="60" w:after="180"/>
        <w:jc w:val="center"/>
      </w:pPr>
      <w:r>
        <w:rPr>
          <w:rFonts w:ascii="Calibri" w:cs="Calibri" w:eastAsia="Calibri" w:hAnsi="Calibri"/>
          <w:i/>
          <w:iCs/>
          <w:color w:val="888888"/>
          <w:sz w:val="20"/>
          <w:szCs w:val="20"/>
        </w:rPr>
        <w:t xml:space="preserve">Tableau 2 : Répartition de la variable cible LOAN_DEFAULT</w:t>
      </w:r>
    </w:p>
    <w:p>
      <w:pPr>
        <w:spacing w:before="80" w:after="80"/>
        <w:ind w:firstLine="360"/>
        <w:jc w:val="both"/>
      </w:pPr>
      <w:r>
        <w:rPr>
          <w:rFonts w:ascii="Calibri" w:cs="Calibri" w:eastAsia="Calibri" w:hAnsi="Calibri"/>
          <w:color w:val="2C2C2C"/>
          <w:sz w:val="24"/>
          <w:szCs w:val="24"/>
        </w:rPr>
        <w:t xml:space="preserve">Ce déséquilibre est d'une importance capitale pour le choix des métriques d'évaluation. L'accuracy seule s'avère insuffisante dans ce contexte, car un modèle naïf prédisant systématiquement « pas de défaut » atteindrait déjà 78 % de précision sans aucune valeur discriminante réelle.</w:t>
      </w:r>
    </w:p>
    <w:p>
      <w:pPr>
        <w:pStyle w:val="Heading2"/>
        <w:spacing w:before="240" w:after="120"/>
      </w:pPr>
      <w:r>
        <w:rPr>
          <w:rFonts w:ascii="Calibri" w:cs="Calibri" w:eastAsia="Calibri" w:hAnsi="Calibri"/>
          <w:b/>
          <w:bCs/>
          <w:color w:val="004422"/>
          <w:sz w:val="24"/>
          <w:szCs w:val="24"/>
        </w:rPr>
        <w:t xml:space="preserve">II.3 Analyse par profil emprunteur</w:t>
      </w:r>
    </w:p>
    <w:p>
      <w:pPr>
        <w:spacing w:before="80" w:after="80"/>
        <w:ind w:firstLine="360"/>
        <w:jc w:val="both"/>
      </w:pPr>
      <w:r>
        <w:rPr>
          <w:rFonts w:ascii="Calibri" w:cs="Calibri" w:eastAsia="Calibri" w:hAnsi="Calibri"/>
          <w:color w:val="2C2C2C"/>
          <w:sz w:val="24"/>
          <w:szCs w:val="24"/>
        </w:rPr>
        <w:t xml:space="preserve">L'analyse croisée entre les variables descriptives et la variable cible permet d'identifier plusieurs facteurs associés au risque de défaut.</w:t>
      </w:r>
    </w:p>
    <w:p>
      <w:pPr>
        <w:spacing w:before="60" w:after="60"/>
      </w:pPr>
      <w:r>
        <w:t xml:space="preserve"/>
      </w:r>
    </w:p>
    <w:p>
      <w:pPr>
        <w:spacing w:before="120" w:after="80"/>
      </w:pPr>
      <w:r>
        <w:rPr>
          <w:rFonts w:ascii="Calibri" w:cs="Calibri" w:eastAsia="Calibri" w:hAnsi="Calibri"/>
          <w:b/>
          <w:bCs/>
          <w:color w:val="004422"/>
          <w:sz w:val="24"/>
          <w:szCs w:val="24"/>
        </w:rPr>
        <w:t xml:space="preserve">a) Influence du type d'emploi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900"/>
      </w:tblGrid>
      <w:tr>
        <w:trPr>
          <w:tblHeader/>
        </w:trPr>
        <w:tc>
          <w:tcPr>
            <w:tcW w:type="dxa" w:w="36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Type d'emploi</w:t>
            </w:r>
          </w:p>
        </w:tc>
        <w:tc>
          <w:tcPr>
            <w:tcW w:type="dxa" w:w="27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Taux de non-défaut</w:t>
            </w:r>
          </w:p>
        </w:tc>
        <w:tc>
          <w:tcPr>
            <w:tcW w:type="dxa" w:w="29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Taux de défaut</w:t>
            </w:r>
          </w:p>
        </w:tc>
      </w:tr>
      <w:tr>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Salaried (salarié)</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79,65 %</w:t>
            </w:r>
          </w:p>
        </w:tc>
        <w:tc>
          <w:tcPr>
            <w:tcW w:type="dxa" w:w="29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20,35 %</w:t>
            </w:r>
          </w:p>
        </w:tc>
      </w:tr>
      <w:tr>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Self employed (indépendant)</w:t>
            </w:r>
          </w:p>
        </w:tc>
        <w:tc>
          <w:tcPr>
            <w:tcW w:type="dxa" w:w="27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77,23 %</w:t>
            </w:r>
          </w:p>
        </w:tc>
        <w:tc>
          <w:tcPr>
            <w:tcW w:type="dxa" w:w="29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22,77 %</w:t>
            </w:r>
          </w:p>
        </w:tc>
      </w:tr>
      <w:tr>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Missing (non renseigné)</w:t>
            </w:r>
          </w:p>
        </w:tc>
        <w:tc>
          <w:tcPr>
            <w:tcW w:type="dxa" w:w="2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78,54 %</w:t>
            </w:r>
          </w:p>
        </w:tc>
        <w:tc>
          <w:tcPr>
            <w:tcW w:type="dxa" w:w="29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21,46 %</w:t>
            </w:r>
          </w:p>
        </w:tc>
      </w:tr>
    </w:tbl>
    <w:p>
      <w:pPr>
        <w:spacing w:before="60" w:after="180"/>
        <w:jc w:val="center"/>
      </w:pPr>
      <w:r>
        <w:rPr>
          <w:rFonts w:ascii="Calibri" w:cs="Calibri" w:eastAsia="Calibri" w:hAnsi="Calibri"/>
          <w:i/>
          <w:iCs/>
          <w:color w:val="888888"/>
          <w:sz w:val="20"/>
          <w:szCs w:val="20"/>
        </w:rPr>
        <w:t xml:space="preserve">Tableau 3 : Taux de défaut selon le type d'emploi</w:t>
      </w:r>
    </w:p>
    <w:p>
      <w:pPr>
        <w:spacing w:before="80" w:after="80"/>
        <w:ind w:firstLine="360"/>
        <w:jc w:val="both"/>
      </w:pPr>
      <w:r>
        <w:rPr>
          <w:rFonts w:ascii="Calibri" w:cs="Calibri" w:eastAsia="Calibri" w:hAnsi="Calibri"/>
          <w:color w:val="2C2C2C"/>
          <w:sz w:val="24"/>
          <w:szCs w:val="24"/>
        </w:rPr>
        <w:t xml:space="preserve">Les travailleurs indépendants présentent un taux de défaut légèrement supérieur (22,77 %) par rapport aux salariés (20,35 %), ce qui peut s'expliquer par la volatilité plus élevée de leurs revenus.</w:t>
      </w:r>
    </w:p>
    <w:p>
      <w:pPr>
        <w:spacing w:before="60" w:after="60"/>
      </w:pPr>
      <w:r>
        <w:t xml:space="preserve"/>
      </w:r>
    </w:p>
    <w:p>
      <w:pPr>
        <w:spacing w:before="120" w:after="80"/>
      </w:pPr>
      <w:r>
        <w:rPr>
          <w:rFonts w:ascii="Calibri" w:cs="Calibri" w:eastAsia="Calibri" w:hAnsi="Calibri"/>
          <w:b/>
          <w:bCs/>
          <w:color w:val="004422"/>
          <w:sz w:val="24"/>
          <w:szCs w:val="24"/>
        </w:rPr>
        <w:t xml:space="preserve">b) Influence des documents d'identité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Document</w:t>
            </w:r>
          </w:p>
        </w:tc>
        <w:tc>
          <w:tcPr>
            <w:tcW w:type="dxa" w:w="24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Présence</w:t>
            </w:r>
          </w:p>
        </w:tc>
        <w:tc>
          <w:tcPr>
            <w:tcW w:type="dxa" w:w="36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Taux de défaut</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Passeport</w:t>
            </w:r>
          </w:p>
        </w:tc>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Présent</w:t>
            </w:r>
          </w:p>
        </w:tc>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14,92 %</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Passeport</w:t>
            </w:r>
          </w:p>
        </w:tc>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Absent</w:t>
            </w:r>
          </w:p>
        </w:tc>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21,72 %</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Permis de conduire</w:t>
            </w:r>
          </w:p>
        </w:tc>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Présent</w:t>
            </w:r>
          </w:p>
        </w:tc>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20,15 %</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Permis de conduire</w:t>
            </w:r>
          </w:p>
        </w:tc>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Absent</w:t>
            </w:r>
          </w:p>
        </w:tc>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21,74 %</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Aadhar</w:t>
            </w:r>
          </w:p>
        </w:tc>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Absent</w:t>
            </w:r>
          </w:p>
        </w:tc>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25,64 %</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Carte électorale (Voter ID)</w:t>
            </w:r>
          </w:p>
        </w:tc>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Présent</w:t>
            </w:r>
          </w:p>
        </w:tc>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26,09 %</w:t>
            </w:r>
          </w:p>
        </w:tc>
      </w:tr>
    </w:tbl>
    <w:p>
      <w:pPr>
        <w:spacing w:before="60" w:after="180"/>
        <w:jc w:val="center"/>
      </w:pPr>
      <w:r>
        <w:rPr>
          <w:rFonts w:ascii="Calibri" w:cs="Calibri" w:eastAsia="Calibri" w:hAnsi="Calibri"/>
          <w:i/>
          <w:iCs/>
          <w:color w:val="888888"/>
          <w:sz w:val="20"/>
          <w:szCs w:val="20"/>
        </w:rPr>
        <w:t xml:space="preserve">Tableau 4 : Taux de défaut selon les documents d'identité</w:t>
      </w:r>
    </w:p>
    <w:p>
      <w:pPr>
        <w:spacing w:before="80" w:after="80"/>
        <w:ind w:firstLine="360"/>
        <w:jc w:val="both"/>
      </w:pPr>
      <w:r>
        <w:rPr>
          <w:rFonts w:ascii="Calibri" w:cs="Calibri" w:eastAsia="Calibri" w:hAnsi="Calibri"/>
          <w:color w:val="2C2C2C"/>
          <w:sz w:val="24"/>
          <w:szCs w:val="24"/>
        </w:rPr>
        <w:t xml:space="preserve">La possession d'un passeport est associée à un taux de défaut nettement plus faible (14,92 % contre 21,72 % pour les non-détenteurs). Cette corrélation suggère que la détention d'un passeport constitue un proxy indirect d'un profil socio-économique plus stable et d'une mobilité internationale, elle-même liée à un niveau de revenus plus élevé.</w:t>
      </w:r>
    </w:p>
    <w:p>
      <w:pPr>
        <w:pStyle w:val="Heading2"/>
        <w:spacing w:before="240" w:after="120"/>
      </w:pPr>
      <w:r>
        <w:rPr>
          <w:rFonts w:ascii="Calibri" w:cs="Calibri" w:eastAsia="Calibri" w:hAnsi="Calibri"/>
          <w:b/>
          <w:bCs/>
          <w:color w:val="004422"/>
          <w:sz w:val="24"/>
          <w:szCs w:val="24"/>
        </w:rPr>
        <w:t xml:space="preserve">II.4 Analyse du montant décaissé</w:t>
      </w:r>
    </w:p>
    <w:p>
      <w:pPr>
        <w:spacing w:before="80" w:after="80"/>
        <w:ind w:firstLine="360"/>
        <w:jc w:val="both"/>
      </w:pPr>
      <w:r>
        <w:rPr>
          <w:rFonts w:ascii="Calibri" w:cs="Calibri" w:eastAsia="Calibri" w:hAnsi="Calibri"/>
          <w:color w:val="2C2C2C"/>
          <w:sz w:val="24"/>
          <w:szCs w:val="24"/>
        </w:rPr>
        <w:t xml:space="preserve">La variable DISBURSED_AMOUNT, représentant le montant effectivement décaissé lors de l'octroi du prêt, présente les caractéristiques statistiques suivantes :</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0"/>
        <w:gridCol w:w="4200"/>
      </w:tblGrid>
      <w:tr>
        <w:trPr>
          <w:tblHeader/>
        </w:trPr>
        <w:tc>
          <w:tcPr>
            <w:tcW w:type="dxa" w:w="5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Statistique</w:t>
            </w:r>
          </w:p>
        </w:tc>
        <w:tc>
          <w:tcPr>
            <w:tcW w:type="dxa" w:w="4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Valeur</w:t>
            </w:r>
          </w:p>
        </w:tc>
      </w:tr>
      <w:tr>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Nombre d'observations</w:t>
            </w:r>
          </w:p>
        </w:tc>
        <w:tc>
          <w:tcPr>
            <w:tcW w:type="dxa" w:w="4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233 154</w:t>
            </w:r>
          </w:p>
        </w:tc>
      </w:tr>
      <w:tr>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Moyenne</w:t>
            </w:r>
          </w:p>
        </w:tc>
        <w:tc>
          <w:tcPr>
            <w:tcW w:type="dxa" w:w="4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54 356,99</w:t>
            </w:r>
          </w:p>
        </w:tc>
      </w:tr>
      <w:tr>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Écart-type</w:t>
            </w:r>
          </w:p>
        </w:tc>
        <w:tc>
          <w:tcPr>
            <w:tcW w:type="dxa" w:w="4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12 971,29</w:t>
            </w:r>
          </w:p>
        </w:tc>
      </w:tr>
      <w:tr>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Valeurs aberrantes détectées (±3σ)</w:t>
            </w:r>
          </w:p>
        </w:tc>
        <w:tc>
          <w:tcPr>
            <w:tcW w:type="dxa" w:w="4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3 076 observations</w:t>
            </w:r>
          </w:p>
        </w:tc>
      </w:tr>
    </w:tbl>
    <w:p>
      <w:pPr>
        <w:spacing w:before="60" w:after="180"/>
        <w:jc w:val="center"/>
      </w:pPr>
      <w:r>
        <w:rPr>
          <w:rFonts w:ascii="Calibri" w:cs="Calibri" w:eastAsia="Calibri" w:hAnsi="Calibri"/>
          <w:i/>
          <w:iCs/>
          <w:color w:val="888888"/>
          <w:sz w:val="20"/>
          <w:szCs w:val="20"/>
        </w:rPr>
        <w:t xml:space="preserve">Tableau 5 : Statistiques descriptives de la variable DISBURSED_AMOUNT</w:t>
      </w:r>
    </w:p>
    <w:p>
      <w:pPr>
        <w:spacing w:before="80" w:after="80"/>
        <w:ind w:firstLine="360"/>
        <w:jc w:val="both"/>
      </w:pPr>
      <w:r>
        <w:rPr>
          <w:rFonts w:ascii="Calibri" w:cs="Calibri" w:eastAsia="Calibri" w:hAnsi="Calibri"/>
          <w:color w:val="2C2C2C"/>
          <w:sz w:val="24"/>
          <w:szCs w:val="24"/>
        </w:rPr>
        <w:t xml:space="preserve">L'application de la règle des trois écarts-types (méthode 3σ) a permis d'identifier 3 076 valeurs aberrantes, soit 1,32 % des observations. Ces valeurs extrêmes ont été imputées par la moyenne afin de limiter leur influence sur les estimateurs des modèles.</w:t>
      </w:r>
    </w:p>
    <w:p>
      <w:pPr>
        <w:spacing w:before="60" w:after="6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III. PRÉPARATION DES DONNÉES ET INGÉNIERIE DES FEATURES</w:t>
      </w:r>
    </w:p>
    <w:p>
      <w:pPr>
        <w:pStyle w:val="Heading2"/>
        <w:spacing w:before="240" w:after="120"/>
      </w:pPr>
      <w:r>
        <w:rPr>
          <w:rFonts w:ascii="Calibri" w:cs="Calibri" w:eastAsia="Calibri" w:hAnsi="Calibri"/>
          <w:b/>
          <w:bCs/>
          <w:color w:val="004422"/>
          <w:sz w:val="24"/>
          <w:szCs w:val="24"/>
        </w:rPr>
        <w:t xml:space="preserve">III.1 Nettoyage des données</w:t>
      </w:r>
    </w:p>
    <w:p>
      <w:pPr>
        <w:spacing w:before="80" w:after="80"/>
        <w:ind w:firstLine="360"/>
        <w:jc w:val="both"/>
      </w:pPr>
      <w:r>
        <w:rPr>
          <w:rFonts w:ascii="Calibri" w:cs="Calibri" w:eastAsia="Calibri" w:hAnsi="Calibri"/>
          <w:color w:val="2C2C2C"/>
          <w:sz w:val="24"/>
          <w:szCs w:val="24"/>
        </w:rPr>
        <w:t xml:space="preserve">La phase de préparation des données a débuté par une vérification de l'intégrité du jeu de données. Les doublons ont été identifiés et supprimés dans les deux ensembles (entraînement et test). Par ailleurs, les valeurs aberrantes de la variable DISBURSED_AMOUNT ont été traitées par imputation à la moyenne selon la méthode 3σ, afin d'éviter leur influence disproportionnée sur l'apprentissage des modèles.</w:t>
      </w:r>
    </w:p>
    <w:p>
      <w:pPr>
        <w:pStyle w:val="Heading2"/>
        <w:spacing w:before="240" w:after="120"/>
      </w:pPr>
      <w:r>
        <w:rPr>
          <w:rFonts w:ascii="Calibri" w:cs="Calibri" w:eastAsia="Calibri" w:hAnsi="Calibri"/>
          <w:b/>
          <w:bCs/>
          <w:color w:val="004422"/>
          <w:sz w:val="24"/>
          <w:szCs w:val="24"/>
        </w:rPr>
        <w:t xml:space="preserve">III.2 Construction des variables (Feature Engineering)</w:t>
      </w:r>
    </w:p>
    <w:p>
      <w:pPr>
        <w:spacing w:before="80" w:after="80"/>
        <w:ind w:firstLine="360"/>
        <w:jc w:val="both"/>
      </w:pPr>
      <w:r>
        <w:rPr>
          <w:rFonts w:ascii="Calibri" w:cs="Calibri" w:eastAsia="Calibri" w:hAnsi="Calibri"/>
          <w:color w:val="2C2C2C"/>
          <w:sz w:val="24"/>
          <w:szCs w:val="24"/>
        </w:rPr>
        <w:t xml:space="preserve">Afin d'améliorer le pouvoir explicatif du jeu de données, deux transformations ont été appliquées :</w:t>
      </w:r>
    </w:p>
    <w:p>
      <w:pPr>
        <w:pStyle w:val="ListParagraph"/>
        <w:numPr>
          <w:ilvl w:val="0"/>
          <w:numId w:val="2"/>
        </w:numPr>
        <w:spacing w:before="60" w:after="60"/>
      </w:pPr>
      <w:r>
        <w:rPr>
          <w:rFonts w:ascii="Calibri" w:cs="Calibri" w:eastAsia="Calibri" w:hAnsi="Calibri"/>
          <w:color w:val="2C2C2C"/>
          <w:sz w:val="24"/>
          <w:szCs w:val="24"/>
        </w:rPr>
        <w:t xml:space="preserve">Discrétisation par quartiles de la variable DISBURSED_AMOUNT en quatre catégories ordinales : Low (bas), Medium (moyen), High (élevé), Extreme (extrême). Cette transformation permet de capturer des effets non linéaires du montant décaissé sur le risque de défaut.</w:t>
      </w:r>
    </w:p>
    <w:p>
      <w:pPr>
        <w:pStyle w:val="ListParagraph"/>
        <w:numPr>
          <w:ilvl w:val="0"/>
          <w:numId w:val="2"/>
        </w:numPr>
        <w:spacing w:before="60" w:after="60"/>
      </w:pPr>
      <w:r>
        <w:rPr>
          <w:rFonts w:ascii="Calibri" w:cs="Calibri" w:eastAsia="Calibri" w:hAnsi="Calibri"/>
          <w:color w:val="2C2C2C"/>
          <w:sz w:val="24"/>
          <w:szCs w:val="24"/>
        </w:rPr>
        <w:t xml:space="preserve">Encodage One-Hot des variables catégorielles EMPLOYMENT_TYPE, PERFORM_CNS_SCORE_DESCRIPTION et DISBURSED_AMOUNT_bins, afin de les rendre exploitables par les algorithmes de classification.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Catégorie (DISBURSED_AMOUNT)</w:t>
            </w:r>
          </w:p>
        </w:tc>
        <w:tc>
          <w:tcPr>
            <w:tcW w:type="dxa" w:w="47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Effectif</w:t>
            </w:r>
          </w:p>
        </w:tc>
      </w:tr>
      <w:tr>
        <w:tc>
          <w:tcPr>
            <w:tcW w:type="dxa" w:w="45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Medium</w:t>
            </w:r>
          </w:p>
        </w:tc>
        <w:tc>
          <w:tcPr>
            <w:tcW w:type="dxa" w:w="4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58 676</w:t>
            </w:r>
          </w:p>
        </w:tc>
      </w:tr>
      <w:tr>
        <w:tc>
          <w:tcPr>
            <w:tcW w:type="dxa" w:w="45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Low</w:t>
            </w:r>
          </w:p>
        </w:tc>
        <w:tc>
          <w:tcPr>
            <w:tcW w:type="dxa" w:w="47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58 537</w:t>
            </w:r>
          </w:p>
        </w:tc>
      </w:tr>
      <w:tr>
        <w:tc>
          <w:tcPr>
            <w:tcW w:type="dxa" w:w="45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Extreme</w:t>
            </w:r>
          </w:p>
        </w:tc>
        <w:tc>
          <w:tcPr>
            <w:tcW w:type="dxa" w:w="47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58 207</w:t>
            </w:r>
          </w:p>
        </w:tc>
      </w:tr>
      <w:tr>
        <w:tc>
          <w:tcPr>
            <w:tcW w:type="dxa" w:w="45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High</w:t>
            </w:r>
          </w:p>
        </w:tc>
        <w:tc>
          <w:tcPr>
            <w:tcW w:type="dxa" w:w="47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57 734</w:t>
            </w:r>
          </w:p>
        </w:tc>
      </w:tr>
    </w:tbl>
    <w:p>
      <w:pPr>
        <w:spacing w:before="60" w:after="180"/>
        <w:jc w:val="center"/>
      </w:pPr>
      <w:r>
        <w:rPr>
          <w:rFonts w:ascii="Calibri" w:cs="Calibri" w:eastAsia="Calibri" w:hAnsi="Calibri"/>
          <w:i/>
          <w:iCs/>
          <w:color w:val="888888"/>
          <w:sz w:val="20"/>
          <w:szCs w:val="20"/>
        </w:rPr>
        <w:t xml:space="preserve">Tableau 6 : Distribution des quartiles de DISBURSED_AMOUNT</w:t>
      </w:r>
    </w:p>
    <w:p>
      <w:pPr>
        <w:pStyle w:val="Heading2"/>
        <w:spacing w:before="240" w:after="120"/>
      </w:pPr>
      <w:r>
        <w:rPr>
          <w:rFonts w:ascii="Calibri" w:cs="Calibri" w:eastAsia="Calibri" w:hAnsi="Calibri"/>
          <w:b/>
          <w:bCs/>
          <w:color w:val="004422"/>
          <w:sz w:val="24"/>
          <w:szCs w:val="24"/>
        </w:rPr>
        <w:t xml:space="preserve">III.3 Découpage et encodage</w:t>
      </w:r>
    </w:p>
    <w:p>
      <w:pPr>
        <w:spacing w:before="80" w:after="80"/>
        <w:ind w:firstLine="360"/>
        <w:jc w:val="both"/>
      </w:pPr>
      <w:r>
        <w:rPr>
          <w:rFonts w:ascii="Calibri" w:cs="Calibri" w:eastAsia="Calibri" w:hAnsi="Calibri"/>
          <w:color w:val="2C2C2C"/>
          <w:sz w:val="24"/>
          <w:szCs w:val="24"/>
        </w:rPr>
        <w:t xml:space="preserve">Cinq variables ont été exclues de la matrice de features, pour les raisons exposées dans le tableau ci-après :</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Variable retirée</w:t>
            </w:r>
          </w:p>
        </w:tc>
        <w:tc>
          <w:tcPr>
            <w:tcW w:type="dxa" w:w="6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Justification</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LOAN_DEFAULT</w:t>
            </w:r>
          </w:p>
        </w:tc>
        <w:tc>
          <w:tcPr>
            <w:tcW w:type="dxa" w:w="6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Variable cible — à prédire, non à utiliser en input</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UNIQUEID</w:t>
            </w:r>
          </w:p>
        </w:tc>
        <w:tc>
          <w:tcPr>
            <w:tcW w:type="dxa" w:w="6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Identifiant unique, sans valeur prédictive</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DISBURSED_AMOUNT</w:t>
            </w:r>
          </w:p>
        </w:tc>
        <w:tc>
          <w:tcPr>
            <w:tcW w:type="dxa" w:w="6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Remplacée par la variable catégorielle DISBURSED_AMOUNT_bins</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ASSET_COST</w:t>
            </w:r>
          </w:p>
        </w:tc>
        <w:tc>
          <w:tcPr>
            <w:tcW w:type="dxa" w:w="6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Risque de colinéarité avec le montant décaissé</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DISBURSAL_DATE</w:t>
            </w:r>
          </w:p>
        </w:tc>
        <w:tc>
          <w:tcPr>
            <w:tcW w:type="dxa" w:w="6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Variable temporelle brute nécessitant un traitement calendaire spécifique</w:t>
            </w:r>
          </w:p>
        </w:tc>
      </w:tr>
    </w:tbl>
    <w:p>
      <w:pPr>
        <w:spacing w:before="60" w:after="180"/>
        <w:jc w:val="center"/>
      </w:pPr>
      <w:r>
        <w:rPr>
          <w:rFonts w:ascii="Calibri" w:cs="Calibri" w:eastAsia="Calibri" w:hAnsi="Calibri"/>
          <w:i/>
          <w:iCs/>
          <w:color w:val="888888"/>
          <w:sz w:val="20"/>
          <w:szCs w:val="20"/>
        </w:rPr>
        <w:t xml:space="preserve">Tableau 7 : Variables exclues du jeu de features et justifications</w:t>
      </w:r>
    </w:p>
    <w:p>
      <w:pPr>
        <w:spacing w:before="80" w:after="80"/>
        <w:ind w:firstLine="360"/>
        <w:jc w:val="both"/>
      </w:pPr>
      <w:r>
        <w:rPr>
          <w:rFonts w:ascii="Calibri" w:cs="Calibri" w:eastAsia="Calibri" w:hAnsi="Calibri"/>
          <w:color w:val="2C2C2C"/>
          <w:sz w:val="24"/>
          <w:szCs w:val="24"/>
        </w:rPr>
        <w:t xml:space="preserve">Le découpage final du jeu de données a été réalisé en respectant les proportions de classes originales grâce à la stratification. Ainsi, 70 % des observations ont été affectées à l'ensemble d'entraînement et 30 % à l'ensemble de test, avec un paramètre random_state fixé à 42 pour assurer la reproductibilité des résultats.</w:t>
      </w:r>
    </w:p>
    <w:p>
      <w:pPr>
        <w:spacing w:before="60" w:after="6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IV. MODÉLISATION</w:t>
      </w:r>
    </w:p>
    <w:p>
      <w:pPr>
        <w:pStyle w:val="Heading2"/>
        <w:spacing w:before="240" w:after="120"/>
      </w:pPr>
      <w:r>
        <w:rPr>
          <w:rFonts w:ascii="Calibri" w:cs="Calibri" w:eastAsia="Calibri" w:hAnsi="Calibri"/>
          <w:b/>
          <w:bCs/>
          <w:color w:val="004422"/>
          <w:sz w:val="24"/>
          <w:szCs w:val="24"/>
        </w:rPr>
        <w:t xml:space="preserve">IV.1 Algorithmes utilisés</w:t>
      </w:r>
    </w:p>
    <w:p>
      <w:pPr>
        <w:spacing w:before="80" w:after="80"/>
        <w:ind w:firstLine="360"/>
        <w:jc w:val="both"/>
      </w:pPr>
      <w:r>
        <w:rPr>
          <w:rFonts w:ascii="Calibri" w:cs="Calibri" w:eastAsia="Calibri" w:hAnsi="Calibri"/>
          <w:color w:val="2C2C2C"/>
          <w:sz w:val="24"/>
          <w:szCs w:val="24"/>
        </w:rPr>
        <w:t xml:space="preserve">Deux algorithmes de classification binaire ont été implémentés et comparés dans le cadre de ce projet :</w:t>
      </w:r>
    </w:p>
    <w:p>
      <w:pPr>
        <w:spacing w:before="60" w:after="60"/>
      </w:pPr>
      <w:r>
        <w:t xml:space="preserve"/>
      </w:r>
    </w:p>
    <w:p>
      <w:pPr>
        <w:spacing w:before="120" w:after="80"/>
      </w:pPr>
      <w:r>
        <w:rPr>
          <w:rFonts w:ascii="Calibri" w:cs="Calibri" w:eastAsia="Calibri" w:hAnsi="Calibri"/>
          <w:b/>
          <w:bCs/>
          <w:color w:val="004422"/>
          <w:sz w:val="24"/>
          <w:szCs w:val="24"/>
        </w:rPr>
        <w:t xml:space="preserve">a) Régression Logistique</w:t>
      </w:r>
    </w:p>
    <w:p>
      <w:pPr>
        <w:spacing w:before="60" w:after="60"/>
        <w:jc w:val="both"/>
      </w:pPr>
      <w:r>
        <w:rPr>
          <w:rFonts w:ascii="Calibri" w:cs="Calibri" w:eastAsia="Calibri" w:hAnsi="Calibri"/>
          <w:color w:val="2C2C2C"/>
          <w:sz w:val="24"/>
          <w:szCs w:val="24"/>
        </w:rPr>
        <w:t xml:space="preserve">La régression logistique est un modèle linéaire particulièrement adapté aux problèmes de classification binaire. Elle modélise la probabilité d'appartenance à une classe en appliquant une fonction sigmoïde à une combinaison linéaire des features. Dans ce travail, le solveur liblinear a été utilisé, adapté aux jeux de données de taille modérée à grande.</w:t>
      </w:r>
    </w:p>
    <w:p>
      <w:pPr>
        <w:spacing w:before="60" w:after="60"/>
      </w:pPr>
      <w:r>
        <w:t xml:space="preserve"/>
      </w:r>
    </w:p>
    <w:p>
      <w:pPr>
        <w:spacing w:before="120" w:after="80"/>
      </w:pPr>
      <w:r>
        <w:rPr>
          <w:rFonts w:ascii="Calibri" w:cs="Calibri" w:eastAsia="Calibri" w:hAnsi="Calibri"/>
          <w:b/>
          <w:bCs/>
          <w:color w:val="004422"/>
          <w:sz w:val="24"/>
          <w:szCs w:val="24"/>
        </w:rPr>
        <w:t xml:space="preserve">b) Random Forest Classifier</w:t>
      </w:r>
    </w:p>
    <w:p>
      <w:pPr>
        <w:spacing w:before="60" w:after="60"/>
        <w:jc w:val="both"/>
      </w:pPr>
      <w:r>
        <w:rPr>
          <w:rFonts w:ascii="Calibri" w:cs="Calibri" w:eastAsia="Calibri" w:hAnsi="Calibri"/>
          <w:color w:val="2C2C2C"/>
          <w:sz w:val="24"/>
          <w:szCs w:val="24"/>
        </w:rPr>
        <w:t xml:space="preserve">Le Random Forest est un algorithme d'ensemble basé sur la construction de multiples arbres de décision entraînés sur des sous-échantillons aléatoires du jeu de données. Sa prédiction finale résulte d'un vote majoritaire entre les différents arbres. Dans la configuration retenue, 10 estimateurs ont été utilisés, ce qui constitue une configuration de base susceptible d'être améliorée.</w:t>
      </w:r>
    </w:p>
    <w:p>
      <w:pPr>
        <w:pStyle w:val="Heading2"/>
        <w:spacing w:before="240" w:after="120"/>
      </w:pPr>
      <w:r>
        <w:rPr>
          <w:rFonts w:ascii="Calibri" w:cs="Calibri" w:eastAsia="Calibri" w:hAnsi="Calibri"/>
          <w:b/>
          <w:bCs/>
          <w:color w:val="004422"/>
          <w:sz w:val="24"/>
          <w:szCs w:val="24"/>
        </w:rPr>
        <w:t xml:space="preserve">IV.2 Protocole de validation</w:t>
      </w:r>
    </w:p>
    <w:p>
      <w:pPr>
        <w:spacing w:before="80" w:after="80"/>
        <w:ind w:firstLine="360"/>
        <w:jc w:val="both"/>
      </w:pPr>
      <w:r>
        <w:rPr>
          <w:rFonts w:ascii="Calibri" w:cs="Calibri" w:eastAsia="Calibri" w:hAnsi="Calibri"/>
          <w:color w:val="2C2C2C"/>
          <w:sz w:val="24"/>
          <w:szCs w:val="24"/>
        </w:rPr>
        <w:t xml:space="preserve">Afin de garantir la robustesse de l'évaluation, deux protocoles distincts ont été appliqués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Modèle</w:t>
            </w:r>
          </w:p>
        </w:tc>
        <w:tc>
          <w:tcPr>
            <w:tcW w:type="dxa" w:w="3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Protocole d'évaluation</w:t>
            </w:r>
          </w:p>
        </w:tc>
        <w:tc>
          <w:tcPr>
            <w:tcW w:type="dxa" w:w="3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Paramètres</w:t>
            </w:r>
          </w:p>
        </w:tc>
      </w:tr>
      <w:tr>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Régression Logistique</w:t>
            </w:r>
          </w:p>
        </w:tc>
        <w:tc>
          <w:tcPr>
            <w:tcW w:type="dxa" w:w="3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Validation croisée stratifiée</w:t>
            </w:r>
          </w:p>
        </w:tc>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StratifiedKFold, k=5, shuffle=True</w:t>
            </w:r>
          </w:p>
        </w:tc>
      </w:tr>
      <w:tr>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Random Forest</w:t>
            </w:r>
          </w:p>
        </w:tc>
        <w:tc>
          <w:tcPr>
            <w:tcW w:type="dxa" w:w="3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Holdout (test set dédié)</w:t>
            </w:r>
          </w:p>
        </w:tc>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Test size = 30 %, stratifié</w:t>
            </w:r>
          </w:p>
        </w:tc>
      </w:tr>
    </w:tbl>
    <w:p>
      <w:pPr>
        <w:spacing w:before="60" w:after="180"/>
        <w:jc w:val="center"/>
      </w:pPr>
      <w:r>
        <w:rPr>
          <w:rFonts w:ascii="Calibri" w:cs="Calibri" w:eastAsia="Calibri" w:hAnsi="Calibri"/>
          <w:i/>
          <w:iCs/>
          <w:color w:val="888888"/>
          <w:sz w:val="20"/>
          <w:szCs w:val="20"/>
        </w:rPr>
        <w:t xml:space="preserve">Tableau 8 : Protocoles d'évaluation selon le modèle</w:t>
      </w:r>
    </w:p>
    <w:p>
      <w:pPr>
        <w:spacing w:before="80" w:after="80"/>
        <w:ind w:firstLine="360"/>
        <w:jc w:val="both"/>
      </w:pPr>
      <w:r>
        <w:rPr>
          <w:rFonts w:ascii="Calibri" w:cs="Calibri" w:eastAsia="Calibri" w:hAnsi="Calibri"/>
          <w:color w:val="2C2C2C"/>
          <w:sz w:val="24"/>
          <w:szCs w:val="24"/>
        </w:rPr>
        <w:t xml:space="preserve">L'utilisation de la validation croisée stratifiée pour la régression logistique présente l'avantage de préserver le ratio de classes à chaque fold, ce qui est particulièrement pertinent dans un contexte de déséquilibre de classes.</w:t>
      </w:r>
    </w:p>
    <w:p>
      <w:pPr>
        <w:spacing w:before="60" w:after="6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V. RÉSULTATS ET DISCUSSION</w:t>
      </w:r>
    </w:p>
    <w:p>
      <w:pPr>
        <w:pStyle w:val="Heading2"/>
        <w:spacing w:before="240" w:after="120"/>
      </w:pPr>
      <w:r>
        <w:rPr>
          <w:rFonts w:ascii="Calibri" w:cs="Calibri" w:eastAsia="Calibri" w:hAnsi="Calibri"/>
          <w:b/>
          <w:bCs/>
          <w:color w:val="004422"/>
          <w:sz w:val="24"/>
          <w:szCs w:val="24"/>
        </w:rPr>
        <w:t xml:space="preserve">V.1 Performances des modèles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2300"/>
      </w:tblGrid>
      <w:tr>
        <w:trPr>
          <w:tblHeader/>
        </w:trPr>
        <w:tc>
          <w:tcPr>
            <w:tcW w:type="dxa" w:w="34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Modèle</w:t>
            </w:r>
          </w:p>
        </w:tc>
        <w:tc>
          <w:tcPr>
            <w:tcW w:type="dxa" w:w="35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Méthode d'évaluation</w:t>
            </w:r>
          </w:p>
        </w:tc>
        <w:tc>
          <w:tcPr>
            <w:tcW w:type="dxa" w:w="23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Accuracy</w:t>
            </w:r>
          </w:p>
        </w:tc>
      </w:tr>
      <w:tr>
        <w:tc>
          <w:tcPr>
            <w:tcW w:type="dxa" w:w="3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Random Forest (10 arbres)</w:t>
            </w:r>
          </w:p>
        </w:tc>
        <w:tc>
          <w:tcPr>
            <w:tcW w:type="dxa" w:w="35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Holdout — test set (30 %)</w:t>
            </w:r>
          </w:p>
        </w:tc>
        <w:tc>
          <w:tcPr>
            <w:tcW w:type="dxa" w:w="23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76 %</w:t>
            </w:r>
          </w:p>
        </w:tc>
      </w:tr>
      <w:tr>
        <w:tc>
          <w:tcPr>
            <w:tcW w:type="dxa" w:w="3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Régression Logistique</w:t>
            </w:r>
          </w:p>
        </w:tc>
        <w:tc>
          <w:tcPr>
            <w:tcW w:type="dxa" w:w="35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Cross-validation stratifiée (5-fold)</w:t>
            </w:r>
          </w:p>
        </w:tc>
        <w:tc>
          <w:tcPr>
            <w:tcW w:type="dxa" w:w="23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78 %</w:t>
            </w:r>
          </w:p>
        </w:tc>
      </w:tr>
    </w:tbl>
    <w:p>
      <w:pPr>
        <w:spacing w:before="60" w:after="180"/>
        <w:jc w:val="center"/>
      </w:pPr>
      <w:r>
        <w:rPr>
          <w:rFonts w:ascii="Calibri" w:cs="Calibri" w:eastAsia="Calibri" w:hAnsi="Calibri"/>
          <w:i/>
          <w:iCs/>
          <w:color w:val="888888"/>
          <w:sz w:val="20"/>
          <w:szCs w:val="20"/>
        </w:rPr>
        <w:t xml:space="preserve">Tableau 9 : Comparaison des performances des modèles</w:t>
      </w:r>
    </w:p>
    <w:p>
      <w:pPr>
        <w:spacing w:before="80" w:after="80"/>
        <w:ind w:firstLine="360"/>
        <w:jc w:val="both"/>
      </w:pPr>
      <w:r>
        <w:rPr>
          <w:rFonts w:ascii="Calibri" w:cs="Calibri" w:eastAsia="Calibri" w:hAnsi="Calibri"/>
          <w:color w:val="2C2C2C"/>
          <w:sz w:val="24"/>
          <w:szCs w:val="24"/>
        </w:rPr>
        <w:t xml:space="preserve">La régression logistique affiche une accuracy en validation croisée légèrement supérieure (78 %) à celle obtenue par le Random Forest sur l'ensemble de test (76 %). Cet écart s'explique en partie par la configuration minimaliste du Random Forest (10 arbres seulement), qui ne permet pas d'exploiter pleinement la capacité de généralisation de cet algorithme.</w:t>
      </w:r>
    </w:p>
    <w:p>
      <w:pPr>
        <w:spacing w:before="60" w:after="60"/>
      </w:pPr>
      <w:r>
        <w:t xml:space="preserve"/>
      </w:r>
    </w:p>
    <w:p>
      <w:pPr>
        <w:pStyle w:val="Heading2"/>
        <w:spacing w:before="240" w:after="120"/>
      </w:pPr>
      <w:r>
        <w:rPr>
          <w:rFonts w:ascii="Calibri" w:cs="Calibri" w:eastAsia="Calibri" w:hAnsi="Calibri"/>
          <w:b/>
          <w:bCs/>
          <w:color w:val="004422"/>
          <w:sz w:val="24"/>
          <w:szCs w:val="24"/>
        </w:rPr>
        <w:t xml:space="preserve">V.2 Analyse critique des résultats</w:t>
      </w:r>
    </w:p>
    <w:p>
      <w:pPr>
        <w:spacing w:before="80" w:after="80"/>
        <w:ind w:firstLine="360"/>
        <w:jc w:val="both"/>
      </w:pPr>
      <w:r>
        <w:rPr>
          <w:rFonts w:ascii="Calibri" w:cs="Calibri" w:eastAsia="Calibri" w:hAnsi="Calibri"/>
          <w:color w:val="2C2C2C"/>
          <w:sz w:val="24"/>
          <w:szCs w:val="24"/>
        </w:rPr>
        <w:t xml:space="preserve">L'examen de la matrice de confusion du Random Forest révèle une asymétrie préoccupante dans les erreurs de classification :</w:t>
      </w:r>
    </w:p>
    <w:p>
      <w:pPr>
        <w:spacing w:before="60" w:after="6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600"/>
      </w:tblGrid>
      <w:tr>
        <w:trPr>
          <w:tblHeader/>
        </w:trPr>
        <w:tc>
          <w:tcPr>
            <w:tcW w:type="dxa" w:w="28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
            </w:r>
          </w:p>
        </w:tc>
        <w:tc>
          <w:tcPr>
            <w:tcW w:type="dxa" w:w="38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Prédit : Non-défaut (0)</w:t>
            </w:r>
          </w:p>
        </w:tc>
        <w:tc>
          <w:tcPr>
            <w:tcW w:type="dxa" w:w="36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Prédit : Défaut (1)</w:t>
            </w:r>
          </w:p>
        </w:tc>
      </w:tr>
      <w:tr>
        <w:tc>
          <w:tcPr>
            <w:tcW w:type="dxa" w:w="2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Réel : Non-défaut (0)</w:t>
            </w:r>
          </w:p>
        </w:tc>
        <w:tc>
          <w:tcPr>
            <w:tcW w:type="dxa" w:w="38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51 423 (Vrais Négatifs)</w:t>
            </w:r>
          </w:p>
        </w:tc>
        <w:tc>
          <w:tcPr>
            <w:tcW w:type="dxa" w:w="36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3 341 (Faux Positifs)</w:t>
            </w:r>
          </w:p>
        </w:tc>
      </w:tr>
      <w:tr>
        <w:tc>
          <w:tcPr>
            <w:tcW w:type="dxa" w:w="28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Réel : Défaut (1)</w:t>
            </w:r>
          </w:p>
        </w:tc>
        <w:tc>
          <w:tcPr>
            <w:tcW w:type="dxa" w:w="38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13 753 (Faux Négatifs)</w:t>
            </w:r>
          </w:p>
        </w:tc>
        <w:tc>
          <w:tcPr>
            <w:tcW w:type="dxa" w:w="36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1 430 (Vrais Positifs)</w:t>
            </w:r>
          </w:p>
        </w:tc>
      </w:tr>
    </w:tbl>
    <w:p>
      <w:pPr>
        <w:spacing w:before="60" w:after="180"/>
        <w:jc w:val="center"/>
      </w:pPr>
      <w:r>
        <w:rPr>
          <w:rFonts w:ascii="Calibri" w:cs="Calibri" w:eastAsia="Calibri" w:hAnsi="Calibri"/>
          <w:i/>
          <w:iCs/>
          <w:color w:val="888888"/>
          <w:sz w:val="20"/>
          <w:szCs w:val="20"/>
        </w:rPr>
        <w:t xml:space="preserve">Tableau 10 : Matrice de confusion du Random Forest sur le jeu de test</w:t>
      </w:r>
    </w:p>
    <w:p>
      <w:pPr>
        <w:spacing w:before="80" w:after="80"/>
        <w:ind w:firstLine="360"/>
        <w:jc w:val="both"/>
      </w:pPr>
      <w:r>
        <w:rPr>
          <w:rFonts w:ascii="Calibri" w:cs="Calibri" w:eastAsia="Calibri" w:hAnsi="Calibri"/>
          <w:color w:val="2C2C2C"/>
          <w:sz w:val="24"/>
          <w:szCs w:val="24"/>
        </w:rPr>
        <w:t xml:space="preserve">Le nombre de faux négatifs s'élève à 13 753, ce qui signifie que le modèle n'a pas détecté plus de 73 % des cas de défaut réels. Dans un contexte de gestion du risque de crédit, cette situation est particulièrement problématique, car un défaut non détecté engendre une perte financière directe et non provisionnée pour l'institution prêteuse. À l'inverse, les faux positifs (3 341 clients solvables classés à tort comme défaillants) représentent un coût d'opportunité, mais sont moins pénalisants financièrement.</w:t>
      </w:r>
    </w:p>
    <w:p>
      <w:pPr>
        <w:spacing w:before="80" w:after="80"/>
        <w:ind w:firstLine="360"/>
        <w:jc w:val="both"/>
      </w:pPr>
      <w:r>
        <w:rPr>
          <w:rFonts w:ascii="Calibri" w:cs="Calibri" w:eastAsia="Calibri" w:hAnsi="Calibri"/>
          <w:color w:val="2C2C2C"/>
          <w:sz w:val="24"/>
          <w:szCs w:val="24"/>
        </w:rPr>
        <w:t xml:space="preserve">Cette analyse conduit à souligner que l'accuracy n'est pas la métrique de référence pertinente pour ce type de problème. Un modèle optimal devrait minimiser en priorité les faux négatifs, en privilégiant le rappel (recall) pour la classe positive (défaut).</w:t>
      </w:r>
    </w:p>
    <w:p>
      <w:pPr>
        <w:pStyle w:val="Heading2"/>
        <w:spacing w:before="240" w:after="120"/>
      </w:pPr>
      <w:r>
        <w:rPr>
          <w:rFonts w:ascii="Calibri" w:cs="Calibri" w:eastAsia="Calibri" w:hAnsi="Calibri"/>
          <w:b/>
          <w:bCs/>
          <w:color w:val="004422"/>
          <w:sz w:val="24"/>
          <w:szCs w:val="24"/>
        </w:rPr>
        <w:t xml:space="preserve">V.3 Limites et axes d'amélioration</w:t>
      </w:r>
    </w:p>
    <w:p>
      <w:pPr>
        <w:spacing w:before="80" w:after="80"/>
        <w:ind w:firstLine="360"/>
        <w:jc w:val="both"/>
      </w:pPr>
      <w:r>
        <w:rPr>
          <w:rFonts w:ascii="Calibri" w:cs="Calibri" w:eastAsia="Calibri" w:hAnsi="Calibri"/>
          <w:color w:val="2C2C2C"/>
          <w:sz w:val="24"/>
          <w:szCs w:val="24"/>
        </w:rPr>
        <w:t xml:space="preserve">Plusieurs limites ont été identifiées dans la démarche suivie, conduisant aux recommandations suivantes :</w:t>
      </w:r>
    </w:p>
    <w:p>
      <w:pPr>
        <w:pStyle w:val="ListParagraph"/>
        <w:numPr>
          <w:ilvl w:val="0"/>
          <w:numId w:val="3"/>
        </w:numPr>
        <w:spacing w:before="60" w:after="60"/>
      </w:pPr>
      <w:r>
        <w:rPr>
          <w:rFonts w:ascii="Calibri" w:cs="Calibri" w:eastAsia="Calibri" w:hAnsi="Calibri"/>
          <w:color w:val="2C2C2C"/>
          <w:sz w:val="24"/>
          <w:szCs w:val="24"/>
        </w:rPr>
        <w:t xml:space="preserve">Gestion du déséquilibre de classes : l'application de techniques de suréchantillonnage (SMOTE) ou de pondération des classes (class_weight='balanced') permettrait d'améliorer la sensibilité du modèle à la classe minoritaire.</w:t>
      </w:r>
    </w:p>
    <w:p>
      <w:pPr>
        <w:pStyle w:val="ListParagraph"/>
        <w:numPr>
          <w:ilvl w:val="0"/>
          <w:numId w:val="3"/>
        </w:numPr>
        <w:spacing w:before="60" w:after="60"/>
      </w:pPr>
      <w:r>
        <w:rPr>
          <w:rFonts w:ascii="Calibri" w:cs="Calibri" w:eastAsia="Calibri" w:hAnsi="Calibri"/>
          <w:color w:val="2C2C2C"/>
          <w:sz w:val="24"/>
          <w:szCs w:val="24"/>
        </w:rPr>
        <w:t xml:space="preserve">Optimisation des hyperparamètres : le recours à une recherche par grille (GridSearchCV) ou aléatoire (RandomizedSearchCV) pour le Random Forest permettrait d'exploiter davantage la capacité de cet algorithme (augmentation de n_estimators, réglage de max_depth, min_samples_split).</w:t>
      </w:r>
    </w:p>
    <w:p>
      <w:pPr>
        <w:pStyle w:val="ListParagraph"/>
        <w:numPr>
          <w:ilvl w:val="0"/>
          <w:numId w:val="3"/>
        </w:numPr>
        <w:spacing w:before="60" w:after="60"/>
      </w:pPr>
      <w:r>
        <w:rPr>
          <w:rFonts w:ascii="Calibri" w:cs="Calibri" w:eastAsia="Calibri" w:hAnsi="Calibri"/>
          <w:color w:val="2C2C2C"/>
          <w:sz w:val="24"/>
          <w:szCs w:val="24"/>
        </w:rPr>
        <w:t xml:space="preserve">Algorithmes plus avancés : l'implémentation de XGBoost (déjà importé dans le notebook) ou de LightGBM, qui sont réputés plus performants sur les données tabulaires déséquilibrées, constituerait une extension naturelle.</w:t>
      </w:r>
    </w:p>
    <w:p>
      <w:pPr>
        <w:pStyle w:val="ListParagraph"/>
        <w:numPr>
          <w:ilvl w:val="0"/>
          <w:numId w:val="3"/>
        </w:numPr>
        <w:spacing w:before="60" w:after="60"/>
      </w:pPr>
      <w:r>
        <w:rPr>
          <w:rFonts w:ascii="Calibri" w:cs="Calibri" w:eastAsia="Calibri" w:hAnsi="Calibri"/>
          <w:color w:val="2C2C2C"/>
          <w:sz w:val="24"/>
          <w:szCs w:val="24"/>
        </w:rPr>
        <w:t xml:space="preserve">Métriques d'évaluation adaptées : l'intégration de métriques complémentaires — AUC-ROC, F1-score (macro et pondéré), courbe Precision-Recall — offrirait une vision plus fidèle de la capacité discriminante des modèles.</w:t>
      </w:r>
    </w:p>
    <w:p>
      <w:pPr>
        <w:pStyle w:val="ListParagraph"/>
        <w:numPr>
          <w:ilvl w:val="0"/>
          <w:numId w:val="3"/>
        </w:numPr>
        <w:spacing w:before="60" w:after="60"/>
      </w:pPr>
      <w:r>
        <w:rPr>
          <w:rFonts w:ascii="Calibri" w:cs="Calibri" w:eastAsia="Calibri" w:hAnsi="Calibri"/>
          <w:color w:val="2C2C2C"/>
          <w:sz w:val="24"/>
          <w:szCs w:val="24"/>
        </w:rPr>
        <w:t xml:space="preserve">Feature importance et interprétabilité : l'analyse de l'importance des variables (feature importance) et l'application de méthodes d'explicabilité (SHAP) permettraient d'identifier les déterminants majeurs du défaut et d'enrichir l'analyse financière.</w:t>
      </w:r>
    </w:p>
    <w:p>
      <w:pPr>
        <w:pStyle w:val="ListParagraph"/>
        <w:numPr>
          <w:ilvl w:val="0"/>
          <w:numId w:val="3"/>
        </w:numPr>
        <w:spacing w:before="60" w:after="60"/>
      </w:pPr>
      <w:r>
        <w:rPr>
          <w:rFonts w:ascii="Calibri" w:cs="Calibri" w:eastAsia="Calibri" w:hAnsi="Calibri"/>
          <w:color w:val="2C2C2C"/>
          <w:sz w:val="24"/>
          <w:szCs w:val="24"/>
        </w:rPr>
        <w:t xml:space="preserve">Ingénierie de la variable date : l'extraction de l'âge de l'emprunteur à partir de DATE_OF_BIRTH et d'indicateurs temporels à partir de DISBURSAL_DATE constituerait un enrichissement informatif du jeu de features.</w:t>
      </w:r>
    </w:p>
    <w:p>
      <w:pPr>
        <w:spacing w:before="60" w:after="6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VI. CONCLUSION</w:t>
      </w:r>
    </w:p>
    <w:p>
      <w:pPr>
        <w:spacing w:before="80" w:after="80"/>
        <w:ind w:firstLine="360"/>
        <w:jc w:val="both"/>
      </w:pPr>
      <w:r>
        <w:rPr>
          <w:rFonts w:ascii="Calibri" w:cs="Calibri" w:eastAsia="Calibri" w:hAnsi="Calibri"/>
          <w:color w:val="2C2C2C"/>
          <w:sz w:val="24"/>
          <w:szCs w:val="24"/>
        </w:rPr>
        <w:t xml:space="preserve">Ce projet a permis de mettre en œuvre un pipeline complet de Machine Learning appliqué à la prédiction du risque de crédit, à partir d'un jeu de données réel de prêts automobiles comportant plus de 233 000 observations. L'ensemble des étapes caractéristiques de la démarche Data Science a été couvert : exploration et analyse des données, prétraitement et ingénierie des features, modélisation comparative et évaluation des performances.</w:t>
      </w:r>
    </w:p>
    <w:p>
      <w:pPr>
        <w:spacing w:before="80" w:after="80"/>
        <w:ind w:firstLine="360"/>
        <w:jc w:val="both"/>
      </w:pPr>
      <w:r>
        <w:rPr>
          <w:rFonts w:ascii="Calibri" w:cs="Calibri" w:eastAsia="Calibri" w:hAnsi="Calibri"/>
          <w:color w:val="2C2C2C"/>
          <w:sz w:val="24"/>
          <w:szCs w:val="24"/>
        </w:rPr>
        <w:t xml:space="preserve">Les résultats obtenus — une accuracy de 76 % pour le Random Forest et de 78 % pour la régression logistique — constituent un point de départ solide, mais perfectible. L'analyse critique des erreurs de classification a mis en évidence la nécessité d'aller au-delà de la seule accuracy pour évaluer des modèles sur des problèmes déséquilibrés à fort enjeu financier.</w:t>
      </w:r>
    </w:p>
    <w:p>
      <w:pPr>
        <w:spacing w:before="80" w:after="80"/>
        <w:ind w:firstLine="360"/>
        <w:jc w:val="both"/>
      </w:pPr>
      <w:r>
        <w:rPr>
          <w:rFonts w:ascii="Calibri" w:cs="Calibri" w:eastAsia="Calibri" w:hAnsi="Calibri"/>
          <w:color w:val="2C2C2C"/>
          <w:sz w:val="24"/>
          <w:szCs w:val="24"/>
        </w:rPr>
        <w:t xml:space="preserve">Sur le plan académique, ce travail a permis de mobiliser et d'articuler des compétences transversales relevant du module Data Mining : manipulation de données volumineuses avec Pandas et NumPy, visualisation avec Matplotlib, Seaborn et Plotly, modélisation avec Scikit-learn, et esprit critique dans l'interprétation des résultats. Les perspectives d'amélioration identifiées — notamment l'utilisation de XGBoost, la gestion du déséquilibre de classes et l'intégration de métriques adaptées — ouvrent des pistes concrètes pour la poursuite de ce travail.</w:t>
      </w:r>
    </w:p>
    <w:p>
      <w:pPr>
        <w:spacing w:before="120" w:after="12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BIBLIOGRAPHIE / WEBOGRAPHIE</w:t>
      </w:r>
    </w:p>
    <w:p>
      <w:pPr>
        <w:spacing w:before="60" w:after="60"/>
      </w:pPr>
      <w:r>
        <w:t xml:space="preserve"/>
      </w:r>
    </w:p>
    <w:p>
      <w:pPr>
        <w:spacing w:before="60" w:after="60"/>
        <w:jc w:val="both"/>
      </w:pPr>
      <w:r>
        <w:rPr>
          <w:rFonts w:ascii="Calibri" w:cs="Calibri" w:eastAsia="Calibri" w:hAnsi="Calibri"/>
          <w:color w:val="2C2C2C"/>
          <w:sz w:val="24"/>
          <w:szCs w:val="24"/>
        </w:rPr>
        <w:t xml:space="preserve">[1]  Pedregosa, F. et al. (2011). Scikit-learn: Machine Learning in Python. Journal of Machine Learning Research, 12, 2825–2830.</w:t>
      </w:r>
    </w:p>
    <w:p>
      <w:pPr>
        <w:spacing w:before="60" w:after="60"/>
        <w:jc w:val="both"/>
      </w:pPr>
      <w:r>
        <w:rPr>
          <w:rFonts w:ascii="Calibri" w:cs="Calibri" w:eastAsia="Calibri" w:hAnsi="Calibri"/>
          <w:color w:val="2C2C2C"/>
          <w:sz w:val="24"/>
          <w:szCs w:val="24"/>
        </w:rPr>
        <w:t xml:space="preserve">[2]  Breiman, L. (2001). Random Forests. Machine Learning, 45(1), 5–32.</w:t>
      </w:r>
    </w:p>
    <w:p>
      <w:pPr>
        <w:spacing w:before="60" w:after="60"/>
        <w:jc w:val="both"/>
      </w:pPr>
      <w:r>
        <w:rPr>
          <w:rFonts w:ascii="Calibri" w:cs="Calibri" w:eastAsia="Calibri" w:hAnsi="Calibri"/>
          <w:color w:val="2C2C2C"/>
          <w:sz w:val="24"/>
          <w:szCs w:val="24"/>
        </w:rPr>
        <w:t xml:space="preserve">[3]  Cox, D.R. (1958). The Regression Analysis of Binary Sequences. Journal of the Royal Statistical Society, Series B, 20(2), 215–232.</w:t>
      </w:r>
    </w:p>
    <w:p>
      <w:pPr>
        <w:spacing w:before="60" w:after="60"/>
        <w:jc w:val="both"/>
      </w:pPr>
      <w:r>
        <w:rPr>
          <w:rFonts w:ascii="Calibri" w:cs="Calibri" w:eastAsia="Calibri" w:hAnsi="Calibri"/>
          <w:color w:val="2C2C2C"/>
          <w:sz w:val="24"/>
          <w:szCs w:val="24"/>
        </w:rPr>
        <w:t xml:space="preserve">[4]  avikpaul4u. (2020). Vehicle Loan Default Prediction. Kaggle Dataset. Disponible sur : https://www.kaggle.com/datasets/avikpaul4u/vehicle-loan-default-prediction</w:t>
      </w:r>
    </w:p>
    <w:p>
      <w:pPr>
        <w:spacing w:before="60" w:after="60"/>
        <w:jc w:val="both"/>
      </w:pPr>
      <w:r>
        <w:rPr>
          <w:rFonts w:ascii="Calibri" w:cs="Calibri" w:eastAsia="Calibri" w:hAnsi="Calibri"/>
          <w:color w:val="2C2C2C"/>
          <w:sz w:val="24"/>
          <w:szCs w:val="24"/>
        </w:rPr>
        <w:t xml:space="preserve">[5]  McKinney, W. (2010). Data Structures for Statistical Computing in Python. Proceedings of the 9th Python in Science Conference, 51–56.</w:t>
      </w:r>
    </w:p>
    <w:p>
      <w:pPr>
        <w:spacing w:before="60" w:after="60"/>
        <w:jc w:val="both"/>
      </w:pPr>
      <w:r>
        <w:rPr>
          <w:rFonts w:ascii="Calibri" w:cs="Calibri" w:eastAsia="Calibri" w:hAnsi="Calibri"/>
          <w:color w:val="2C2C2C"/>
          <w:sz w:val="24"/>
          <w:szCs w:val="24"/>
        </w:rPr>
        <w:t xml:space="preserve">[6]  Chawla, N.V. et al. (2002). SMOTE: Synthetic Minority Over-sampling Technique. Journal of Artificial Intelligence Research, 16, 321–357.</w:t>
      </w:r>
    </w:p>
    <w:p>
      <w:pPr>
        <w:spacing w:before="120" w:after="120"/>
      </w:pPr>
      <w:r>
        <w:t xml:space="preserve"/>
      </w:r>
    </w:p>
    <w:p>
      <w:r>
        <w:br w:type="page"/>
      </w:r>
    </w:p>
    <w:p>
      <w:pPr>
        <w:pStyle w:val="Heading1"/>
        <w:pBdr>
          <w:bottom w:val="single" w:color="006633" w:sz="4" w:space="4"/>
        </w:pBdr>
        <w:spacing w:before="360" w:after="180"/>
      </w:pPr>
      <w:r>
        <w:rPr>
          <w:rFonts w:ascii="Calibri" w:cs="Calibri" w:eastAsia="Calibri" w:hAnsi="Calibri"/>
          <w:b/>
          <w:bCs/>
          <w:color w:val="006633"/>
          <w:sz w:val="28"/>
          <w:szCs w:val="28"/>
        </w:rPr>
        <w:t xml:space="preserve">ANNEXES</w:t>
      </w:r>
    </w:p>
    <w:p>
      <w:pPr>
        <w:pStyle w:val="Heading2"/>
        <w:spacing w:before="240" w:after="120"/>
      </w:pPr>
      <w:r>
        <w:rPr>
          <w:rFonts w:ascii="Calibri" w:cs="Calibri" w:eastAsia="Calibri" w:hAnsi="Calibri"/>
          <w:b/>
          <w:bCs/>
          <w:color w:val="004422"/>
          <w:sz w:val="24"/>
          <w:szCs w:val="24"/>
        </w:rPr>
        <w:t xml:space="preserve">Annexe 1 : Liste complète des variables du jeu de données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Catégorie</w:t>
            </w:r>
          </w:p>
        </w:tc>
        <w:tc>
          <w:tcPr>
            <w:tcW w:type="dxa" w:w="62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Variables</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Identifiant</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UNIQUEID</w:t>
            </w:r>
          </w:p>
        </w:tc>
      </w:tr>
      <w:tr>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Informations prêt</w:t>
            </w:r>
          </w:p>
        </w:tc>
        <w:tc>
          <w:tcPr>
            <w:tcW w:type="dxa" w:w="6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DISBURSED_AMOUNT, ASSET_COST, LTV, DISBURSAL_DATE</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Localisation</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BRANCH_ID, SUPPLIER_ID, MANUFACTURER_ID, CURRENT_PINCODE_ID, STATE_ID</w:t>
            </w:r>
          </w:p>
        </w:tc>
      </w:tr>
      <w:tr>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Profil emprunteur</w:t>
            </w:r>
          </w:p>
        </w:tc>
        <w:tc>
          <w:tcPr>
            <w:tcW w:type="dxa" w:w="6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DATE_OF_BIRTH, EMPLOYMENT_TYPE, EMPLOYEE_CODE_ID</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Documents identité</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MOBILENO_AVL_FLAG, AADHAR_FLAG, PAN_FLAG, VOTERID_FLAG, DRIVING_FLAG, PASSPORT_FLAG</w:t>
            </w:r>
          </w:p>
        </w:tc>
      </w:tr>
      <w:tr>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Score de crédit</w:t>
            </w:r>
          </w:p>
        </w:tc>
        <w:tc>
          <w:tcPr>
            <w:tcW w:type="dxa" w:w="6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PERFORM_CNS_SCORE, PERFORM_CNS_SCORE_DESCRIPTION</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Comptes primaires</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PRI_NO_OF_ACCTS, PRI_ACTIVE_ACCTS, PRI_OVERDUE_ACCTS, PRI_CURRENT_BALANCE, PRI_SANCTIONED_AMOUNT, PRI_DISBURSED_AMOUNT</w:t>
            </w:r>
          </w:p>
        </w:tc>
      </w:tr>
      <w:tr>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Comptes secondaires</w:t>
            </w:r>
          </w:p>
        </w:tc>
        <w:tc>
          <w:tcPr>
            <w:tcW w:type="dxa" w:w="6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SEC_NO_OF_ACCTS, SEC_ACTIVE_ACCTS, SEC_OVERDUE_ACCTS, SEC_CURRENT_BALANCE, SEC_SANCTIONED_AMOUNT, SEC_DISBURSED_AMOUNT</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Historique crédit</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AVERAGE_ACCT_AGE, CREDIT_HISTORY_LENGTH, NO_OF_INQUIRIES, NEW_ACCTS_IN_LAST_SIX_MONTHS, DELINQUENT_ACCTS_IN_LAST_SIX_MONTHS</w:t>
            </w:r>
          </w:p>
        </w:tc>
      </w:tr>
      <w:tr>
        <w:tc>
          <w:tcPr>
            <w:tcW w:type="dxa" w:w="3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Mensualités</w:t>
            </w:r>
          </w:p>
        </w:tc>
        <w:tc>
          <w:tcPr>
            <w:tcW w:type="dxa" w:w="62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PRIMARY_INSTAL_AMT, SEC_INSTAL_AMT</w:t>
            </w:r>
          </w:p>
        </w:tc>
      </w:tr>
      <w:tr>
        <w:tc>
          <w:tcPr>
            <w:tcW w:type="dxa" w:w="3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Variable cible</w:t>
            </w:r>
          </w:p>
        </w:tc>
        <w:tc>
          <w:tcPr>
            <w:tcW w:type="dxa" w:w="62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LOAN_DEFAULT</w:t>
            </w:r>
          </w:p>
        </w:tc>
      </w:tr>
    </w:tbl>
    <w:p>
      <w:pPr>
        <w:spacing w:before="60" w:after="240"/>
        <w:jc w:val="center"/>
      </w:pPr>
      <w:r>
        <w:rPr>
          <w:rFonts w:ascii="Calibri" w:cs="Calibri" w:eastAsia="Calibri" w:hAnsi="Calibri"/>
          <w:i/>
          <w:iCs/>
          <w:color w:val="888888"/>
          <w:sz w:val="20"/>
          <w:szCs w:val="20"/>
        </w:rPr>
        <w:t xml:space="preserve">Tableau A1 : Inventaire complet des 41 variables du jeu de données</w:t>
      </w:r>
    </w:p>
    <w:p>
      <w:pPr>
        <w:pStyle w:val="Heading2"/>
        <w:spacing w:before="240" w:after="120"/>
      </w:pPr>
      <w:r>
        <w:rPr>
          <w:rFonts w:ascii="Calibri" w:cs="Calibri" w:eastAsia="Calibri" w:hAnsi="Calibri"/>
          <w:b/>
          <w:bCs/>
          <w:color w:val="004422"/>
          <w:sz w:val="24"/>
          <w:szCs w:val="24"/>
        </w:rPr>
        <w:t xml:space="preserve">Annexe 2 : Bibliothèques Python utilisées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Bibliothèque</w:t>
            </w:r>
          </w:p>
        </w:tc>
        <w:tc>
          <w:tcPr>
            <w:tcW w:type="dxa" w:w="2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Version indicative</w:t>
            </w:r>
          </w:p>
        </w:tc>
        <w:tc>
          <w:tcPr>
            <w:tcW w:type="dxa" w:w="5000"/>
            <w:tcBorders>
              <w:top w:val="single" w:color="006633" w:sz="1"/>
              <w:left w:val="single" w:color="006633" w:sz="1"/>
              <w:bottom w:val="single" w:color="006633" w:sz="1"/>
              <w:right w:val="single" w:color="006633" w:sz="1"/>
            </w:tcBorders>
            <w:shd w:fill="006633"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Usage principal</w:t>
            </w:r>
          </w:p>
        </w:tc>
      </w:tr>
      <w:tr>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pandas</w:t>
            </w:r>
          </w:p>
        </w:tc>
        <w:tc>
          <w:tcPr>
            <w:tcW w:type="dxa" w:w="2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1.3</w:t>
            </w:r>
          </w:p>
        </w:tc>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Manipulation et transformation des données tabulaires</w:t>
            </w:r>
          </w:p>
        </w:tc>
      </w:tr>
      <w:tr>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numpy</w:t>
            </w:r>
          </w:p>
        </w:tc>
        <w:tc>
          <w:tcPr>
            <w:tcW w:type="dxa" w:w="2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1.21</w:t>
            </w:r>
          </w:p>
        </w:tc>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Calculs numériques et opérations sur tableaux</w:t>
            </w:r>
          </w:p>
        </w:tc>
      </w:tr>
      <w:tr>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matplotlib</w:t>
            </w:r>
          </w:p>
        </w:tc>
        <w:tc>
          <w:tcPr>
            <w:tcW w:type="dxa" w:w="2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3.4</w:t>
            </w:r>
          </w:p>
        </w:tc>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Visualisations statiques (histogrammes, boîtes à moustaches)</w:t>
            </w:r>
          </w:p>
        </w:tc>
      </w:tr>
      <w:tr>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seaborn</w:t>
            </w:r>
          </w:p>
        </w:tc>
        <w:tc>
          <w:tcPr>
            <w:tcW w:type="dxa" w:w="2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0.11</w:t>
            </w:r>
          </w:p>
        </w:tc>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Visualisations statistiques avancées</w:t>
            </w:r>
          </w:p>
        </w:tc>
      </w:tr>
      <w:tr>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plotly</w:t>
            </w:r>
          </w:p>
        </w:tc>
        <w:tc>
          <w:tcPr>
            <w:tcW w:type="dxa" w:w="2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5.0</w:t>
            </w:r>
          </w:p>
        </w:tc>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Visualisations interactives (graphiques dynamiques)</w:t>
            </w:r>
          </w:p>
        </w:tc>
      </w:tr>
      <w:tr>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scikit-learn</w:t>
            </w:r>
          </w:p>
        </w:tc>
        <w:tc>
          <w:tcPr>
            <w:tcW w:type="dxa" w:w="2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0.24</w:t>
            </w:r>
          </w:p>
        </w:tc>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Modélisation, évaluation, encodage, validation croisée</w:t>
            </w:r>
          </w:p>
        </w:tc>
      </w:tr>
      <w:tr>
        <w:tc>
          <w:tcPr>
            <w:tcW w:type="dxa" w:w="24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left"/>
            </w:pPr>
            <w:r>
              <w:rPr>
                <w:rFonts w:ascii="Calibri" w:cs="Calibri" w:eastAsia="Calibri" w:hAnsi="Calibri"/>
                <w:color w:val="2C2C2C"/>
                <w:sz w:val="22"/>
                <w:szCs w:val="22"/>
              </w:rPr>
              <w:t xml:space="preserve">xgboost</w:t>
            </w:r>
          </w:p>
        </w:tc>
        <w:tc>
          <w:tcPr>
            <w:tcW w:type="dxa" w:w="2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1.4</w:t>
            </w:r>
          </w:p>
        </w:tc>
        <w:tc>
          <w:tcPr>
            <w:tcW w:type="dxa" w:w="5000"/>
            <w:tcBorders>
              <w:top w:val="single" w:color="006633" w:sz="1"/>
              <w:left w:val="single" w:color="006633" w:sz="1"/>
              <w:bottom w:val="single" w:color="006633" w:sz="1"/>
              <w:right w:val="single" w:color="006633" w:sz="1"/>
            </w:tcBorders>
            <w:shd w:fill="FFFFFF"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Gradient Boosting (importé, non exploité dans cette version)</w:t>
            </w:r>
          </w:p>
        </w:tc>
      </w:tr>
      <w:tr>
        <w:tc>
          <w:tcPr>
            <w:tcW w:type="dxa" w:w="24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left"/>
            </w:pPr>
            <w:r>
              <w:rPr>
                <w:rFonts w:ascii="Calibri" w:cs="Calibri" w:eastAsia="Calibri" w:hAnsi="Calibri"/>
                <w:color w:val="2C2C2C"/>
                <w:sz w:val="22"/>
                <w:szCs w:val="22"/>
              </w:rPr>
              <w:t xml:space="preserve">scipy</w:t>
            </w:r>
          </w:p>
        </w:tc>
        <w:tc>
          <w:tcPr>
            <w:tcW w:type="dxa" w:w="2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 1.7</w:t>
            </w:r>
          </w:p>
        </w:tc>
        <w:tc>
          <w:tcPr>
            <w:tcW w:type="dxa" w:w="5000"/>
            <w:tcBorders>
              <w:top w:val="single" w:color="006633" w:sz="1"/>
              <w:left w:val="single" w:color="006633" w:sz="1"/>
              <w:bottom w:val="single" w:color="006633" w:sz="1"/>
              <w:right w:val="single" w:color="006633" w:sz="1"/>
            </w:tcBorders>
            <w:shd w:fill="E8F5EE" w:val="clear"/>
            <w:tcMar>
              <w:top w:type="dxa" w:w="80"/>
              <w:left w:type="dxa" w:w="120"/>
              <w:bottom w:type="dxa" w:w="80"/>
              <w:right w:type="dxa" w:w="120"/>
            </w:tcMar>
          </w:tcPr>
          <w:p>
            <w:pPr>
              <w:jc w:val="center"/>
            </w:pPr>
            <w:r>
              <w:rPr>
                <w:rFonts w:ascii="Calibri" w:cs="Calibri" w:eastAsia="Calibri" w:hAnsi="Calibri"/>
                <w:color w:val="2C2C2C"/>
                <w:sz w:val="22"/>
                <w:szCs w:val="22"/>
              </w:rPr>
              <w:t xml:space="preserve">Statistiques descriptives (distributions, tests)</w:t>
            </w:r>
          </w:p>
        </w:tc>
      </w:tr>
    </w:tbl>
    <w:p>
      <w:pPr>
        <w:spacing w:before="60" w:after="180"/>
        <w:jc w:val="center"/>
      </w:pPr>
      <w:r>
        <w:rPr>
          <w:rFonts w:ascii="Calibri" w:cs="Calibri" w:eastAsia="Calibri" w:hAnsi="Calibri"/>
          <w:i/>
          <w:iCs/>
          <w:color w:val="888888"/>
          <w:sz w:val="20"/>
          <w:szCs w:val="20"/>
        </w:rPr>
        <w:t xml:space="preserve">Tableau A2 : Bibliothèques Python mobilisées</w:t>
      </w:r>
    </w:p>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2" w:space="4"/>
      </w:pBdr>
      <w:tabs>
        <w:tab w:val="left" w:pos="0"/>
        <w:tab w:val="center" w:pos="4500"/>
        <w:tab w:val="right" w:pos="9000"/>
      </w:tabs>
      <w:jc w:val="center"/>
    </w:pPr>
    <w:r>
      <w:rPr>
        <w:rFonts w:ascii="Calibri" w:cs="Calibri" w:eastAsia="Calibri" w:hAnsi="Calibri"/>
        <w:color w:val="888888"/>
        <w:sz w:val="18"/>
        <w:szCs w:val="18"/>
      </w:rPr>
      <w:t xml:space="preserve">ENCG Settat — L3 S8</w:t>
    </w:r>
    <w:r>
      <w:rPr>
        <w:sz w:val="18"/>
        <w:szCs w:val="18"/>
      </w:rPr>
      <w:t xml:space="preserve">	</w:t>
    </w:r>
    <w:r>
      <w:rPr>
        <w:rFonts w:ascii="Calibri" w:cs="Calibri" w:eastAsia="Calibri" w:hAnsi="Calibri"/>
        <w:i/>
        <w:iCs/>
        <w:color w:val="888888"/>
        <w:sz w:val="18"/>
        <w:szCs w:val="18"/>
      </w:rPr>
      <w:t xml:space="preserve">Prédiction du Défaut de Prêt Automobile</w:t>
    </w:r>
    <w:r>
      <w:rPr>
        <w:sz w:val="18"/>
        <w:szCs w:val="18"/>
      </w:rPr>
      <w:t xml:space="preserve">	</w:t>
    </w: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color w:val="006633"/>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2026-03-17T13:12:11.959Z</dcterms:created>
  <dcterms:modified xsi:type="dcterms:W3CDTF">2026-03-17T13:12:11.960Z</dcterms:modified>
</cp:coreProperties>
</file>

<file path=docProps/custom.xml><?xml version="1.0" encoding="utf-8"?>
<Properties xmlns="http://schemas.openxmlformats.org/officeDocument/2006/custom-properties" xmlns:vt="http://schemas.openxmlformats.org/officeDocument/2006/docPropsVTypes"/>
</file>