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6B7A74"/>
          <w:spacing w:val="24"/>
          <w:sz w:val="16"/>
          <w:szCs w:val="16"/>
        </w:rPr>
        <w:t xml:space="preserve">SUPPORT D’ATELIER</w:t>
      </w:r>
    </w:p>
    <w:p>
      <w:pPr>
        <w:spacing w:after="140"/>
      </w:pPr>
      <w:r>
        <w:rPr>
          <w:rFonts w:ascii="Georgia" w:cs="Georgia" w:eastAsia="Georgia" w:hAnsi="Georgia"/>
          <w:b/>
          <w:bCs/>
          <w:color w:val="16211D"/>
          <w:sz w:val="44"/>
          <w:szCs w:val="44"/>
        </w:rPr>
        <w:t xml:space="preserve">Règles de gestion par KPI</w:t>
      </w:r>
    </w:p>
    <w:p>
      <w:pPr>
        <w:spacing w:after="100" w:before="0" w:line="264"/>
      </w:pPr>
      <w:r>
        <w:rPr>
          <w:rFonts w:ascii="Georgia" w:cs="Georgia" w:eastAsia="Georgia" w:hAnsi="Georgia"/>
          <w:color w:val="3C4A45"/>
          <w:sz w:val="22"/>
          <w:szCs w:val="22"/>
        </w:rPr>
        <w:t xml:space="preserve">Dashboard monitoring des recommandations — quelles règles s’appliquent à chaque indicateur affiché. Périmètre : les 6 écrans visibles par les utilisateurs, les deux onglets masqués étant exclus.</w:t>
      </w:r>
    </w:p>
    <w:p>
      <w:pPr>
        <w:spacing w:after="240" w:before="0" w:line="264"/>
      </w:pPr>
      <w:r>
        <w:rPr>
          <w:rFonts w:ascii="Arial" w:cs="Arial" w:eastAsia="Arial" w:hAnsi="Arial"/>
          <w:i/>
          <w:iCs/>
          <w:color w:val="6B7A74"/>
          <w:sz w:val="18"/>
          <w:szCs w:val="18"/>
        </w:rPr>
        <w:t xml:space="preserve">Les règles marquées d’un astérisque dans le rappel ci-dessous reposent sur une déduction non testée. 16 règles sur 26 sont communes à tous les KPI. Modifier A6 ou D1 fait bouger l’ensemble du dashboard ; modifier C3 ne touche que les quatre sous-chiffres tag drop et late measures.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7370"/>
      </w:tblGrid>
      <w:tr>
        <w:trPr>
          <w:tblHeader/>
        </w:trPr>
        <w:tc>
          <w:tcPr>
            <w:tcW w:type="dxa" w:w="4200"/>
            <w:tcBorders>
              <w:top w:val="single" w:color="D3DCD8" w:sz="4"/>
              <w:left w:val="single" w:color="D3DCD8" w:sz="4"/>
              <w:bottom w:val="single" w:color="D3DCD8" w:sz="4"/>
              <w:right w:val="single" w:color="D3DCD8" w:sz="4"/>
            </w:tcBorders>
            <w:shd w:fill="1F3A33" w:color="auto" w:val="clear"/>
            <w:tcMar>
              <w:top w:type="dxa" w:w="60"/>
              <w:left w:type="dxa" w:w="110"/>
              <w:bottom w:type="dxa" w:w="60"/>
              <w:right w:type="dxa" w:w="110"/>
            </w:tcMar>
            <w:vAlign w:val="center"/>
          </w:tcPr>
          <w:p>
            <w:pPr>
              <w:spacing w:after="0" w:line="240"/>
            </w:pPr>
            <w:r>
              <w:rPr>
                <w:rFonts w:ascii="Arial" w:cs="Arial" w:eastAsia="Arial" w:hAnsi="Arial"/>
                <w:b/>
                <w:bCs/>
                <w:caps/>
                <w:color w:val="FFFFFF"/>
                <w:spacing w:val="14"/>
                <w:sz w:val="15"/>
                <w:szCs w:val="15"/>
              </w:rPr>
              <w:t xml:space="preserve">KPI (nom affiché)</w:t>
            </w:r>
          </w:p>
        </w:tc>
        <w:tc>
          <w:tcPr>
            <w:tcW w:type="dxa" w:w="3000"/>
            <w:tcBorders>
              <w:top w:val="single" w:color="D3DCD8" w:sz="4"/>
              <w:left w:val="single" w:color="D3DCD8" w:sz="4"/>
              <w:bottom w:val="single" w:color="D3DCD8" w:sz="4"/>
              <w:right w:val="single" w:color="D3DCD8" w:sz="4"/>
            </w:tcBorders>
            <w:shd w:fill="1F3A33" w:color="auto" w:val="clear"/>
            <w:tcMar>
              <w:top w:type="dxa" w:w="60"/>
              <w:left w:type="dxa" w:w="110"/>
              <w:bottom w:type="dxa" w:w="60"/>
              <w:right w:type="dxa" w:w="110"/>
            </w:tcMar>
            <w:vAlign w:val="center"/>
          </w:tcPr>
          <w:p>
            <w:pPr>
              <w:spacing w:after="0" w:line="240"/>
            </w:pPr>
            <w:r>
              <w:rPr>
                <w:rFonts w:ascii="Arial" w:cs="Arial" w:eastAsia="Arial" w:hAnsi="Arial"/>
                <w:b/>
                <w:bCs/>
                <w:caps/>
                <w:color w:val="FFFFFF"/>
                <w:spacing w:val="14"/>
                <w:sz w:val="15"/>
                <w:szCs w:val="15"/>
              </w:rPr>
              <w:t xml:space="preserve">Page</w:t>
            </w:r>
          </w:p>
        </w:tc>
        <w:tc>
          <w:tcPr>
            <w:tcW w:type="dxa" w:w="7370"/>
            <w:tcBorders>
              <w:top w:val="single" w:color="D3DCD8" w:sz="4"/>
              <w:left w:val="single" w:color="D3DCD8" w:sz="4"/>
              <w:bottom w:val="single" w:color="D3DCD8" w:sz="4"/>
              <w:right w:val="single" w:color="D3DCD8" w:sz="4"/>
            </w:tcBorders>
            <w:shd w:fill="1F3A33" w:color="auto" w:val="clear"/>
            <w:tcMar>
              <w:top w:type="dxa" w:w="60"/>
              <w:left w:type="dxa" w:w="110"/>
              <w:bottom w:type="dxa" w:w="60"/>
              <w:right w:type="dxa" w:w="110"/>
            </w:tcMar>
            <w:vAlign w:val="center"/>
          </w:tcPr>
          <w:p>
            <w:pPr>
              <w:spacing w:after="0" w:line="240"/>
            </w:pPr>
            <w:r>
              <w:rPr>
                <w:rFonts w:ascii="Arial" w:cs="Arial" w:eastAsia="Arial" w:hAnsi="Arial"/>
                <w:b/>
                <w:bCs/>
                <w:caps/>
                <w:color w:val="FFFFFF"/>
                <w:spacing w:val="14"/>
                <w:sz w:val="15"/>
                <w:szCs w:val="15"/>
              </w:rPr>
              <w:t xml:space="preserve">Règles de gestion appliquées</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recos_attendues</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Overview</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B2  ·  B3  ·  B4  ·  B5  ·  B6  ·  B7  ·  B8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Sum of flg_succes</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Overview</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B2  ·  B4  ·  B5  ·  B6  ·  B7  ·  B8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Sum of flg_echec</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Overview</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Success</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B2  ·  B3  ·  B4  ·  B5  ·  B6  ·  B7  ·  B8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Failures caused by manual entries</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Failures due to automatic data</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D1  ·  D2  ·  D3</w:t>
            </w:r>
          </w:p>
        </w:tc>
      </w:tr>
      <w:tr>
        <w:tc>
          <w:tcPr>
            <w:tcW w:type="dxa" w:w="42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i/>
                <w:iCs/>
                <w:color w:val="3C4A45"/>
                <w:sz w:val="18"/>
                <w:szCs w:val="18"/>
              </w:rPr>
              <w:t xml:space="preserve">↳  due to tag drop</w:t>
            </w:r>
          </w:p>
        </w:tc>
        <w:tc>
          <w:tcPr>
            <w:tcW w:type="dxa" w:w="3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C2  ·  C3  ·  D1  ·  D2  ·  D3</w:t>
            </w:r>
          </w:p>
        </w:tc>
      </w:tr>
      <w:tr>
        <w:tc>
          <w:tcPr>
            <w:tcW w:type="dxa" w:w="42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i/>
                <w:iCs/>
                <w:color w:val="3C4A45"/>
                <w:sz w:val="18"/>
                <w:szCs w:val="18"/>
              </w:rPr>
              <w:t xml:space="preserve">↳  due to late measures</w:t>
            </w:r>
          </w:p>
        </w:tc>
        <w:tc>
          <w:tcPr>
            <w:tcW w:type="dxa" w:w="3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C2  ·  C3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Failures due to automatic and manual data</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D1  ·  D2  ·  D3</w:t>
            </w:r>
          </w:p>
        </w:tc>
      </w:tr>
      <w:tr>
        <w:tc>
          <w:tcPr>
            <w:tcW w:type="dxa" w:w="42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i/>
                <w:iCs/>
                <w:color w:val="3C4A45"/>
                <w:sz w:val="18"/>
                <w:szCs w:val="18"/>
              </w:rPr>
              <w:t xml:space="preserve">↳  due to tag drop</w:t>
            </w:r>
          </w:p>
        </w:tc>
        <w:tc>
          <w:tcPr>
            <w:tcW w:type="dxa" w:w="3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C2  ·  C3  ·  D1  ·  D2  ·  D3</w:t>
            </w:r>
          </w:p>
        </w:tc>
      </w:tr>
      <w:tr>
        <w:tc>
          <w:tcPr>
            <w:tcW w:type="dxa" w:w="42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i/>
                <w:iCs/>
                <w:color w:val="3C4A45"/>
                <w:sz w:val="18"/>
                <w:szCs w:val="18"/>
              </w:rPr>
              <w:t xml:space="preserve">↳  due to late measures</w:t>
            </w:r>
          </w:p>
        </w:tc>
        <w:tc>
          <w:tcPr>
            <w:tcW w:type="dxa" w:w="3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C2  ·  C3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Failures caused by process errors</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Success &amp; Failure Details</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C1  ·  D1  ·  D2  ·  D3</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Échecs 24 h</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Failures evolution</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D1  ·  D2  ·  D3  ·  E4</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Échecs 7 j</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Failures evolution</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D1  ·  D2  ·  D3  ·  E4</w:t>
            </w:r>
          </w:p>
        </w:tc>
      </w:tr>
      <w:tr>
        <w:tc>
          <w:tcPr>
            <w:tcW w:type="dxa" w:w="42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i w:val="false"/>
                <w:iCs w:val="false"/>
                <w:color w:val="16211D"/>
                <w:sz w:val="18"/>
                <w:szCs w:val="18"/>
              </w:rPr>
              <w:t xml:space="preserve">Échecs 30 j</w:t>
            </w:r>
          </w:p>
        </w:tc>
        <w:tc>
          <w:tcPr>
            <w:tcW w:type="dxa" w:w="30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Failures evolution</w:t>
            </w:r>
          </w:p>
        </w:tc>
        <w:tc>
          <w:tcPr>
            <w:tcW w:type="dxa" w:w="73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color w:val="3C4A45"/>
                <w:sz w:val="17"/>
                <w:szCs w:val="17"/>
              </w:rPr>
              <w:t xml:space="preserve">A1  ·  A2  ·  A3  ·  A4  ·  A5  ·  A6  ·  A7  ·  B1  ·  B3  ·  B4  ·  B5  ·  B6  ·  B7  ·  B8  ·  D1  ·  D2  ·  D3  ·  E4</w:t>
            </w:r>
          </w:p>
        </w:tc>
      </w:tr>
    </w:tbl>
    <w:p>
      <w:pPr>
        <w:pStyle w:val="Heading1"/>
        <w:spacing w:after="180" w:before="440"/>
      </w:pPr>
      <w:r>
        <w:rPr>
          <w:rFonts w:ascii="Georgia" w:cs="Georgia" w:eastAsia="Georgia" w:hAnsi="Georgia"/>
          <w:b/>
          <w:bCs/>
          <w:color w:val="16211D"/>
          <w:sz w:val="30"/>
          <w:szCs w:val="30"/>
        </w:rPr>
        <w:t xml:space="preserve">Matrice de traçabilité</w:t>
      </w:r>
    </w:p>
    <w:p>
      <w:pPr>
        <w:spacing w:after="180" w:before="0" w:line="264"/>
      </w:pPr>
      <w:r>
        <w:rPr>
          <w:rFonts w:ascii="Arial" w:cs="Arial" w:eastAsia="Arial" w:hAnsi="Arial"/>
          <w:i/>
          <w:iCs/>
          <w:color w:val="6B7A74"/>
          <w:sz w:val="18"/>
          <w:szCs w:val="18"/>
        </w:rPr>
        <w:t xml:space="preserve">Se lit dans les deux sens : en ligne, les règles qui pilotent un KPI ; en colonne, les KPI touchés si la règle est modifiée.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82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tblGrid>
      <w:tr>
        <w:trPr>
          <w:tblHeader/>
        </w:trPr>
        <w:tc>
          <w:tcPr>
            <w:tcW w:type="dxa" w:w="3820"/>
            <w:tcBorders>
              <w:top w:val="single" w:color="D3DCD8" w:sz="4"/>
              <w:left w:val="single" w:color="D3DCD8" w:sz="4"/>
              <w:bottom w:val="single" w:color="D3DCD8" w:sz="4"/>
              <w:right w:val="single" w:color="D3DCD8" w:sz="4"/>
            </w:tcBorders>
            <w:shd w:fill="1F3A33" w:color="auto" w:val="clear"/>
            <w:tcMar>
              <w:top w:type="dxa" w:w="60"/>
              <w:left w:type="dxa" w:w="110"/>
              <w:bottom w:type="dxa" w:w="60"/>
              <w:right w:type="dxa" w:w="110"/>
            </w:tcMar>
            <w:vAlign w:val="center"/>
          </w:tcPr>
          <w:p>
            <w:pPr>
              <w:spacing w:after="0" w:line="240"/>
            </w:pPr>
            <w:r>
              <w:rPr>
                <w:rFonts w:ascii="Arial" w:cs="Arial" w:eastAsia="Arial" w:hAnsi="Arial"/>
                <w:b/>
                <w:bCs/>
                <w:caps/>
                <w:color w:val="FFFFFF"/>
                <w:sz w:val="14"/>
                <w:szCs w:val="14"/>
              </w:rPr>
              <w:t xml:space="preserve">KPI</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A1</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A2</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A3</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A4</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A5</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A6</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A7</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B1</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B2</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B3</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B4</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B5</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B6</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B7</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B8</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C1</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C2</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C3</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C4</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D1</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D2</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D3</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E1</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E3</w:t>
            </w:r>
          </w:p>
        </w:tc>
        <w:tc>
          <w:tcPr>
            <w:tcW w:type="dxa" w:w="430"/>
            <w:tcBorders>
              <w:top w:val="single" w:color="D3DCD8" w:sz="4"/>
              <w:left w:val="single" w:color="D3DCD8" w:sz="4"/>
              <w:bottom w:val="single" w:color="D3DCD8" w:sz="4"/>
              <w:right w:val="single" w:color="D3DCD8" w:sz="4"/>
            </w:tcBorders>
            <w:shd w:fill="1F3A33"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FFFFFF"/>
                <w:sz w:val="13"/>
                <w:szCs w:val="13"/>
              </w:rPr>
              <w:t xml:space="preserve">E4</w:t>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recos_attendues</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Sum of flg_succes</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Sum of flg_echec</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Success</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Failures caused by manual entries</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Failures due to automatic data</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4"/>
                <w:szCs w:val="14"/>
              </w:rPr>
              <w:t xml:space="preserve">↳ due to tag drop</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4"/>
                <w:szCs w:val="14"/>
              </w:rPr>
              <w:t xml:space="preserve">↳ due to late measures</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Failures due to automatic and manual data</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4"/>
                <w:szCs w:val="14"/>
              </w:rPr>
              <w:t xml:space="preserve">↳ due to tag drop</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4"/>
                <w:szCs w:val="14"/>
              </w:rPr>
              <w:t xml:space="preserve">↳ due to late measures</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EDF2F0"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Failures caused by process errors</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Échecs 24 h</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Échecs 7 j</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r>
      <w:tr>
        <w:tc>
          <w:tcPr>
            <w:tcW w:type="dxa" w:w="382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4"/>
                <w:szCs w:val="14"/>
              </w:rPr>
              <w:t xml:space="preserve">Échecs 30 j</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
            </w:r>
          </w:p>
        </w:tc>
        <w:tc>
          <w:tcPr>
            <w:tcW w:type="dxa" w:w="430"/>
            <w:tcBorders>
              <w:top w:val="single" w:color="D3DCD8" w:sz="4"/>
              <w:left w:val="single" w:color="D3DCD8" w:sz="4"/>
              <w:bottom w:val="single" w:color="D3DCD8" w:sz="4"/>
              <w:right w:val="single" w:color="D3DCD8" w:sz="4"/>
            </w:tcBorders>
            <w:shd w:fill="F6EFE2" w:color="auto" w:val="clear"/>
            <w:tcMar>
              <w:top w:type="dxa" w:w="60"/>
              <w:left w:type="dxa" w:w="30"/>
              <w:bottom w:type="dxa" w:w="60"/>
              <w:right w:type="dxa" w:w="30"/>
            </w:tcMar>
            <w:vAlign w:val="center"/>
          </w:tcPr>
          <w:p>
            <w:pPr>
              <w:spacing w:after="0" w:line="240"/>
              <w:jc w:val="center"/>
            </w:pPr>
            <w:r>
              <w:rPr>
                <w:rFonts w:ascii="Arial" w:cs="Arial" w:eastAsia="Arial" w:hAnsi="Arial"/>
                <w:b/>
                <w:bCs/>
                <w:color w:val="8A5D0B"/>
                <w:sz w:val="16"/>
                <w:szCs w:val="16"/>
              </w:rPr>
              <w:t xml:space="preserve">×</w:t>
            </w:r>
          </w:p>
        </w:tc>
      </w:tr>
    </w:tbl>
    <w:p>
      <w:pPr>
        <w:pStyle w:val="Heading1"/>
        <w:spacing w:after="180" w:before="440"/>
      </w:pPr>
      <w:r>
        <w:rPr>
          <w:rFonts w:ascii="Georgia" w:cs="Georgia" w:eastAsia="Georgia" w:hAnsi="Georgia"/>
          <w:b/>
          <w:bCs/>
          <w:color w:val="16211D"/>
          <w:sz w:val="30"/>
          <w:szCs w:val="30"/>
        </w:rPr>
        <w:t xml:space="preserve">Les 26 règles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1670"/>
      </w:tblGrid>
      <w:tr>
        <w:trPr>
          <w:tblHeader/>
        </w:trPr>
        <w:tc>
          <w:tcPr>
            <w:tcW w:type="dxa" w:w="900"/>
            <w:tcBorders>
              <w:top w:val="single" w:color="D3DCD8" w:sz="4"/>
              <w:left w:val="single" w:color="D3DCD8" w:sz="4"/>
              <w:bottom w:val="single" w:color="D3DCD8" w:sz="4"/>
              <w:right w:val="single" w:color="D3DCD8" w:sz="4"/>
            </w:tcBorders>
            <w:shd w:fill="1F3A33" w:color="auto" w:val="clear"/>
            <w:tcMar>
              <w:top w:type="dxa" w:w="60"/>
              <w:left w:type="dxa" w:w="110"/>
              <w:bottom w:type="dxa" w:w="60"/>
              <w:right w:type="dxa" w:w="110"/>
            </w:tcMar>
            <w:vAlign w:val="center"/>
          </w:tcPr>
          <w:p>
            <w:pPr>
              <w:spacing w:after="0" w:line="240"/>
            </w:pPr>
            <w:r>
              <w:rPr>
                <w:rFonts w:ascii="Arial" w:cs="Arial" w:eastAsia="Arial" w:hAnsi="Arial"/>
                <w:b/>
                <w:bCs/>
                <w:caps/>
                <w:color w:val="FFFFFF"/>
                <w:spacing w:val="14"/>
                <w:sz w:val="15"/>
                <w:szCs w:val="15"/>
              </w:rPr>
              <w:t xml:space="preserve">N°</w:t>
            </w:r>
          </w:p>
        </w:tc>
        <w:tc>
          <w:tcPr>
            <w:tcW w:type="dxa" w:w="2000"/>
            <w:tcBorders>
              <w:top w:val="single" w:color="D3DCD8" w:sz="4"/>
              <w:left w:val="single" w:color="D3DCD8" w:sz="4"/>
              <w:bottom w:val="single" w:color="D3DCD8" w:sz="4"/>
              <w:right w:val="single" w:color="D3DCD8" w:sz="4"/>
            </w:tcBorders>
            <w:shd w:fill="1F3A33" w:color="auto" w:val="clear"/>
            <w:tcMar>
              <w:top w:type="dxa" w:w="60"/>
              <w:left w:type="dxa" w:w="110"/>
              <w:bottom w:type="dxa" w:w="60"/>
              <w:right w:type="dxa" w:w="110"/>
            </w:tcMar>
            <w:vAlign w:val="center"/>
          </w:tcPr>
          <w:p>
            <w:pPr>
              <w:spacing w:after="0" w:line="240"/>
            </w:pPr>
            <w:r>
              <w:rPr>
                <w:rFonts w:ascii="Arial" w:cs="Arial" w:eastAsia="Arial" w:hAnsi="Arial"/>
                <w:b/>
                <w:bCs/>
                <w:caps/>
                <w:color w:val="FFFFFF"/>
                <w:spacing w:val="14"/>
                <w:sz w:val="15"/>
                <w:szCs w:val="15"/>
              </w:rPr>
              <w:t xml:space="preserve">Bloc</w:t>
            </w:r>
          </w:p>
        </w:tc>
        <w:tc>
          <w:tcPr>
            <w:tcW w:type="dxa" w:w="11670"/>
            <w:tcBorders>
              <w:top w:val="single" w:color="D3DCD8" w:sz="4"/>
              <w:left w:val="single" w:color="D3DCD8" w:sz="4"/>
              <w:bottom w:val="single" w:color="D3DCD8" w:sz="4"/>
              <w:right w:val="single" w:color="D3DCD8" w:sz="4"/>
            </w:tcBorders>
            <w:shd w:fill="1F3A33" w:color="auto" w:val="clear"/>
            <w:tcMar>
              <w:top w:type="dxa" w:w="60"/>
              <w:left w:type="dxa" w:w="110"/>
              <w:bottom w:type="dxa" w:w="60"/>
              <w:right w:type="dxa" w:w="110"/>
            </w:tcMar>
            <w:vAlign w:val="center"/>
          </w:tcPr>
          <w:p>
            <w:pPr>
              <w:spacing w:after="0" w:line="240"/>
            </w:pPr>
            <w:r>
              <w:rPr>
                <w:rFonts w:ascii="Arial" w:cs="Arial" w:eastAsia="Arial" w:hAnsi="Arial"/>
                <w:b/>
                <w:bCs/>
                <w:caps/>
                <w:color w:val="FFFFFF"/>
                <w:spacing w:val="14"/>
                <w:sz w:val="15"/>
                <w:szCs w:val="15"/>
              </w:rPr>
              <w:t xml:space="preserve">Règle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A1</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Périmètre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Seuls 8 sites sont suivis : ROUEN1, NOGENT1, NOGENT2, POLISY1, PROUVY1, STRASBOURG2, BUZAU1, BOLELEMI1</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A2</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Périmètre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Seules les étapes où une recommandation est attendue sont suivies, selon un référentiel par ligne de production</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A3</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Périmètre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La référence est le programme de production, pas les recommandations produites</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A4</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Périmètre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L’historique est tronqué : programme à partir du 23/09/2024, journaux du moteur à partir du 01/10/2024</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A5</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Périmètre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Les recommandations supprimées sont écartées</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A6</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Périmètre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bCs/>
                <w:color w:val="16211D"/>
                <w:sz w:val="18"/>
                <w:szCs w:val="18"/>
              </w:rPr>
              <w:t xml:space="preserve">Les batches et lignes de programme supprimés NE sont PAS écartés</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A7</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Périmètre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 rapport exclut en plus BURTON1 et STRASBOURG1</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B1</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 détail descend jusqu’à la mesure manquante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B2</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Succès = la recommandation existe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B3</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Échec = la recommandation attendue est absente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B4</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Rien n’est compté avant l’échéance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B5</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Si plusieurs recommandations pour une même étape, seule la plus récente compte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B6 *</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Une seule ligne porte le compteur par batch et étape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B7</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Les lignes sans mesure manquante sont effacées si une vraie mesure manque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B8</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Comptage</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Seule la dernière tentative du moteur est retenue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C1</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Qualification</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Quatre types d’échec — avec deux définitions divergentes de l’erreur de process entre la carte et le sélecteur</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C2</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Qualification</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Onze codes d’alerte expliquent chaque échec</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C3</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Qualification</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Trois seuils de temps décident du code : 60 min de chevauchement, 30 min pour une saisie manuelle, 60 min pour la création d’un batch</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C4</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Qualification</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Chaque alerte est classée MS ou IDF</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D1</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Axe temporel</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 filtre de date porte sur l’échéance, pas sur la date de création</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D2</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Axe temporel</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L’échéance vient des journaux du moteur, avec repli sur le programme de production</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D3</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Axe temporel</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 calendrier va du 01/01/2025 à aujourd’hui</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E1</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Restitution</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Les filtres disponibles varient d’un écran à l’autre — site sur les 6 écrans, date sur 5 seulement</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E3</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Restitution</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Le filtre site existe en double</w:t>
            </w:r>
          </w:p>
        </w:tc>
      </w:tr>
      <w:tr>
        <w:tc>
          <w:tcPr>
            <w:tcW w:type="dxa" w:w="90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jc w:val="center"/>
            </w:pPr>
            <w:r>
              <w:rPr>
                <w:rFonts w:ascii="Consolas" w:cs="Consolas" w:eastAsia="Consolas" w:hAnsi="Consolas"/>
                <w:b/>
                <w:bCs/>
                <w:color w:val="8A5D0B"/>
                <w:sz w:val="18"/>
                <w:szCs w:val="18"/>
              </w:rPr>
              <w:t xml:space="preserve">E4 *</w:t>
            </w:r>
          </w:p>
        </w:tc>
        <w:tc>
          <w:tcPr>
            <w:tcW w:type="dxa" w:w="2000"/>
            <w:tcBorders>
              <w:top w:val="single" w:color="D3DCD8" w:sz="4"/>
              <w:left w:val="single" w:color="D3DCD8" w:sz="4"/>
              <w:bottom w:val="single" w:color="D3DCD8" w:sz="4"/>
              <w:right w:val="single" w:color="D3DCD8" w:sz="4"/>
            </w:tcBorders>
            <w:shd w:fill="EDF2F0" w:color="auto" w:val="clear"/>
            <w:tcMar>
              <w:top w:type="dxa" w:w="60"/>
              <w:left w:type="dxa" w:w="110"/>
              <w:bottom w:type="dxa" w:w="60"/>
              <w:right w:type="dxa" w:w="110"/>
            </w:tcMar>
            <w:vAlign w:val="center"/>
          </w:tcPr>
          <w:p>
            <w:pPr>
              <w:spacing w:after="0" w:line="240"/>
            </w:pPr>
            <w:r>
              <w:rPr>
                <w:rFonts w:ascii="Arial" w:cs="Arial" w:eastAsia="Arial" w:hAnsi="Arial"/>
                <w:color w:val="6B7A74"/>
                <w:sz w:val="17"/>
                <w:szCs w:val="17"/>
              </w:rPr>
              <w:t xml:space="preserve">Restitution</w:t>
            </w:r>
          </w:p>
        </w:tc>
        <w:tc>
          <w:tcPr>
            <w:tcW w:type="dxa" w:w="11670"/>
            <w:tcBorders>
              <w:top w:val="single" w:color="D3DCD8" w:sz="4"/>
              <w:left w:val="single" w:color="D3DCD8" w:sz="4"/>
              <w:bottom w:val="single" w:color="D3DCD8" w:sz="4"/>
              <w:right w:val="single" w:color="D3DCD8" w:sz="4"/>
            </w:tcBorders>
            <w:tcMar>
              <w:top w:type="dxa" w:w="60"/>
              <w:left w:type="dxa" w:w="110"/>
              <w:bottom w:type="dxa" w:w="60"/>
              <w:right w:type="dxa" w:w="110"/>
            </w:tcMar>
            <w:vAlign w:val="center"/>
          </w:tcPr>
          <w:p>
            <w:pPr>
              <w:spacing w:after="0" w:line="240"/>
            </w:pPr>
            <w:r>
              <w:rPr>
                <w:rFonts w:ascii="Arial" w:cs="Arial" w:eastAsia="Arial" w:hAnsi="Arial"/>
                <w:b w:val="false"/>
                <w:bCs w:val="false"/>
                <w:color w:val="3C4A45"/>
                <w:sz w:val="18"/>
                <w:szCs w:val="18"/>
              </w:rPr>
              <w:t xml:space="preserve">Des indicateurs comparent des périodes glissantes de 24 h, 7 jours et 30 jours, qui se combinent au filtre de date de la page</w:t>
            </w:r>
          </w:p>
        </w:tc>
      </w:tr>
    </w:tbl>
    <w:p>
      <w:pPr>
        <w:pStyle w:val="Heading1"/>
        <w:spacing w:after="180" w:before="440"/>
      </w:pPr>
      <w:r>
        <w:rPr>
          <w:rFonts w:ascii="Georgia" w:cs="Georgia" w:eastAsia="Georgia" w:hAnsi="Georgia"/>
          <w:b/>
          <w:bCs/>
          <w:color w:val="16211D"/>
          <w:sz w:val="30"/>
          <w:szCs w:val="30"/>
        </w:rPr>
        <w:t xml:space="preserve">Notes</w:t>
      </w:r>
    </w:p>
    <w:p>
      <w:pPr>
        <w:spacing w:after="120" w:before="0" w:line="264"/>
      </w:pPr>
      <w:r>
        <w:rPr>
          <w:rFonts w:ascii="Arial" w:cs="Arial" w:eastAsia="Arial" w:hAnsi="Arial"/>
          <w:b/>
          <w:bCs/>
          <w:color w:val="16211D"/>
          <w:sz w:val="18"/>
          <w:szCs w:val="18"/>
        </w:rPr>
        <w:t xml:space="preserve">Mesure non affichée.  </w:t>
      </w:r>
      <w:r>
        <w:rPr>
          <w:rFonts w:ascii="Arial" w:cs="Arial" w:eastAsia="Arial" w:hAnsi="Arial"/>
          <w:color w:val="3C4A45"/>
          <w:sz w:val="18"/>
          <w:szCs w:val="18"/>
        </w:rPr>
        <w:t xml:space="preserve">Une mesure « échecs dus à une chute de tag » existe dans le modèle mais n’est posée sur aucun visuel. Elle définit la chute de tag autrement que les cartes du tableau ci-dessus : par la table d’ascendance au lieu de l’alerte 1. Deux définitions du même phénomène coexistent donc dans le modèle.</w:t>
      </w:r>
    </w:p>
    <w:p>
      <w:pPr>
        <w:spacing w:after="120" w:before="0" w:line="264"/>
      </w:pPr>
      <w:r>
        <w:rPr>
          <w:rFonts w:ascii="Arial" w:cs="Arial" w:eastAsia="Arial" w:hAnsi="Arial"/>
          <w:b/>
          <w:bCs/>
          <w:color w:val="16211D"/>
          <w:sz w:val="18"/>
          <w:szCs w:val="18"/>
        </w:rPr>
        <w:t xml:space="preserve">Règles hors calcul.  </w:t>
      </w:r>
      <w:r>
        <w:rPr>
          <w:rFonts w:ascii="Arial" w:cs="Arial" w:eastAsia="Arial" w:hAnsi="Arial"/>
          <w:color w:val="3C4A45"/>
          <w:sz w:val="18"/>
          <w:szCs w:val="18"/>
        </w:rPr>
        <w:t xml:space="preserve">C4 (classement MS / IDF) ne pilote aucun KPI : elle sert uniquement de filtre sur la page Alerts. E1 et E3 portent sur les écrans et non sur les calculs — elles n’apparaissent donc dans aucune ligne. La règle E2 a été retirée : elle concernait un onglet masqué, hors périmètre.</w:t>
      </w:r>
    </w:p>
    <w:p>
      <w:pPr>
        <w:spacing w:after="120" w:before="0" w:line="264"/>
      </w:pPr>
      <w:r>
        <w:rPr>
          <w:rFonts w:ascii="Arial" w:cs="Arial" w:eastAsia="Arial" w:hAnsi="Arial"/>
          <w:b/>
          <w:bCs/>
          <w:color w:val="16211D"/>
          <w:sz w:val="18"/>
          <w:szCs w:val="18"/>
        </w:rPr>
        <w:t xml:space="preserve">Contrôle de cohérence.  </w:t>
      </w:r>
      <w:r>
        <w:rPr>
          <w:rFonts w:ascii="Arial" w:cs="Arial" w:eastAsia="Arial" w:hAnsi="Arial"/>
          <w:color w:val="3C4A45"/>
          <w:sz w:val="18"/>
          <w:szCs w:val="18"/>
        </w:rPr>
        <w:t xml:space="preserve">Les quatre cartes d’échec de la page Détails devraient totaliser le nombre d’échecs de la période. Ce n’est pas garanti : un échec dont les journaux du moteur sont absents n’entre dans aucune des quatre cartes, tout en pesant dans le dénominateur du taux de réussite. Voir la règle C1, qui documente les deux définitions divergentes de l’erreur de process.</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A74"/>
        <w:sz w:val="15"/>
        <w:szCs w:val="15"/>
      </w:rPr>
      <w:t xml:space="preserve">Règles de gestion par KPI — Dashboard monitoring des recommandations   </w:t>
    </w:r>
    <w:r>
      <w:rPr>
        <w:rFonts w:ascii="Arial" w:cs="Arial" w:eastAsia="Arial" w:hAnsi="Arial"/>
        <w:color w:val="6B7A7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A45"/>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Règles de gestion par KPI — Dashboard monitoring</dc:title>
  <dc:creator>Analyse BI</dc:creator>
  <cp:lastModifiedBy>Un-named</cp:lastModifiedBy>
  <cp:revision>1</cp:revision>
  <dcterms:created xsi:type="dcterms:W3CDTF">2026-09-17T13:27:01.533Z</dcterms:created>
  <dcterms:modified xsi:type="dcterms:W3CDTF">2026-09-17T13:27:01.534Z</dcterms:modified>
</cp:coreProperties>
</file>

<file path=docProps/custom.xml><?xml version="1.0" encoding="utf-8"?>
<Properties xmlns="http://schemas.openxmlformats.org/officeDocument/2006/custom-properties" xmlns:vt="http://schemas.openxmlformats.org/officeDocument/2006/docPropsVTypes"/>
</file>