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Arial" w:cs="Arial" w:eastAsia="Arial" w:hAnsi="Arial"/>
          <w:b/>
          <w:bCs/>
          <w:color w:val="6B7A74"/>
          <w:spacing w:val="24"/>
          <w:sz w:val="16"/>
          <w:szCs w:val="16"/>
        </w:rPr>
        <w:t xml:space="preserve">SUPPORT D’ATELIER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16211D"/>
          <w:sz w:val="44"/>
          <w:szCs w:val="44"/>
        </w:rPr>
        <w:t xml:space="preserve">Règles de gestion par KPI</w:t>
      </w:r>
    </w:p>
    <w:p>
      <w:pPr>
        <w:spacing w:after="100" w:before="0" w:line="264"/>
      </w:pPr>
      <w:r>
        <w:rPr>
          <w:rFonts w:ascii="Georgia" w:cs="Georgia" w:eastAsia="Georgia" w:hAnsi="Georgia"/>
          <w:color w:val="3C4A45"/>
          <w:sz w:val="22"/>
          <w:szCs w:val="22"/>
        </w:rPr>
        <w:t xml:space="preserve">Dashboard monitoring des recommandations — quelles règles s’appliquent à chaque indicateur affiché.</w:t>
      </w:r>
    </w:p>
    <w:p>
      <w:pPr>
        <w:spacing w:after="240" w:before="0" w:line="264"/>
      </w:pPr>
      <w:r>
        <w:rPr>
          <w:rFonts w:ascii="Arial" w:cs="Arial" w:eastAsia="Arial" w:hAnsi="Arial"/>
          <w:i/>
          <w:iCs/>
          <w:color w:val="6B7A74"/>
          <w:sz w:val="18"/>
          <w:szCs w:val="18"/>
        </w:rPr>
        <w:t xml:space="preserve">16 règles sur 26 sont communes à tous les KPI. Modifier A6 ou D1 fait bouger l’ensemble du dashboard ; modifier C3 ne touche que les quatre sous-chiffres tag drop et late measures.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7370"/>
      </w:tblGrid>
      <w:tr>
        <w:trPr>
          <w:tblHeader/>
        </w:trP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14"/>
                <w:sz w:val="15"/>
                <w:szCs w:val="15"/>
              </w:rPr>
              <w:t xml:space="preserve">KPI (nom affiché)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14"/>
                <w:sz w:val="15"/>
                <w:szCs w:val="15"/>
              </w:rPr>
              <w:t xml:space="preserve">Page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14"/>
                <w:sz w:val="15"/>
                <w:szCs w:val="15"/>
              </w:rPr>
              <w:t xml:space="preserve">Règles de gestion appliquées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recos_attendues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Overview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A7  ·  B1  ·  B2  ·  B3  ·  B4  ·  B5  ·  B6  ·  B7  ·  B8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Sum of flg_succes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Overview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A7  ·  B1  ·  B2  ·  B4  ·  B5  ·  B6  ·  B7  ·  B8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Sum of flg_echec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Overview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A7  ·  B1  ·  B3  ·  B4  ·  B5  ·  B6  ·  B7  ·  B8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Success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Success &amp; Failure Details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A7  ·  B1  ·  B2  ·  B3  ·  B4  ·  B5  ·  B6  ·  B7  ·  B8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Failures caused by manual entries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Success &amp; Failure Details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A7  ·  B1  ·  B3  ·  B4  ·  B5  ·  B6  ·  B7  ·  B8  ·  C1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Failures due to automatic data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Success &amp; Failure Details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A7  ·  B1  ·  B3  ·  B4  ·  B5  ·  B6  ·  B7  ·  B8  ·  C1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C4A45"/>
                <w:sz w:val="18"/>
                <w:szCs w:val="18"/>
              </w:rPr>
              <w:t xml:space="preserve">↳  due to tag drop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Success &amp; Failure Details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A7  ·  B1  ·  B3  ·  B4  ·  B5  ·  B6  ·  B7  ·  B8  ·  C1  ·  C2  ·  C3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C4A45"/>
                <w:sz w:val="18"/>
                <w:szCs w:val="18"/>
              </w:rPr>
              <w:t xml:space="preserve">↳  due to late measures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Success &amp; Failure Details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A7  ·  B1  ·  B3  ·  B4  ·  B5  ·  B6  ·  B7  ·  B8  ·  C1  ·  C2  ·  C3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Failures due to automatic and manual data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Success &amp; Failure Details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A7  ·  B1  ·  B3  ·  B4  ·  B5  ·  B6  ·  B7  ·  B8  ·  C1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C4A45"/>
                <w:sz w:val="18"/>
                <w:szCs w:val="18"/>
              </w:rPr>
              <w:t xml:space="preserve">↳  due to tag drop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Success &amp; Failure Details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A7  ·  B1  ·  B3  ·  B4  ·  B5  ·  B6  ·  B7  ·  B8  ·  C1  ·  C2  ·  C3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C4A45"/>
                <w:sz w:val="18"/>
                <w:szCs w:val="18"/>
              </w:rPr>
              <w:t xml:space="preserve">↳  due to late measures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Success &amp; Failure Details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A7  ·  B1  ·  B3  ·  B4  ·  B5  ·  B6  ·  B7  ·  B8  ·  C1  ·  C2  ·  C3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Failures caused by process errors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Success &amp; Failure Details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A7  ·  B1  ·  B3  ·  B4  ·  B5  ·  B6  ·  B7  ·  B8  ·  C1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Échecs 24 h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Failures evolution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A7  ·  B1  ·  B3  ·  B4  ·  B5  ·  B6  ·  B7  ·  B8  ·  D1  ·  D2  ·  D3  ·  E4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Échecs 7 j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Failures evolution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A7  ·  B1  ·  B3  ·  B4  ·  B5  ·  B6  ·  B7  ·  B8  ·  D1  ·  D2  ·  D3  ·  E4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Échecs 30 j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Failures evolution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A7  ·  B1  ·  B3  ·  B4  ·  B5  ·  B6  ·  B7  ·  B8  ·  D1  ·  D2  ·  D3  ·  E4</w:t>
            </w:r>
          </w:p>
        </w:tc>
      </w:tr>
    </w:tbl>
    <w:p>
      <w:pPr>
        <w:pStyle w:val="Heading1"/>
        <w:spacing w:after="180" w:before="440"/>
      </w:pPr>
      <w:r>
        <w:rPr>
          <w:rFonts w:ascii="Georgia" w:cs="Georgia" w:eastAsia="Georgia" w:hAnsi="Georgia"/>
          <w:b/>
          <w:bCs/>
          <w:color w:val="16211D"/>
          <w:sz w:val="30"/>
          <w:szCs w:val="30"/>
        </w:rPr>
        <w:t xml:space="preserve">Matrice de traçabilité</w:t>
      </w:r>
    </w:p>
    <w:p>
      <w:pPr>
        <w:spacing w:after="180" w:before="0" w:line="264"/>
      </w:pPr>
      <w:r>
        <w:rPr>
          <w:rFonts w:ascii="Arial" w:cs="Arial" w:eastAsia="Arial" w:hAnsi="Arial"/>
          <w:i/>
          <w:iCs/>
          <w:color w:val="6B7A74"/>
          <w:sz w:val="18"/>
          <w:szCs w:val="18"/>
        </w:rPr>
        <w:t xml:space="preserve">Se lit dans les deux sens : en ligne, les règles qui pilotent un KPI ; en colonne, les KPI touchés si la règle est modifiée.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6"/>
        <w:gridCol w:w="414"/>
        <w:gridCol w:w="414"/>
        <w:gridCol w:w="414"/>
        <w:gridCol w:w="414"/>
        <w:gridCol w:w="414"/>
        <w:gridCol w:w="414"/>
        <w:gridCol w:w="414"/>
        <w:gridCol w:w="414"/>
        <w:gridCol w:w="414"/>
        <w:gridCol w:w="414"/>
        <w:gridCol w:w="414"/>
        <w:gridCol w:w="414"/>
        <w:gridCol w:w="414"/>
        <w:gridCol w:w="414"/>
        <w:gridCol w:w="414"/>
        <w:gridCol w:w="414"/>
        <w:gridCol w:w="414"/>
        <w:gridCol w:w="414"/>
        <w:gridCol w:w="414"/>
        <w:gridCol w:w="414"/>
        <w:gridCol w:w="414"/>
        <w:gridCol w:w="414"/>
        <w:gridCol w:w="414"/>
        <w:gridCol w:w="414"/>
        <w:gridCol w:w="414"/>
        <w:gridCol w:w="414"/>
      </w:tblGrid>
      <w:tr>
        <w:trPr>
          <w:tblHeader/>
        </w:trPr>
        <w:tc>
          <w:tcPr>
            <w:tcW w:type="dxa" w:w="3806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4"/>
                <w:szCs w:val="14"/>
              </w:rPr>
              <w:t xml:space="preserve">KPI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A1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A2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A3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A4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A5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A6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A7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B1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B2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B3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B4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B5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B6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B7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B8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C1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C2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C3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C4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D1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D2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D3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E1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E2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E3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E4</w:t>
            </w:r>
          </w:p>
        </w:tc>
      </w:tr>
      <w:tr>
        <w:tc>
          <w:tcPr>
            <w:tcW w:type="dxa" w:w="3806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recos_attendues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06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Sum of flg_succes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06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Sum of flg_echec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06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Success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06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Failures caused by manual entries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06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Failures due to automatic data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06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4"/>
                <w:szCs w:val="14"/>
              </w:rPr>
              <w:t xml:space="preserve">↳ due to tag drop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06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4"/>
                <w:szCs w:val="14"/>
              </w:rPr>
              <w:t xml:space="preserve">↳ due to late measures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06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Failures due to automatic and manual data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06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4"/>
                <w:szCs w:val="14"/>
              </w:rPr>
              <w:t xml:space="preserve">↳ due to tag drop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06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4"/>
                <w:szCs w:val="14"/>
              </w:rPr>
              <w:t xml:space="preserve">↳ due to late measures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06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Failures caused by process errors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06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Échecs 24 h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</w:tr>
      <w:tr>
        <w:tc>
          <w:tcPr>
            <w:tcW w:type="dxa" w:w="3806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Échecs 7 j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</w:tr>
      <w:tr>
        <w:tc>
          <w:tcPr>
            <w:tcW w:type="dxa" w:w="3806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Échecs 30 j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414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</w:tr>
    </w:tbl>
    <w:p>
      <w:pPr>
        <w:pStyle w:val="Heading1"/>
        <w:spacing w:after="180" w:before="440"/>
      </w:pPr>
      <w:r>
        <w:rPr>
          <w:rFonts w:ascii="Georgia" w:cs="Georgia" w:eastAsia="Georgia" w:hAnsi="Georgia"/>
          <w:b/>
          <w:bCs/>
          <w:color w:val="16211D"/>
          <w:sz w:val="30"/>
          <w:szCs w:val="30"/>
        </w:rPr>
        <w:t xml:space="preserve">Les 26 règles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11670"/>
      </w:tblGrid>
      <w:tr>
        <w:trPr>
          <w:tblHeader/>
        </w:trP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14"/>
                <w:sz w:val="15"/>
                <w:szCs w:val="15"/>
              </w:rPr>
              <w:t xml:space="preserve">N°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14"/>
                <w:sz w:val="15"/>
                <w:szCs w:val="15"/>
              </w:rPr>
              <w:t xml:space="preserve">Bloc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14"/>
                <w:sz w:val="15"/>
                <w:szCs w:val="15"/>
              </w:rPr>
              <w:t xml:space="preserve">Règle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A1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Périmètre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Seuls 8 sites sont suivis : ROUEN1, NOGENT1, NOGENT2, POLISY1, PROUVY1, STRASBOURG2, BUZAU1, BOLELEMI1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A2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Périmètre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Seules les étapes où une recommandation est attendue sont suivies, selon un référentiel par ligne de production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A3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Périmètre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La référence est le programme de production, pas les recommandations produites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A4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Périmètre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L’historique est tronqué : programme à partir du 23/09/2024, journaux du moteur à partir du 01/10/2024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A5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Périmètre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Les recommandations supprimées sont écartées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A6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Périmètre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8"/>
                <w:szCs w:val="18"/>
              </w:rPr>
              <w:t xml:space="preserve">Les batches et lignes de programme supprimés NE sont PAS écartés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A7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Périmètre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Le rapport exclut en plus BURTON1 et STRASBOURG1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B1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Comptage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Le détail descend jusqu’à la mesure manquante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B2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Comptage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Succès = la recommandation existe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B3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Comptage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Échec = la recommandation attendue est absente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B4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Comptage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Rien n’est compté avant l’échéance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B5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Comptage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Si plusieurs recommandations pour une même étape, seule la plus récente compte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B6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Comptage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Une seule ligne porte le compteur par batch et étape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B7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Comptage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Les lignes sans mesure manquante sont effacées si une vraie mesure manque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B8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Comptage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Seule la dernière tentative du moteur est retenue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C1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Qualification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Quatre types d’échec : valeurs automatiques, valeurs manuelles, les deux, erreur de process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C2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Qualification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Onze codes d’alerte expliquent chaque échec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C3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Qualification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Trois seuils de temps décident du code : 60 min de chevauchement, 30 min pour une saisie manuelle, 60 min pour la création d’un batch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C4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Qualification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Chaque alerte est classée MS ou IDF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D1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Axe temporel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Le filtre de date porte sur l’échéance, pas sur la date de création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D2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Axe temporel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L’échéance vient des journaux du moteur, avec repli sur le programme de production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D3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Axe temporel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Le calendrier va du 01/01/2025 à aujourd’hui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E1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Restitution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Les filtres disponibles varient d’un écran à l’autre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E2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Restitution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Une page semble faire doublon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E3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Restitution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Le filtre site existe en double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E4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Restitution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Des indicateurs comparent des périodes glissantes de 24 h, 7 jours et 30 jours</w:t>
            </w:r>
          </w:p>
        </w:tc>
      </w:tr>
    </w:tbl>
    <w:p>
      <w:pPr>
        <w:pStyle w:val="Heading1"/>
        <w:spacing w:after="180" w:before="440"/>
      </w:pPr>
      <w:r>
        <w:rPr>
          <w:rFonts w:ascii="Georgia" w:cs="Georgia" w:eastAsia="Georgia" w:hAnsi="Georgia"/>
          <w:b/>
          <w:bCs/>
          <w:color w:val="16211D"/>
          <w:sz w:val="30"/>
          <w:szCs w:val="30"/>
        </w:rPr>
        <w:t xml:space="preserve">Notes</w:t>
      </w:r>
    </w:p>
    <w:p>
      <w:pPr>
        <w:spacing w:after="120" w:before="0" w:line="264"/>
      </w:pPr>
      <w:r>
        <w:rPr>
          <w:rFonts w:ascii="Arial" w:cs="Arial" w:eastAsia="Arial" w:hAnsi="Arial"/>
          <w:b/>
          <w:bCs/>
          <w:color w:val="16211D"/>
          <w:sz w:val="18"/>
          <w:szCs w:val="18"/>
        </w:rPr>
        <w:t xml:space="preserve">Mesure non affichée.  </w:t>
      </w:r>
      <w:r>
        <w:rPr>
          <w:rFonts w:ascii="Arial" w:cs="Arial" w:eastAsia="Arial" w:hAnsi="Arial"/>
          <w:color w:val="3C4A45"/>
          <w:sz w:val="18"/>
          <w:szCs w:val="18"/>
        </w:rPr>
        <w:t xml:space="preserve">Une mesure « échecs dus à une chute de tag » existe dans le modèle mais n’est posée sur aucun visuel. Elle définit la chute de tag autrement que les cartes du tableau ci-dessus : par la table d’ascendance au lieu de l’alerte 1. Deux définitions du même phénomène coexistent donc dans le modèle.</w:t>
      </w:r>
    </w:p>
    <w:p>
      <w:pPr>
        <w:spacing w:after="120" w:before="0" w:line="264"/>
      </w:pPr>
      <w:r>
        <w:rPr>
          <w:rFonts w:ascii="Arial" w:cs="Arial" w:eastAsia="Arial" w:hAnsi="Arial"/>
          <w:b/>
          <w:bCs/>
          <w:color w:val="16211D"/>
          <w:sz w:val="18"/>
          <w:szCs w:val="18"/>
        </w:rPr>
        <w:t xml:space="preserve">Règles hors calcul.  </w:t>
      </w:r>
      <w:r>
        <w:rPr>
          <w:rFonts w:ascii="Arial" w:cs="Arial" w:eastAsia="Arial" w:hAnsi="Arial"/>
          <w:color w:val="3C4A45"/>
          <w:sz w:val="18"/>
          <w:szCs w:val="18"/>
        </w:rPr>
        <w:t xml:space="preserve">C4 (classement MS / IDF) ne pilote aucun KPI : elle sert uniquement de filtre sur la page Alerts. E1, E2 et E3 portent sur les écrans et non sur les calculs — elles n’apparaissent donc dans aucune ligne.</w:t>
      </w:r>
    </w:p>
    <w:p>
      <w:pPr>
        <w:spacing w:after="120" w:before="0" w:line="264"/>
      </w:pPr>
      <w:r>
        <w:rPr>
          <w:rFonts w:ascii="Arial" w:cs="Arial" w:eastAsia="Arial" w:hAnsi="Arial"/>
          <w:b/>
          <w:bCs/>
          <w:color w:val="16211D"/>
          <w:sz w:val="18"/>
          <w:szCs w:val="18"/>
        </w:rPr>
        <w:t xml:space="preserve">Contrôle de cohérence.  </w:t>
      </w:r>
      <w:r>
        <w:rPr>
          <w:rFonts w:ascii="Arial" w:cs="Arial" w:eastAsia="Arial" w:hAnsi="Arial"/>
          <w:color w:val="3C4A45"/>
          <w:sz w:val="18"/>
          <w:szCs w:val="18"/>
        </w:rPr>
        <w:t xml:space="preserve">Les quatre cartes d’échec de la page Détails forment une partition : leur somme doit égaler le nombre total d’échecs de la période. Si ce n’est pas le cas, il s’agit d’échecs dont les journaux du moteur sont absents — ils ne sont comptés dans aucune des quatre cartes tout en pesant dans le dénominateur du taux de réussite.</w:t>
      </w:r>
    </w:p>
    <w:sectPr>
      <w:footerReference w:type="default" r:id="rId7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A74"/>
        <w:sz w:val="15"/>
        <w:szCs w:val="15"/>
      </w:rPr>
      <w:t xml:space="preserve">Règles de gestion par KPI — Dashboard monitoring des recommandations   </w:t>
    </w:r>
    <w:r>
      <w:rPr>
        <w:rFonts w:ascii="Arial" w:cs="Arial" w:eastAsia="Arial" w:hAnsi="Arial"/>
        <w:color w:val="6B7A74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C4A45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Règles de gestion par KPI — Dashboard monitoring</dc:title>
  <dc:creator>Analyse BI</dc:creator>
  <cp:lastModifiedBy>Un-named</cp:lastModifiedBy>
  <cp:revision>1</cp:revision>
  <dcterms:created xsi:type="dcterms:W3CDTF">2026-09-17T12:21:42.119Z</dcterms:created>
  <dcterms:modified xsi:type="dcterms:W3CDTF">2026-09-17T12:21:42.131Z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