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8A5D0B"/>
          <w:spacing w:val="24"/>
          <w:sz w:val="16"/>
          <w:szCs w:val="16"/>
        </w:rPr>
        <w:t xml:space="preserve">SUPPORT D’ATELIER  ·  VERSION TECHNIQUE</w:t>
      </w:r>
    </w:p>
    <w:p>
      <w:pPr>
        <w:spacing w:after="140"/>
      </w:pPr>
      <w:r>
        <w:rPr>
          <w:rFonts w:ascii="Georgia" w:cs="Georgia" w:eastAsia="Georgia" w:hAnsi="Georgia"/>
          <w:b/>
          <w:bCs/>
          <w:color w:val="16211D"/>
          <w:sz w:val="46"/>
          <w:szCs w:val="46"/>
        </w:rPr>
        <w:t xml:space="preserve">Règles de gestion du Dashboard monitoring</w:t>
      </w:r>
    </w:p>
    <w:p>
      <w:pPr>
        <w:spacing w:after="260" w:before="0" w:line="264"/>
      </w:pPr>
      <w:r>
        <w:rPr>
          <w:rFonts w:ascii="Georgia" w:cs="Georgia" w:eastAsia="Georgia" w:hAnsi="Georgia"/>
          <w:color w:val="3C4A45"/>
          <w:sz w:val="22"/>
          <w:szCs w:val="22"/>
        </w:rPr>
        <w:t xml:space="preserve">Recensement des règles et des filtres appliqués au rapport « Dashboard monitoring des recommandations », à passer en revue avec le métier pour décider de ce qui est conservé.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Rubrique</w:t>
            </w:r>
          </w:p>
        </w:tc>
        <w:tc>
          <w:tcPr>
            <w:tcW w:type="dxa" w:w="72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Contenu</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Objet</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Décider, règle par règle, ce que le métier souhaite garder, modifier ou supprimer.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Comment lire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règle porte un identifiant (A1, B2, C3…) qui sert de référence pendant la séance. Les sections finales détaillent les alertes, les écrans et les points qui demandent un arbitrage.</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À compléter</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Uniquement les cases « Décision » et « Commentaire », sur fond jaune. Valeurs attendues : Garder · Modifier · Supprimer · À approfondir.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Portée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Seul le Dashboard monitoring des recommandations est couvert. Le rapport Suivi des recommandations ne l’est pas.</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Version</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VERSION TECHNIQUE — contient la traduction technique de chaque règle et son emplacement exact dans le code.</w:t>
            </w:r>
          </w:p>
        </w:tc>
      </w:tr>
    </w:tbl>
    <w:p>
      <w:pPr>
        <w:spacing w:after="240"/>
      </w:pPr>
      <w:r>
        <w:rPr>
          <w:rFonts w:ascii="Arial" w:cs="Arial" w:eastAsia="Arial" w:hAnsi="Arial"/>
          <w:color w:val="3C4A45"/>
          <w:sz w:val="19"/>
          <w:szCs w:val="19"/>
        </w:rPr>
        <w:t xml:space="preserve"/>
      </w:r>
    </w:p>
    <w:p>
      <w:pPr>
        <w:spacing w:after="100" w:before="0" w:line="264"/>
      </w:pPr>
      <w:r>
        <w:rPr>
          <w:rFonts w:ascii="Arial" w:cs="Arial" w:eastAsia="Arial" w:hAnsi="Arial"/>
          <w:b/>
          <w:bCs/>
          <w:caps/>
          <w:color w:val="8A5D0B"/>
          <w:spacing w:val="14"/>
          <w:sz w:val="17"/>
          <w:szCs w:val="17"/>
        </w:rPr>
        <w:t xml:space="preserve">Exemple de case remplie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tblHeader/>
        </w:trPr>
        <w:tc>
          <w:tcPr>
            <w:tcW w:type="dxa" w:w="21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Champ</w:t>
            </w:r>
          </w:p>
        </w:tc>
        <w:tc>
          <w:tcPr>
            <w:tcW w:type="dxa" w:w="75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Valeur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Modifier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Un batch annulé ne doit pas compter en échec. Porté par L. Martin, échéance fin octobre.</w:t>
            </w:r>
          </w:p>
        </w:tc>
      </w:tr>
    </w:tbl>
    <w:p>
      <w:pPr>
        <w:pStyle w:val="Heading1"/>
        <w:spacing w:after="60" w:before="480"/>
      </w:pPr>
      <w:r>
        <w:rPr>
          <w:rFonts w:ascii="Georgia" w:cs="Georgia" w:eastAsia="Georgia" w:hAnsi="Georgia"/>
          <w:b/>
          <w:bCs/>
          <w:color w:val="8A5D0B"/>
          <w:sz w:val="30"/>
          <w:szCs w:val="30"/>
        </w:rPr>
        <w:t xml:space="preserve">A. </w:t>
      </w:r>
      <w:r>
        <w:rPr>
          <w:rFonts w:ascii="Georgia" w:cs="Georgia" w:eastAsia="Georgia" w:hAnsi="Georgia"/>
          <w:b/>
          <w:bCs/>
          <w:color w:val="16211D"/>
          <w:sz w:val="30"/>
          <w:szCs w:val="30"/>
        </w:rPr>
        <w:t xml:space="preserve">Périmètre</w:t>
      </w:r>
    </w:p>
    <w:p>
      <w:pPr>
        <w:spacing w:after="220" w:before="0" w:line="264"/>
      </w:pPr>
      <w:r>
        <w:rPr>
          <w:rFonts w:ascii="Arial" w:cs="Arial" w:eastAsia="Arial" w:hAnsi="Arial"/>
          <w:i/>
          <w:iCs/>
          <w:color w:val="6B7A74"/>
          <w:sz w:val="19"/>
          <w:szCs w:val="19"/>
        </w:rPr>
        <w:t xml:space="preserve">Ce qui entre — ou non — dans le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A1   </w:t>
            </w:r>
            <w:r>
              <w:rPr>
                <w:rFonts w:ascii="Arial" w:cs="Arial" w:eastAsia="Arial" w:hAnsi="Arial"/>
                <w:b/>
                <w:bCs/>
                <w:color w:val="16211D"/>
                <w:sz w:val="21"/>
                <w:szCs w:val="21"/>
              </w:rPr>
              <w:t xml:space="preserve">Seuls 8 sites sont suivis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ne couvre que ROUEN1, NOGENT1, NOGENT2, POLISY1, PROUVY1, STRASBOURG2, BUZAU1 et BOLELEMI1. Un site absent de cette liste n'apparaît nulle part, même si des recommandations y sont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Union explicite des 8 sites répétée dans 5 chaînes d'alimentation distinctes (journaux du moteur, référentiel des étapes, ascendance, mesures automatiques manquantes, mesures d'actifs manquantes). PITHIVIERS6 est présent mais commenté.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cellules 4, 5, 33, 34, 35 — déclarations dans load_data.ipynb cellule 7</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Ajouter un site demande 5 modifications de code coordonnées.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A2   </w:t>
            </w:r>
            <w:r>
              <w:rPr>
                <w:rFonts w:ascii="Arial" w:cs="Arial" w:eastAsia="Arial" w:hAnsi="Arial"/>
                <w:b/>
                <w:bCs/>
                <w:color w:val="16211D"/>
                <w:sz w:val="21"/>
                <w:szCs w:val="21"/>
              </w:rPr>
              <w:t xml:space="preserve">Seules les étapes où une recommandation est attendue sont suivies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Pour chaque ligne de production, un référentiel indique les étapes du process sur lesquelles on attend une recommandation. Les autres sont ignorées : ni succès, ni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Jointure INNER entre le planning et le référentiel par site, restreint à is_target_localization = true.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5 (filtre) et cellule 23 (jointure INNER)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paramétrage est porté par un référentiel technique par site.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A3   </w:t>
            </w:r>
            <w:r>
              <w:rPr>
                <w:rFonts w:ascii="Arial" w:cs="Arial" w:eastAsia="Arial" w:hAnsi="Arial"/>
                <w:b/>
                <w:bCs/>
                <w:color w:val="16211D"/>
                <w:sz w:val="21"/>
                <w:szCs w:val="21"/>
              </w:rPr>
              <w:t xml:space="preserve">La référence est le programme de production, pas les recommandations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part de ce qui était prévu, puis vérifie si la recommandation existe. C'est ce qui lui permet de compter des échecs — un rapport qui partirait des recommandations existantes n'en verrait aucun.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batches_production_planning sert de table de référence, jointe en LEFT vers recommendations.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cellules 20 à 25</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Choix structurant : c'est ce qui distingue ce rapport d'un rapport d'adoption.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L'historique est tronqué à deux dates différentes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programme de production n'est pris en compte qu'à partir du 23/09/2024, et les journaux du moteur qu'à partir du 01/10/2024. Rien d'antérieur n'est visible.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Deux filtres d'antériorité distincts et codés en dur.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20 (&gt;= 2024-09-23) et cellule 16 (&gt;= 2024-10-01)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Deux seuils différents, écart d'une semaine, sans justification documentée.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A5   </w:t>
            </w:r>
            <w:r>
              <w:rPr>
                <w:rFonts w:ascii="Arial" w:cs="Arial" w:eastAsia="Arial" w:hAnsi="Arial"/>
                <w:b/>
                <w:bCs/>
                <w:color w:val="16211D"/>
                <w:sz w:val="21"/>
                <w:szCs w:val="21"/>
              </w:rPr>
              <w:t xml:space="preserve">Les recommandations supprimées sont écartées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supprimée dans l'applicatif n'est pas comptée.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Filtre sur le drapeau de suppression logique de la table des recommandations.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25</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Aligné avec le rapport Suivi.</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Les batches et lignes de programme supprimés NE sont PAS écartés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 batch ou une étape planifiée est annulé, le dashboard continue de considérer que la recommandation était attendue. Comme elle n'a évidemment pas été produite, elle est comptée en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Aucun filtre sur le drapeau de suppression logique, ni sur la table du planning, ni sur la table des batches. Le rapport Suivi applique les deux.</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cellules 20 et 21 — absence de filtre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MESURÉ : 56 faux échecs sur la période analysée. Taux de réussite affiché 64,9 % au lieu de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A7   </w:t>
            </w:r>
            <w:r>
              <w:rPr>
                <w:rFonts w:ascii="Arial" w:cs="Arial" w:eastAsia="Arial" w:hAnsi="Arial"/>
                <w:b/>
                <w:bCs/>
                <w:color w:val="16211D"/>
                <w:sz w:val="21"/>
                <w:szCs w:val="21"/>
              </w:rPr>
              <w:t xml:space="preserve">Le rapport exclut deux sites supplémentaires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 filtre de rapport retire BURTON1 et STRASBOURG1 de tous les écrans.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Filtre de niveau rapport sur le nom du site, exprimé en liste d'exclusion.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report.json du rapport Monitoring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Sans effet réel : ces deux sites ne sont chargés par aucune chaîne d'alimentation.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B. </w:t>
      </w:r>
      <w:r>
        <w:rPr>
          <w:rFonts w:ascii="Georgia" w:cs="Georgia" w:eastAsia="Georgia" w:hAnsi="Georgia"/>
          <w:b/>
          <w:bCs/>
          <w:color w:val="16211D"/>
          <w:sz w:val="30"/>
          <w:szCs w:val="30"/>
        </w:rPr>
        <w:t xml:space="preserve">Règles de comptage</w:t>
      </w:r>
    </w:p>
    <w:p>
      <w:pPr>
        <w:spacing w:after="220" w:before="0" w:line="264"/>
      </w:pPr>
      <w:r>
        <w:rPr>
          <w:rFonts w:ascii="Arial" w:cs="Arial" w:eastAsia="Arial" w:hAnsi="Arial"/>
          <w:i/>
          <w:iCs/>
          <w:color w:val="6B7A74"/>
          <w:sz w:val="19"/>
          <w:szCs w:val="19"/>
        </w:rPr>
        <w:t xml:space="preserve">Comment un succès et un échec sont déterminés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B1   </w:t>
            </w:r>
            <w:r>
              <w:rPr>
                <w:rFonts w:ascii="Arial" w:cs="Arial" w:eastAsia="Arial" w:hAnsi="Arial"/>
                <w:b/>
                <w:bCs/>
                <w:color w:val="16211D"/>
                <w:sz w:val="21"/>
                <w:szCs w:val="21"/>
              </w:rPr>
              <w:t xml:space="preserve">Le détail descend jusqu'à la mesure manquante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ligne du dashboard correspond à un batch, une étape, et une mesure manquante. C'est ce qui permet de dire quelle mesure a fait échouer la recommandation.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Granularité de la table de faits : batch_id x id_parameter_localization x missing_value.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cellules 5 à 8, sélection finale cellule 48</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comptage doit donc neutraliser les lignes en double (voir B6).</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B2   </w:t>
            </w:r>
            <w:r>
              <w:rPr>
                <w:rFonts w:ascii="Arial" w:cs="Arial" w:eastAsia="Arial" w:hAnsi="Arial"/>
                <w:b/>
                <w:bCs/>
                <w:color w:val="16211D"/>
                <w:sz w:val="21"/>
                <w:szCs w:val="21"/>
              </w:rPr>
              <w:t xml:space="preserve">Succès = la recommandation existe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attendue est comptée en succès dès lors qu'elle a bien été créée dans l'applicatif.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flg_succes = 1 si id_recommendation est non nul.</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17</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succès ne juge pas la qualité ni l'acceptation de la recommandation, seulement sa production.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B3   </w:t>
            </w:r>
            <w:r>
              <w:rPr>
                <w:rFonts w:ascii="Arial" w:cs="Arial" w:eastAsia="Arial" w:hAnsi="Arial"/>
                <w:b/>
                <w:bCs/>
                <w:color w:val="16211D"/>
                <w:sz w:val="21"/>
                <w:szCs w:val="21"/>
              </w:rPr>
              <w:t xml:space="preserve">Échec = la recommandation attendue est absente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 aucune recommandation n'a été créée alors qu'elle était prévue, c'est un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flg_echec = 1 si id_recommendation est nul.</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17</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B4   </w:t>
            </w:r>
            <w:r>
              <w:rPr>
                <w:rFonts w:ascii="Arial" w:cs="Arial" w:eastAsia="Arial" w:hAnsi="Arial"/>
                <w:b/>
                <w:bCs/>
                <w:color w:val="16211D"/>
                <w:sz w:val="21"/>
                <w:szCs w:val="21"/>
              </w:rPr>
              <w:t xml:space="preserve">Rien n'est compté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Tant que l'heure à laquelle la recommandation devait être produite n'est pas passée, elle n'est ni en succès ni en échec. Elle n'apparaît dans aucun des deux compteurs.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Condition calculation_interval_after_datetime &lt;= current_timestamp(), évaluée à l'exécution du traitement et non à la consultation du rapport.</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cellules 16 et 17</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RISQUE : la mise à jour ne rafraîchit que les couples traités dans l'exécution. Un couple traité trop tôt peut rester bloqué à zéro. À confirmer par la requête Q8.</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B5   </w:t>
            </w:r>
            <w:r>
              <w:rPr>
                <w:rFonts w:ascii="Arial" w:cs="Arial" w:eastAsia="Arial" w:hAnsi="Arial"/>
                <w:b/>
                <w:bCs/>
                <w:color w:val="16211D"/>
                <w:sz w:val="21"/>
                <w:szCs w:val="21"/>
              </w:rPr>
              <w:t xml:space="preserve">Si plusieurs recommandations, seule la plus récente compte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le moteur a produit plusieurs recommandations pour la même étape d'un même batch, seule la dernière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flg_lasted_reco = 1 sur la ligne la plus récente par date de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26, filtre appliqué en cellule 18 du notebook de faits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rapport Suivi retient, lui, celle qui a le statut d'acceptation le plus favorable.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B6   </w:t>
            </w:r>
            <w:r>
              <w:rPr>
                <w:rFonts w:ascii="Arial" w:cs="Arial" w:eastAsia="Arial" w:hAnsi="Arial"/>
                <w:b/>
                <w:bCs/>
                <w:color w:val="16211D"/>
                <w:sz w:val="21"/>
                <w:szCs w:val="21"/>
              </w:rPr>
              <w:t xml:space="preserve">Une seule ligne porte le compteur par batch et étape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Même si plusieurs mesures manquent pour une même étape, l'étape n'est comptée qu'une fois.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Numérotation par fenêtre sur batch x étape x recommandation, comptage réservé au rang 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17</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B7   </w:t>
            </w:r>
            <w:r>
              <w:rPr>
                <w:rFonts w:ascii="Arial" w:cs="Arial" w:eastAsia="Arial" w:hAnsi="Arial"/>
                <w:b/>
                <w:bCs/>
                <w:color w:val="16211D"/>
                <w:sz w:val="21"/>
                <w:szCs w:val="21"/>
              </w:rPr>
              <w:t xml:space="preserve">Les lignes sans mesure manquante sont effacées si une vraie manque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une étape présente à la fois des lignes sans mesure manquante et des lignes avec, les premières sont supprimées pour ne pas polluer le détail.</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Suppression des lignes NO_VALUE lorsque le groupe contient au moins une valeur réelle.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8</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B8   </w:t>
            </w:r>
            <w:r>
              <w:rPr>
                <w:rFonts w:ascii="Arial" w:cs="Arial" w:eastAsia="Arial" w:hAnsi="Arial"/>
                <w:b/>
                <w:bCs/>
                <w:color w:val="16211D"/>
                <w:sz w:val="21"/>
                <w:szCs w:val="21"/>
              </w:rPr>
              <w:t xml:space="preserve">Seule la dernière tentative du moteur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moteur peut tenter plusieurs fois de produire une recommandation. Seule la dernière tentative est prise en compte.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Numérotation par fenêtre sur batch x ligne de production x étape, ordonnée par date d'exécution du job décroissante, filtre rang 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16</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C. </w:t>
      </w:r>
      <w:r>
        <w:rPr>
          <w:rFonts w:ascii="Georgia" w:cs="Georgia" w:eastAsia="Georgia" w:hAnsi="Georgia"/>
          <w:b/>
          <w:bCs/>
          <w:color w:val="16211D"/>
          <w:sz w:val="30"/>
          <w:szCs w:val="30"/>
        </w:rPr>
        <w:t xml:space="preserve">Qualification des échecs</w:t>
      </w:r>
    </w:p>
    <w:p>
      <w:pPr>
        <w:spacing w:after="220" w:before="0" w:line="264"/>
      </w:pPr>
      <w:r>
        <w:rPr>
          <w:rFonts w:ascii="Arial" w:cs="Arial" w:eastAsia="Arial" w:hAnsi="Arial"/>
          <w:i/>
          <w:iCs/>
          <w:color w:val="6B7A74"/>
          <w:sz w:val="19"/>
          <w:szCs w:val="19"/>
        </w:rPr>
        <w:t xml:space="preserve">Comment la cause d’un échec est attribuée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C1   </w:t>
            </w:r>
            <w:r>
              <w:rPr>
                <w:rFonts w:ascii="Arial" w:cs="Arial" w:eastAsia="Arial" w:hAnsi="Arial"/>
                <w:b/>
                <w:bCs/>
                <w:color w:val="16211D"/>
                <w:sz w:val="21"/>
                <w:szCs w:val="21"/>
              </w:rPr>
              <w:t xml:space="preserve">Quatre types d'échec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est qualifié : valeurs automatiques manquantes, valeurs manuelles manquantes, les deux, ou erreur de process.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Colonne type_echec dérivée de la colonne raison, elle-même dérivée de has_auto_value et has_manual_value.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cellules 36 et 42</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 Erreur process » est le cas résiduel : pas de recommandation et aucune valeur manquante identifiée.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C2   </w:t>
            </w:r>
            <w:r>
              <w:rPr>
                <w:rFonts w:ascii="Arial" w:cs="Arial" w:eastAsia="Arial" w:hAnsi="Arial"/>
                <w:b/>
                <w:bCs/>
                <w:color w:val="16211D"/>
                <w:sz w:val="21"/>
                <w:szCs w:val="21"/>
              </w:rPr>
              <w:t xml:space="preserve">Onze codes d'alerte expliquent chaque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reçoit un code d'alerte qui en donne la cause probable. Le détail des 11 codes figure dans la section dédiée.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Cascade de conditions affectant id_alerting, référentiel dans dim_alerting.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32 ; libellés dans dim_alerting.ipynb cellule 2</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L'ordre des conditions compte : le premier cas satisfait l'emporte.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Trois seuils de temps déterminent la cause de l'échec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Trois durées paramétrées en dur décident du code d'alerte : un chevauchement de moins de 60 minutes entre deux étapes consécutives, une saisie manuelle dans les 30 minutes avant l'échéance, un batch créé moins de 60 minutes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Littéraux 60 et 30 dans les conditions INTERVAL, et comparaison overlap &lt; 60.</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32 ; logique de chevauchement dans transform_data.ipynb cellule 12</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À VALIDER : ces seuils déterminent directement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C4   </w:t>
            </w:r>
            <w:r>
              <w:rPr>
                <w:rFonts w:ascii="Arial" w:cs="Arial" w:eastAsia="Arial" w:hAnsi="Arial"/>
                <w:b/>
                <w:bCs/>
                <w:color w:val="16211D"/>
                <w:sz w:val="21"/>
                <w:szCs w:val="21"/>
              </w:rPr>
              <w:t xml:space="preserve">Chaque alerte est classée MS ou IDF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Les alertes sont réparties en deux familles pour orienter vers l'équipe concernée.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Colonne ms_idf_cat affectée code par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dim_alerting.ipynb cellule 3</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Répartition actuelle : 4 alertes MS (codes 1, 7, 10, 11), 7 alertes IDF.</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D. </w:t>
      </w:r>
      <w:r>
        <w:rPr>
          <w:rFonts w:ascii="Georgia" w:cs="Georgia" w:eastAsia="Georgia" w:hAnsi="Georgia"/>
          <w:b/>
          <w:bCs/>
          <w:color w:val="16211D"/>
          <w:sz w:val="30"/>
          <w:szCs w:val="30"/>
        </w:rPr>
        <w:t xml:space="preserve">Axe temporel</w:t>
      </w:r>
    </w:p>
    <w:p>
      <w:pPr>
        <w:spacing w:after="220" w:before="0" w:line="264"/>
      </w:pPr>
      <w:r>
        <w:rPr>
          <w:rFonts w:ascii="Arial" w:cs="Arial" w:eastAsia="Arial" w:hAnsi="Arial"/>
          <w:i/>
          <w:iCs/>
          <w:color w:val="6B7A74"/>
          <w:sz w:val="19"/>
          <w:szCs w:val="19"/>
        </w:rPr>
        <w:t xml:space="preserve">Sur quelle date le rapport filtre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Le filtre de date porte sur l'échéance, pas sur la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on filtre sur une période, on sélectionne les recommandations dont l'ÉCHÉANCE tombe dans la période — pas celles qui ont été créées dans la période. C'est cohérent pour de la supervision, puisqu'un échec n'a pas de date de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Relation active entre dim_calendar[date_simple] et fact_monitoring_auto_manual_entries[calculation_date], cette dernière étant to_date(calculation_interval_after_datetime).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47 ; relationships.tmdl du modèle Monitoring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La date de création existe aussi dans la table (colonne « Recommendation date » du détail) mais ne sert à aucun filtre.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D2   </w:t>
            </w:r>
            <w:r>
              <w:rPr>
                <w:rFonts w:ascii="Arial" w:cs="Arial" w:eastAsia="Arial" w:hAnsi="Arial"/>
                <w:b/>
                <w:bCs/>
                <w:color w:val="16211D"/>
                <w:sz w:val="21"/>
                <w:szCs w:val="21"/>
              </w:rPr>
              <w:t xml:space="preserve">L'échéance a une source de secours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L'heure d'échéance vient des journaux du moteur. Si le moteur n'a rien journalisé pour cette étape, c'est l'heure du programme de production qui est utilisée.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Expression conditionnelle : valeur du monitoring d'inférence si non nulle, sinon valeur issue du planning.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repli est commenté dans le code.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D3   </w:t>
            </w:r>
            <w:r>
              <w:rPr>
                <w:rFonts w:ascii="Arial" w:cs="Arial" w:eastAsia="Arial" w:hAnsi="Arial"/>
                <w:b/>
                <w:bCs/>
                <w:color w:val="16211D"/>
                <w:sz w:val="21"/>
                <w:szCs w:val="21"/>
              </w:rPr>
              <w:t xml:space="preserve">Le calendrier s'arrête à aujourd'hui et démarre au 01/01/2025</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Il est impossible de filtrer avant le 1er janvier 2025 ou après la date du jour, même si des données existent en dehors.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Table de dates générée par séquence entre une date de début codée en dur et current_date().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dim_calendar.ipynb cellule 2</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rapport Suivi démarre, lui, au 01/01/2024.</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E. </w:t>
      </w:r>
      <w:r>
        <w:rPr>
          <w:rFonts w:ascii="Georgia" w:cs="Georgia" w:eastAsia="Georgia" w:hAnsi="Georgia"/>
          <w:b/>
          <w:bCs/>
          <w:color w:val="16211D"/>
          <w:sz w:val="30"/>
          <w:szCs w:val="30"/>
        </w:rPr>
        <w:t xml:space="preserve">Restitution</w:t>
      </w:r>
    </w:p>
    <w:p>
      <w:pPr>
        <w:spacing w:after="220" w:before="0" w:line="264"/>
      </w:pPr>
      <w:r>
        <w:rPr>
          <w:rFonts w:ascii="Arial" w:cs="Arial" w:eastAsia="Arial" w:hAnsi="Arial"/>
          <w:i/>
          <w:iCs/>
          <w:color w:val="6B7A74"/>
          <w:sz w:val="19"/>
          <w:szCs w:val="19"/>
        </w:rPr>
        <w:t xml:space="preserve">Ce que l’utilisateur voit et peut filtrer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E1   </w:t>
            </w:r>
            <w:r>
              <w:rPr>
                <w:rFonts w:ascii="Arial" w:cs="Arial" w:eastAsia="Arial" w:hAnsi="Arial"/>
                <w:b/>
                <w:bCs/>
                <w:color w:val="16211D"/>
                <w:sz w:val="21"/>
                <w:szCs w:val="21"/>
              </w:rPr>
              <w:t xml:space="preserve">Les filtres disponibles varient d'une page à l'autre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filtre site est présent sur les 8 pages. Le filtre de date sur 6 pages. Les autres varient selon la page. Le détail figure dans la section dédiée.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Slicers déclarés page par page dans les fichiers visual.json.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Répertoire definition/pages du rapport Monitoring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À valider en atelier : cette hétérogénéité est-elle voulue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E2   </w:t>
            </w:r>
            <w:r>
              <w:rPr>
                <w:rFonts w:ascii="Arial" w:cs="Arial" w:eastAsia="Arial" w:hAnsi="Arial"/>
                <w:b/>
                <w:bCs/>
                <w:color w:val="16211D"/>
                <w:sz w:val="21"/>
                <w:szCs w:val="21"/>
              </w:rPr>
              <w:t xml:space="preserve">Une page semble faire doublon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Les pages « Alerts : failures to categorize » et « Auto. failures to categorize copy » proposent les mêmes filtres et un intitulé très proche.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Deux pages distinctes dans la définition du rapport, la seconde nommée « copy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Répertoire definition/pages du rapport Monitoring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À trancher : garder les deux, en supprimer une.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E3   </w:t>
            </w:r>
            <w:r>
              <w:rPr>
                <w:rFonts w:ascii="Arial" w:cs="Arial" w:eastAsia="Arial" w:hAnsi="Arial"/>
                <w:b/>
                <w:bCs/>
                <w:color w:val="16211D"/>
                <w:sz w:val="21"/>
                <w:szCs w:val="21"/>
              </w:rPr>
              <w:t xml:space="preserve">Le filtre site existe en double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 filtre site s'applique déjà à tout le rapport, et un sélecteur site est en plus présent sur chacune des 8 pages.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Filtre de niveau rapport dans report.json plus un slicer dim_site[plant] par page.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report.json et chaque page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Sans conséquence sur les chiffres, mais redondant à l'écran.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E4   </w:t>
            </w:r>
            <w:r>
              <w:rPr>
                <w:rFonts w:ascii="Arial" w:cs="Arial" w:eastAsia="Arial" w:hAnsi="Arial"/>
                <w:b/>
                <w:bCs/>
                <w:color w:val="16211D"/>
                <w:sz w:val="21"/>
                <w:szCs w:val="21"/>
              </w:rPr>
              <w:t xml:space="preserve">Des indicateurs d'évolution comparent des périodes glissantes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rapport propose des évolutions sur 24 h, 7 jours et 30 jours, ainsi que des comparaisons semaine en cours contre semaine précédente et mois en cours contre mois précédent.</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Mesures Evolution_echec_24h, _7j, _30j et colonnes calculées Last24h, Last7j, Last30j, Last3months, toutes basées sur calculation_interval_after_datetime et TODAY().</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Modèle sémantique Monitoring, table fact_monitoring_auto_manual_entries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Ces périodes sont relatives à la date du jour et ne suivent pas le filtre de date de la page.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2"/>
        <w:spacing w:after="160" w:before="420"/>
      </w:pPr>
      <w:r>
        <w:rPr>
          <w:rFonts w:ascii="Georgia" w:cs="Georgia" w:eastAsia="Georgia" w:hAnsi="Georgia"/>
          <w:b/>
          <w:bCs/>
          <w:color w:val="16211D"/>
          <w:sz w:val="26"/>
          <w:szCs w:val="26"/>
        </w:rPr>
        <w:t xml:space="preserve">Catalogue des alertes</w:t>
      </w:r>
    </w:p>
    <w:p>
      <w:pPr>
        <w:spacing w:after="180" w:before="0" w:line="264"/>
      </w:pPr>
      <w:r>
        <w:rPr>
          <w:rFonts w:ascii="Arial" w:cs="Arial" w:eastAsia="Arial" w:hAnsi="Arial"/>
          <w:color w:val="3C4A45"/>
          <w:sz w:val="19"/>
          <w:szCs w:val="19"/>
        </w:rPr>
        <w:t xml:space="preserve">Chaque échec reçoit un code d’alerte qui en donne la cause probable. L’ordre des conditions compte : le premier cas satisfait l’emporte.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2100"/>
        <w:gridCol w:w="3400"/>
        <w:gridCol w:w="2538"/>
      </w:tblGrid>
      <w:tr>
        <w:trPr>
          <w:tblHeader/>
        </w:trPr>
        <w:tc>
          <w:tcPr>
            <w:tcW w:type="dxa" w:w="7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Code</w:t>
            </w:r>
          </w:p>
        </w:tc>
        <w:tc>
          <w:tcPr>
            <w:tcW w:type="dxa" w:w="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Cat.</w:t>
            </w:r>
          </w:p>
        </w:tc>
        <w:tc>
          <w:tcPr>
            <w:tcW w:type="dxa" w:w="21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Intitulé</w:t>
            </w:r>
          </w:p>
        </w:tc>
        <w:tc>
          <w:tcPr>
            <w:tcW w:type="dxa" w:w="3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Signification</w:t>
            </w:r>
          </w:p>
        </w:tc>
        <w:tc>
          <w:tcPr>
            <w:tcW w:type="dxa" w:w="25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Condition</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Chute de tag</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manquaient suite à une chute de tag.</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flg_auto=1 ET is_missing_occurrences_for_reco=vrai</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2</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Mesure en retard</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ont été calculées en retard.</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flg_auto=1 ET is_late_for_reco=vrai</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3</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Chevauchement court</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Chevauchement de moins d'une heure entre deux étapes consécutives.</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overlap&lt;60 ET aucune mesure manquante identifiée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4</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sans cause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dans l'applicatif alors qu'aucune valeur ne manquait.</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different de error et pending ET aucune mesure manquante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5</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erreur</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en erreur de process.</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 error</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6</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attente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au statut en attente.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 pending</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7</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créé trop tard</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batch a été créé trop tard pour que la recommandation puisse être calculée.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inconnu ET creation du batch dans les 60 min avant l'echeance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8</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du monitoring</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Attendue au programme de production mais introuvable dans le monitoring d'inférence.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inconnu</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9</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Valeur manuelle perdue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alors qu'elle avait été saisie dans les temps.</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mesure manquante identifiee ET saisie manuelle plus de 30 min avant l'echeance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10</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Saisie manuelle tardive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parce qu'elle a été saisie dans les 30 minutes précédant l'échéance.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mesure manquante identifiee ET saisie manuelle entre 30 min avant l'echeance et l'echeance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Désynchronisation des flux</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automatique est absente du socle de données mais présente dans measurement_pivot au moment de l'exécution : problème de synchronisation entre flux.</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flg_auto=1 ET mesure manquante identifiee ET presente dans measurement_pivot</w:t>
            </w:r>
          </w:p>
        </w:tc>
      </w:tr>
    </w:tbl>
    <w:p>
      <w:pPr>
        <w:spacing w:after="120"/>
      </w:pPr>
      <w:r>
        <w:rPr>
          <w:rFonts w:ascii="Arial" w:cs="Arial" w:eastAsia="Arial" w:hAnsi="Arial"/>
          <w:color w:val="3C4A45"/>
          <w:sz w:val="19"/>
          <w:szCs w:val="19"/>
        </w:rPr>
        <w:t xml:space="preserve"/>
      </w:r>
    </w:p>
    <w:p>
      <w:pPr>
        <w:spacing w:after="120" w:before="0" w:line="264"/>
      </w:pPr>
      <w:r>
        <w:rPr>
          <w:rFonts w:ascii="Arial" w:cs="Arial" w:eastAsia="Arial" w:hAnsi="Arial"/>
          <w:i/>
          <w:iCs/>
          <w:color w:val="6B7A74"/>
          <w:sz w:val="17"/>
          <w:szCs w:val="17"/>
        </w:rPr>
        <w:t xml:space="preserve">Catégories — MS : 4 alertes (codes 1, 7, 10, 11) · IDF : 7 alertes.</w:t>
      </w:r>
    </w:p>
    <w:p>
      <w:pPr>
        <w:pStyle w:val="Heading2"/>
        <w:spacing w:after="160" w:before="420"/>
      </w:pPr>
      <w:r>
        <w:rPr>
          <w:rFonts w:ascii="Georgia" w:cs="Georgia" w:eastAsia="Georgia" w:hAnsi="Georgia"/>
          <w:b/>
          <w:bCs/>
          <w:color w:val="16211D"/>
          <w:sz w:val="26"/>
          <w:szCs w:val="26"/>
        </w:rPr>
        <w:t xml:space="preserve">Écrans et filtres proposés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938"/>
        <w:gridCol w:w="1200"/>
      </w:tblGrid>
      <w:tr>
        <w:trPr>
          <w:tblHeader/>
        </w:trPr>
        <w:tc>
          <w:tcPr>
            <w:tcW w:type="dxa" w:w="26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Page</w:t>
            </w:r>
          </w:p>
        </w:tc>
        <w:tc>
          <w:tcPr>
            <w:tcW w:type="dxa" w:w="2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Objet</w:t>
            </w:r>
          </w:p>
        </w:tc>
        <w:tc>
          <w:tcPr>
            <w:tcW w:type="dxa" w:w="29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Filtres proposés</w:t>
            </w:r>
          </w:p>
        </w:tc>
        <w:tc>
          <w:tcPr>
            <w:tcW w:type="dxa" w:w="12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Décision</w:t>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Overview</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Vue d'ensemble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Site</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Success &amp; Failure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succès et échecs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succès/échec,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Failures evolution</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Évolution des échecs dans le temps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étape,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par code d'alerte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catégorie MS/IDF</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 : failures to categorize</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sans code d'alerte attribué</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Auto. failures to categorize copy</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Doublon apparent de la page précédente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Aveva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mesures issues d'Aveva</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ligne de production, nom de mesure, occurrences manquantes</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Tags–measures lineage</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Traçabilité entre tags et mesures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Site</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pStyle w:val="Heading2"/>
        <w:spacing w:after="160" w:before="420"/>
      </w:pPr>
      <w:r>
        <w:rPr>
          <w:rFonts w:ascii="Georgia" w:cs="Georgia" w:eastAsia="Georgia" w:hAnsi="Georgia"/>
          <w:b/>
          <w:bCs/>
          <w:color w:val="16211D"/>
          <w:sz w:val="26"/>
          <w:szCs w:val="26"/>
        </w:rPr>
        <w:t xml:space="preserve">Points à trancher en séance</w:t>
      </w:r>
    </w:p>
    <w:p>
      <w:pPr>
        <w:spacing w:after="200" w:before="0" w:line="264"/>
      </w:pPr>
      <w:r>
        <w:rPr>
          <w:rFonts w:ascii="Arial" w:cs="Arial" w:eastAsia="Arial" w:hAnsi="Arial"/>
          <w:color w:val="3C4A45"/>
          <w:sz w:val="19"/>
          <w:szCs w:val="19"/>
        </w:rPr>
        <w:t xml:space="preserve">Sept sujets où le rapport applique aujourd’hui un choix qui n’a peut-être jamais été validé par le métier.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Faut-il exclure les batches et lignes de programme supprimés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C'est le seul point de cette liste qui change un chiffre affiché aujourd'hui : le taux de réussite passerait de 64,9 % à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Les trois seuils de temps sont-ils les bons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60 minutes de chevauchement, 30 minutes pour une saisie manuelle, 60 minutes pour la création d'un batch. Ils déterminent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Faut-il filtrer sur l'échéance ou sur la date de création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Moyen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L'échéance est cohérente pour de la supervision. La date de création serait plus comparable aux autres rapports.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A1   </w:t>
            </w:r>
            <w:r>
              <w:rPr>
                <w:rFonts w:ascii="Arial" w:cs="Arial" w:eastAsia="Arial" w:hAnsi="Arial"/>
                <w:b/>
                <w:bCs/>
                <w:color w:val="16211D"/>
                <w:sz w:val="21"/>
                <w:szCs w:val="21"/>
              </w:rPr>
              <w:t xml:space="preserve">Comment gérer l'arrivée d'un nouveau site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Moyen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périmètre est figé dans le code à cinq endroits. Un oubli rend le site invisible sans aucun signal.</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Les deux dates de début d'historique sont-elles justifiées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Faible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23/09/2024 pour le programme, 01/10/2024 pour les journaux. Une semaine d'écart, sans justification retrouvée.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E2   </w:t>
            </w:r>
            <w:r>
              <w:rPr>
                <w:rFonts w:ascii="Arial" w:cs="Arial" w:eastAsia="Arial" w:hAnsi="Arial"/>
                <w:b/>
                <w:bCs/>
                <w:color w:val="16211D"/>
                <w:sz w:val="21"/>
                <w:szCs w:val="21"/>
              </w:rPr>
              <w:t xml:space="preserve">Faut-il conserver les deux pages de catégorisation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Faible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Deux pages aux filtres identiques, dont une nommée « copy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B4   </w:t>
            </w:r>
            <w:r>
              <w:rPr>
                <w:rFonts w:ascii="Arial" w:cs="Arial" w:eastAsia="Arial" w:hAnsi="Arial"/>
                <w:b/>
                <w:bCs/>
                <w:color w:val="16211D"/>
                <w:sz w:val="21"/>
                <w:szCs w:val="21"/>
              </w:rPr>
              <w:t xml:space="preserve">Que faire des recommandations dont l'échéance n'est pas passée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À investiguer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Elles ne sont ni en succès ni en échec. Un contrôle reste à faire pour vérifier qu'elles basculent bien une fois l'échéance dépassée.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Bdr>
          <w:top w:val="single" w:color="6B7A74" w:sz="6"/>
        </w:pBdr>
        <w:spacing w:after="140" w:before="420"/>
      </w:pPr>
      <w:r>
        <w:rPr>
          <w:rFonts w:ascii="Arial" w:cs="Arial" w:eastAsia="Arial" w:hAnsi="Arial"/>
          <w:color w:val="3C4A45"/>
          <w:sz w:val="19"/>
          <w:szCs w:val="19"/>
        </w:rPr>
        <w:t xml:space="preserve"/>
      </w:r>
    </w:p>
    <w:p>
      <w:pPr>
        <w:spacing w:after="120" w:before="0" w:line="264"/>
      </w:pPr>
      <w:r>
        <w:rPr>
          <w:rFonts w:ascii="Arial" w:cs="Arial" w:eastAsia="Arial" w:hAnsi="Arial"/>
          <w:b/>
          <w:bCs/>
          <w:color w:val="16211D"/>
          <w:sz w:val="17"/>
          <w:szCs w:val="17"/>
        </w:rPr>
        <w:t xml:space="preserve">Méthode  </w:t>
      </w:r>
      <w:r>
        <w:rPr>
          <w:rFonts w:ascii="Arial" w:cs="Arial" w:eastAsia="Arial" w:hAnsi="Arial"/>
          <w:color w:val="6B7A74"/>
          <w:sz w:val="17"/>
          <w:szCs w:val="17"/>
        </w:rPr>
        <w:t xml:space="preserve">Recensement établi par lecture du code des notebooks d’alimentation, du modèle sémantique et de la définition du rapport, complété par des requêtes de contrôle exécutées sur l’entrepôt.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A74"/>
        <w:sz w:val="15"/>
        <w:szCs w:val="15"/>
      </w:rPr>
      <w:t xml:space="preserve">Règles de gestion — Dashboard monitoring · version technique   </w:t>
    </w:r>
    <w:r>
      <w:rPr>
        <w:rFonts w:ascii="Arial" w:cs="Arial" w:eastAsia="Arial" w:hAnsi="Arial"/>
        <w:color w:val="6B7A7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4A45"/>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Règles de gestion — Dashboard monitoring des recommandations</dc:title>
  <dc:creator>Analyse BI</dc:creator>
  <cp:lastModifiedBy>Un-named</cp:lastModifiedBy>
  <cp:revision>1</cp:revision>
  <dcterms:created xsi:type="dcterms:W3CDTF">2026-09-17T09:30:12.883Z</dcterms:created>
  <dcterms:modified xsi:type="dcterms:W3CDTF">2026-09-17T09:30:12.883Z</dcterms:modified>
</cp:coreProperties>
</file>

<file path=docProps/custom.xml><?xml version="1.0" encoding="utf-8"?>
<Properties xmlns="http://schemas.openxmlformats.org/officeDocument/2006/custom-properties" xmlns:vt="http://schemas.openxmlformats.org/officeDocument/2006/docPropsVTypes"/>
</file>