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6B7A74"/>
          <w:spacing w:val="24"/>
          <w:sz w:val="16"/>
          <w:szCs w:val="16"/>
        </w:rPr>
        <w:t xml:space="preserve">ANALYSE TECHNICO-FONCTIONNELLE  ·  RAPPORTS RECOMMANDATIONS</w:t>
      </w:r>
    </w:p>
    <w:p>
      <w:pPr>
        <w:spacing w:after="160"/>
      </w:pPr>
      <w:r>
        <w:rPr>
          <w:rFonts w:ascii="Georgia" w:cs="Georgia" w:eastAsia="Georgia" w:hAnsi="Georgia"/>
          <w:b/>
          <w:bCs/>
          <w:color w:val="16211D"/>
          <w:sz w:val="52"/>
          <w:szCs w:val="52"/>
        </w:rPr>
        <w:t xml:space="preserve">Pourquoi 1643 et 1662</w:t>
      </w:r>
    </w:p>
    <w:p>
      <w:pPr>
        <w:spacing w:after="260" w:before="0" w:line="276"/>
      </w:pPr>
      <w:r>
        <w:rPr>
          <w:rFonts w:ascii="Georgia" w:cs="Georgia" w:eastAsia="Georgia" w:hAnsi="Georgia"/>
          <w:color w:val="3C4A45"/>
          <w:sz w:val="24"/>
          <w:szCs w:val="24"/>
        </w:rPr>
        <w:t xml:space="preserve">Deux rapports comptent les mêmes recommandations et n’affichent pas le même nombre. L’écart ne vient pas des données : il vient de la date sur laquelle chacun filtre.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tblHeader/>
        </w:trPr>
        <w:tc>
          <w:tcPr>
            <w:tcW w:type="dxa" w:w="2410"/>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Fenêtre analysée</w:t>
            </w:r>
          </w:p>
        </w:tc>
        <w:tc>
          <w:tcPr>
            <w:tcW w:type="dxa" w:w="2410"/>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Écart constaté</w:t>
            </w:r>
          </w:p>
        </w:tc>
        <w:tc>
          <w:tcPr>
            <w:tcW w:type="dxa" w:w="2410"/>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Désaccord réel</w:t>
            </w:r>
          </w:p>
        </w:tc>
        <w:tc>
          <w:tcPr>
            <w:tcW w:type="dxa" w:w="2408"/>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Méthode</w:t>
            </w:r>
          </w:p>
        </w:tc>
      </w:tr>
      <w:tr>
        <w:tc>
          <w:tcPr>
            <w:tcW w:type="dxa" w:w="241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onsolas" w:cs="Consolas" w:eastAsia="Consolas" w:hAnsi="Consolas"/>
                <w:color w:val="16211D"/>
                <w:sz w:val="18"/>
                <w:szCs w:val="18"/>
              </w:rPr>
              <w:t xml:space="preserve">18/07 → 28/08/2026</w:t>
            </w:r>
          </w:p>
        </w:tc>
        <w:tc>
          <w:tcPr>
            <w:tcW w:type="dxa" w:w="241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onsolas" w:cs="Consolas" w:eastAsia="Consolas" w:hAnsi="Consolas"/>
                <w:color w:val="16211D"/>
                <w:sz w:val="18"/>
                <w:szCs w:val="18"/>
              </w:rPr>
              <w:t xml:space="preserve">19 recommandations</w:t>
            </w:r>
          </w:p>
        </w:tc>
        <w:tc>
          <w:tcPr>
            <w:tcW w:type="dxa" w:w="241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onsolas" w:cs="Consolas" w:eastAsia="Consolas" w:hAnsi="Consolas"/>
                <w:color w:val="16211D"/>
                <w:sz w:val="18"/>
                <w:szCs w:val="18"/>
              </w:rPr>
              <w:t xml:space="preserve">305 recommandations</w:t>
            </w:r>
          </w:p>
        </w:tc>
        <w:tc>
          <w:tcPr>
            <w:tcW w:type="dxa" w:w="2408"/>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16211D"/>
                <w:sz w:val="18"/>
                <w:szCs w:val="18"/>
              </w:rPr>
              <w:t xml:space="preserve">Revue de code + réconciliation SQL</w:t>
            </w:r>
          </w:p>
        </w:tc>
      </w:tr>
    </w:tbl>
    <w:p>
      <w:pPr>
        <w:pStyle w:val="Heading1"/>
        <w:spacing w:after="180" w:before="420"/>
      </w:pPr>
      <w:r>
        <w:rPr>
          <w:rFonts w:ascii="Consolas" w:cs="Consolas" w:eastAsia="Consolas" w:hAnsi="Consolas"/>
          <w:b/>
          <w:bCs/>
          <w:color w:val="8A5D0B"/>
          <w:sz w:val="22"/>
          <w:szCs w:val="22"/>
        </w:rPr>
        <w:t xml:space="preserve">01  </w:t>
      </w:r>
      <w:r>
        <w:rPr>
          <w:rFonts w:ascii="Georgia" w:cs="Georgia" w:eastAsia="Georgia" w:hAnsi="Georgia"/>
          <w:b/>
          <w:bCs/>
          <w:color w:val="16211D"/>
          <w:sz w:val="30"/>
          <w:szCs w:val="30"/>
        </w:rPr>
        <w:t xml:space="preserve">Le constat</w:t>
      </w:r>
    </w:p>
    <w:p>
      <w:pPr>
        <w:spacing w:after="140" w:before="0" w:line="276"/>
      </w:pPr>
      <w:r>
        <w:rPr>
          <w:rFonts w:ascii="Calibri" w:cs="Calibri" w:eastAsia="Calibri" w:hAnsi="Calibri"/>
          <w:color w:val="3C4A45"/>
          <w:sz w:val="20"/>
          <w:szCs w:val="20"/>
        </w:rPr>
        <w:t xml:space="preserve">Sur une même fenêtre de dates, les deux rapports affichent un volume de recommandations très proche mais pas identique. La question posée : lequel des deux est faux ?</w:t>
      </w:r>
    </w:p>
    <w:p>
      <w:pPr>
        <w:spacing w:after="140" w:before="0" w:line="276"/>
      </w:pPr>
      <w:r>
        <w:rPr>
          <w:rFonts w:ascii="Calibri" w:cs="Calibri" w:eastAsia="Calibri" w:hAnsi="Calibri"/>
          <w:b/>
          <w:bCs/>
          <w:color w:val="16211D"/>
          <w:sz w:val="20"/>
          <w:szCs w:val="20"/>
        </w:rPr>
        <w:t xml:space="preserve">Aucun des deux.</w:t>
      </w:r>
      <w:r>
        <w:rPr>
          <w:rFonts w:ascii="Calibri" w:cs="Calibri" w:eastAsia="Calibri" w:hAnsi="Calibri"/>
          <w:color w:val="3C4A45"/>
          <w:sz w:val="20"/>
          <w:szCs w:val="20"/>
        </w:rPr>
        <w:t xml:space="preserve"> Les deux chiffres sont exacts au regard de ce qu’ils mesurent. Ils ne mesurent simplement pas la même population.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69"/>
        <w:gridCol w:w="3869"/>
      </w:tblGrid>
      <w:tr>
        <w:trPr>
          <w:tblHeader/>
        </w:trPr>
        <w:tc>
          <w:tcPr>
            <w:tcW w:type="dxa" w:w="1900"/>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
            </w:r>
          </w:p>
        </w:tc>
        <w:tc>
          <w:tcPr>
            <w:tcW w:type="dxa" w:w="3869"/>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Monitoring des recommandations</w:t>
            </w:r>
          </w:p>
        </w:tc>
        <w:tc>
          <w:tcPr>
            <w:tcW w:type="dxa" w:w="3869"/>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Suivi des recommandations</w:t>
            </w:r>
          </w:p>
        </w:tc>
      </w:tr>
      <w:tr>
        <w:tc>
          <w:tcPr>
            <w:tcW w:type="dxa" w:w="19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Indicateur</w:t>
            </w:r>
          </w:p>
        </w:tc>
        <w:tc>
          <w:tcPr>
            <w:tcW w:type="dxa" w:w="386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b/>
                <w:bCs/>
                <w:color w:val="16211D"/>
                <w:sz w:val="20"/>
                <w:szCs w:val="20"/>
              </w:rPr>
              <w:t xml:space="preserve">Success</w:t>
            </w:r>
          </w:p>
          <w:p>
            <w:pPr>
              <w:spacing w:after="0" w:line="252"/>
            </w:pPr>
            <w:r>
              <w:rPr>
                <w:rFonts w:ascii="Consolas" w:cs="Consolas" w:eastAsia="Consolas" w:hAnsi="Consolas"/>
                <w:b/>
                <w:bCs/>
                <w:color w:val="0D7A63"/>
                <w:sz w:val="28"/>
                <w:szCs w:val="28"/>
              </w:rPr>
              <w:t xml:space="preserve">1 643</w:t>
            </w:r>
          </w:p>
        </w:tc>
        <w:tc>
          <w:tcPr>
            <w:tcW w:type="dxa" w:w="386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b/>
                <w:bCs/>
                <w:color w:val="16211D"/>
                <w:sz w:val="20"/>
                <w:szCs w:val="20"/>
              </w:rPr>
              <w:t xml:space="preserve">Total Available Reco.</w:t>
            </w:r>
          </w:p>
          <w:p>
            <w:pPr>
              <w:spacing w:after="0" w:line="252"/>
            </w:pPr>
            <w:r>
              <w:rPr>
                <w:rFonts w:ascii="Consolas" w:cs="Consolas" w:eastAsia="Consolas" w:hAnsi="Consolas"/>
                <w:b/>
                <w:bCs/>
                <w:color w:val="2A5CA6"/>
                <w:sz w:val="28"/>
                <w:szCs w:val="28"/>
              </w:rPr>
              <w:t xml:space="preserve">1 662</w:t>
            </w:r>
          </w:p>
        </w:tc>
      </w:tr>
      <w:tr>
        <w:tc>
          <w:tcPr>
            <w:tcW w:type="dxa" w:w="19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Page</w:t>
            </w:r>
          </w:p>
        </w:tc>
        <w:tc>
          <w:tcPr>
            <w:tcW w:type="dxa" w:w="386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Success &amp; Failure Details</w:t>
            </w:r>
          </w:p>
        </w:tc>
        <w:tc>
          <w:tcPr>
            <w:tcW w:type="dxa" w:w="386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Overview</w:t>
            </w:r>
          </w:p>
        </w:tc>
      </w:tr>
      <w:tr>
        <w:tc>
          <w:tcPr>
            <w:tcW w:type="dxa" w:w="19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Mesure</w:t>
            </w:r>
          </w:p>
        </w:tc>
        <w:tc>
          <w:tcPr>
            <w:tcW w:type="dxa" w:w="386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onsolas" w:cs="Consolas" w:eastAsia="Consolas" w:hAnsi="Consolas"/>
                <w:color w:val="3C4A45"/>
                <w:sz w:val="18"/>
                <w:szCs w:val="18"/>
              </w:rPr>
              <w:t xml:space="preserve">Evolution_succes</w:t>
            </w:r>
          </w:p>
        </w:tc>
        <w:tc>
          <w:tcPr>
            <w:tcW w:type="dxa" w:w="386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onsolas" w:cs="Consolas" w:eastAsia="Consolas" w:hAnsi="Consolas"/>
                <w:color w:val="3C4A45"/>
                <w:sz w:val="18"/>
                <w:szCs w:val="18"/>
              </w:rPr>
              <w:t xml:space="preserve">SUM(batches_reco[total])</w:t>
            </w:r>
          </w:p>
        </w:tc>
      </w:tr>
      <w:tr>
        <w:tc>
          <w:tcPr>
            <w:tcW w:type="dxa" w:w="19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Filtre appliqué</w:t>
            </w:r>
          </w:p>
        </w:tc>
        <w:tc>
          <w:tcPr>
            <w:tcW w:type="dxa" w:w="386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b/>
                <w:bCs/>
                <w:color w:val="16211D"/>
                <w:sz w:val="20"/>
                <w:szCs w:val="20"/>
              </w:rPr>
              <w:t xml:space="preserve">Interval End Date</w:t>
            </w:r>
          </w:p>
          <w:p>
            <w:pPr>
              <w:spacing w:after="0" w:line="252"/>
            </w:pPr>
            <w:r>
              <w:rPr>
                <w:rFonts w:ascii="Calibri" w:cs="Calibri" w:eastAsia="Calibri" w:hAnsi="Calibri"/>
                <w:color w:val="3C4A45"/>
                <w:sz w:val="20"/>
                <w:szCs w:val="20"/>
              </w:rPr>
              <w:t xml:space="preserve">la date de chaque recommandation</w:t>
            </w:r>
          </w:p>
        </w:tc>
        <w:tc>
          <w:tcPr>
            <w:tcW w:type="dxa" w:w="386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b/>
                <w:bCs/>
                <w:color w:val="16211D"/>
                <w:sz w:val="20"/>
                <w:szCs w:val="20"/>
              </w:rPr>
              <w:t xml:space="preserve">Steeping schedule</w:t>
            </w:r>
          </w:p>
          <w:p>
            <w:pPr>
              <w:spacing w:after="0" w:line="252"/>
            </w:pPr>
            <w:r>
              <w:rPr>
                <w:rFonts w:ascii="Calibri" w:cs="Calibri" w:eastAsia="Calibri" w:hAnsi="Calibri"/>
                <w:color w:val="3C4A45"/>
                <w:sz w:val="20"/>
                <w:szCs w:val="20"/>
              </w:rPr>
              <w:t xml:space="preserve">la date de trempe du batch</w:t>
            </w:r>
          </w:p>
        </w:tc>
      </w:tr>
      <w:tr>
        <w:tc>
          <w:tcPr>
            <w:tcW w:type="dxa" w:w="19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Question métier</w:t>
            </w:r>
          </w:p>
        </w:tc>
        <w:tc>
          <w:tcPr>
            <w:tcW w:type="dxa" w:w="386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Le moteur a-t-il produit la recommandation attendue ?</w:t>
            </w:r>
          </w:p>
        </w:tc>
        <w:tc>
          <w:tcPr>
            <w:tcW w:type="dxa" w:w="386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Combien de recommandations sont disponibles sur ces batches ?</w:t>
            </w:r>
          </w:p>
        </w:tc>
      </w:tr>
    </w:tbl>
    <w:p>
      <w:pPr>
        <w:spacing w:after="140" w:before="240" w:line="276"/>
      </w:pPr>
      <w:r>
        <w:rPr>
          <w:rFonts w:ascii="Calibri" w:cs="Calibri" w:eastAsia="Calibri" w:hAnsi="Calibri"/>
          <w:color w:val="3C4A45"/>
          <w:sz w:val="20"/>
          <w:szCs w:val="20"/>
        </w:rPr>
        <w:t xml:space="preserve">Les deux comptent la même unité : un couple </w:t>
      </w:r>
      <w:r>
        <w:rPr>
          <w:rFonts w:ascii="Calibri" w:cs="Calibri" w:eastAsia="Calibri" w:hAnsi="Calibri"/>
          <w:b/>
          <w:bCs/>
          <w:color w:val="16211D"/>
          <w:sz w:val="20"/>
          <w:szCs w:val="20"/>
        </w:rPr>
        <w:t xml:space="preserve">batch × étape du process</w:t>
      </w:r>
      <w:r>
        <w:rPr>
          <w:rFonts w:ascii="Calibri" w:cs="Calibri" w:eastAsia="Calibri" w:hAnsi="Calibri"/>
          <w:color w:val="3C4A45"/>
          <w:sz w:val="20"/>
          <w:szCs w:val="20"/>
        </w:rPr>
        <w:t xml:space="preserve"> pour lequel une recommandation existe. C’est précisément pour cela qu’ils sont si proches — et pourquoi il est légitime de s’attendre à les voir égaux.</w:t>
      </w:r>
    </w:p>
    <w:p>
      <w:pPr>
        <w:pStyle w:val="Heading1"/>
        <w:spacing w:after="180" w:before="420"/>
      </w:pPr>
      <w:r>
        <w:rPr>
          <w:rFonts w:ascii="Consolas" w:cs="Consolas" w:eastAsia="Consolas" w:hAnsi="Consolas"/>
          <w:b/>
          <w:bCs/>
          <w:color w:val="8A5D0B"/>
          <w:sz w:val="22"/>
          <w:szCs w:val="22"/>
        </w:rPr>
        <w:t xml:space="preserve">02  </w:t>
      </w:r>
      <w:r>
        <w:rPr>
          <w:rFonts w:ascii="Georgia" w:cs="Georgia" w:eastAsia="Georgia" w:hAnsi="Georgia"/>
          <w:b/>
          <w:bCs/>
          <w:color w:val="16211D"/>
          <w:sz w:val="30"/>
          <w:szCs w:val="30"/>
        </w:rPr>
        <w:t xml:space="preserve">Deux horloges différentes</w:t>
      </w:r>
    </w:p>
    <w:p>
      <w:pPr>
        <w:spacing w:after="140" w:before="0" w:line="276"/>
      </w:pPr>
      <w:r>
        <w:rPr>
          <w:rFonts w:ascii="Calibri" w:cs="Calibri" w:eastAsia="Calibri" w:hAnsi="Calibri"/>
          <w:color w:val="3C4A45"/>
          <w:sz w:val="20"/>
          <w:szCs w:val="20"/>
        </w:rPr>
        <w:t xml:space="preserve">Un batch entre en trempe à une date donnée, puis ses recommandations tombent au fil du cycle de maltage — trempe, germination, touraillage — </w:t>
      </w:r>
      <w:r>
        <w:rPr>
          <w:rFonts w:ascii="Calibri" w:cs="Calibri" w:eastAsia="Calibri" w:hAnsi="Calibri"/>
          <w:b/>
          <w:bCs/>
          <w:color w:val="16211D"/>
          <w:sz w:val="20"/>
          <w:szCs w:val="20"/>
        </w:rPr>
        <w:t xml:space="preserve">sur environ sept jours.</w:t>
      </w:r>
    </w:p>
    <w:p>
      <w:pPr>
        <w:spacing w:after="240" w:before="0" w:line="276"/>
      </w:pPr>
      <w:r>
        <w:rPr>
          <w:rFonts w:ascii="Calibri" w:cs="Calibri" w:eastAsia="Calibri" w:hAnsi="Calibri"/>
          <w:color w:val="3C4A45"/>
          <w:sz w:val="20"/>
          <w:szCs w:val="20"/>
        </w:rPr>
        <w:t xml:space="preserve">Le rapport Suivi attrape le batch </w:t>
      </w:r>
      <w:r>
        <w:rPr>
          <w:rFonts w:ascii="Calibri" w:cs="Calibri" w:eastAsia="Calibri" w:hAnsi="Calibri"/>
          <w:i/>
          <w:iCs/>
          <w:color w:val="16211D"/>
          <w:sz w:val="20"/>
          <w:szCs w:val="20"/>
        </w:rPr>
        <w:t xml:space="preserve">au départ du cycle</w:t>
      </w:r>
      <w:r>
        <w:rPr>
          <w:rFonts w:ascii="Calibri" w:cs="Calibri" w:eastAsia="Calibri" w:hAnsi="Calibri"/>
          <w:color w:val="3C4A45"/>
          <w:sz w:val="20"/>
          <w:szCs w:val="20"/>
        </w:rPr>
        <w:t xml:space="preserve"> et compte toutes ses recommandations. Le rapport Monitoring attrape </w:t>
      </w:r>
      <w:r>
        <w:rPr>
          <w:rFonts w:ascii="Calibri" w:cs="Calibri" w:eastAsia="Calibri" w:hAnsi="Calibri"/>
          <w:i/>
          <w:iCs/>
          <w:color w:val="16211D"/>
          <w:sz w:val="20"/>
          <w:szCs w:val="20"/>
        </w:rPr>
        <w:t xml:space="preserve">chaque recommandation à son propre moment</w:t>
      </w:r>
      <w:r>
        <w:rPr>
          <w:rFonts w:ascii="Calibri" w:cs="Calibri" w:eastAsia="Calibri" w:hAnsi="Calibri"/>
          <w:color w:val="3C4A45"/>
          <w:sz w:val="20"/>
          <w:szCs w:val="20"/>
        </w:rPr>
        <w:t xml:space="preserve">. Sur une fenêtre bornée, les deux ne ramassent pas le même paquet.</w:t>
      </w:r>
    </w:p>
    <w:p>
      <w:pPr>
        <w:spacing w:after="100"/>
      </w:pPr>
      <w:r>
        <w:drawing>
          <wp:inline distT="0" distB="0" distL="0" distR="0">
            <wp:extent cx="60579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57900" cy="2276475"/>
                    </a:xfrm>
                    <a:prstGeom prst="rect">
                      <a:avLst/>
                    </a:prstGeom>
                  </pic:spPr>
                </pic:pic>
              </a:graphicData>
            </a:graphic>
          </wp:inline>
        </w:drawing>
      </w:r>
    </w:p>
    <w:p>
      <w:pPr>
        <w:spacing w:after="200" w:before="0" w:line="276"/>
      </w:pPr>
      <w:r>
        <w:rPr>
          <w:rFonts w:ascii="Calibri" w:cs="Calibri" w:eastAsia="Calibri" w:hAnsi="Calibri"/>
          <w:color w:val="6B7A74"/>
          <w:sz w:val="17"/>
          <w:szCs w:val="17"/>
        </w:rPr>
        <w:t xml:space="preserve">Le batch 1304 est exclu du Suivi parce que sa trempe précède la fenêtre, alors que quatre de ses recommandations tombent dedans. Le batch 1341 est compté en entier par le Suivi alors que six de ses recommandations tombent après le 28/08. Les deux effets jouent en sens inverse et se compensent en partie. Cas de figure illustratifs.</w:t>
      </w:r>
    </w:p>
    <w:p>
      <w:pPr>
        <w:pStyle w:val="Heading1"/>
        <w:spacing w:after="180" w:before="420"/>
      </w:pPr>
      <w:r>
        <w:rPr>
          <w:rFonts w:ascii="Consolas" w:cs="Consolas" w:eastAsia="Consolas" w:hAnsi="Consolas"/>
          <w:b/>
          <w:bCs/>
          <w:color w:val="8A5D0B"/>
          <w:sz w:val="22"/>
          <w:szCs w:val="22"/>
        </w:rPr>
        <w:t xml:space="preserve">03  </w:t>
      </w:r>
      <w:r>
        <w:rPr>
          <w:rFonts w:ascii="Georgia" w:cs="Georgia" w:eastAsia="Georgia" w:hAnsi="Georgia"/>
          <w:b/>
          <w:bCs/>
          <w:color w:val="16211D"/>
          <w:sz w:val="30"/>
          <w:szCs w:val="30"/>
        </w:rPr>
        <w:t xml:space="preserve">Pourquoi le Suivi ne peut pas filtrer autrement</w:t>
      </w:r>
    </w:p>
    <w:p>
      <w:pPr>
        <w:spacing w:after="140" w:before="0" w:line="276"/>
      </w:pPr>
      <w:r>
        <w:rPr>
          <w:rFonts w:ascii="Calibri" w:cs="Calibri" w:eastAsia="Calibri" w:hAnsi="Calibri"/>
          <w:color w:val="3C4A45"/>
          <w:sz w:val="20"/>
          <w:szCs w:val="20"/>
        </w:rPr>
        <w:t xml:space="preserve">Ce n’est pas un mauvais réglage de filtre. C’est une conséquence mécanique de la façon dont la table est construite en amont, dans Databricks.</w:t>
      </w:r>
    </w:p>
    <w:p>
      <w:pPr>
        <w:spacing w:after="140" w:before="0" w:line="276"/>
      </w:pPr>
      <w:r>
        <w:rPr>
          <w:rFonts w:ascii="Calibri" w:cs="Calibri" w:eastAsia="Calibri" w:hAnsi="Calibri"/>
          <w:color w:val="3C4A45"/>
          <w:sz w:val="20"/>
          <w:szCs w:val="20"/>
        </w:rPr>
        <w:t xml:space="preserve">Le pipeline du Suivi </w:t>
      </w:r>
      <w:r>
        <w:rPr>
          <w:rFonts w:ascii="Calibri" w:cs="Calibri" w:eastAsia="Calibri" w:hAnsi="Calibri"/>
          <w:b/>
          <w:bCs/>
          <w:color w:val="16211D"/>
          <w:sz w:val="20"/>
          <w:szCs w:val="20"/>
        </w:rPr>
        <w:t xml:space="preserve">agrège les recommandations au niveau du batch</w:t>
      </w:r>
      <w:r>
        <w:rPr>
          <w:rFonts w:ascii="Calibri" w:cs="Calibri" w:eastAsia="Calibri" w:hAnsi="Calibri"/>
          <w:color w:val="3C4A45"/>
          <w:sz w:val="20"/>
          <w:szCs w:val="20"/>
        </w:rPr>
        <w:t xml:space="preserve"> dès l’alimentation. À cette étape, la date propre à chaque recommandation disparaît. La table livrée à Power BI ne contient plus qu’</w:t>
      </w:r>
      <w:r>
        <w:rPr>
          <w:rFonts w:ascii="Calibri" w:cs="Calibri" w:eastAsia="Calibri" w:hAnsi="Calibri"/>
          <w:b/>
          <w:bCs/>
          <w:color w:val="16211D"/>
          <w:sz w:val="20"/>
          <w:szCs w:val="20"/>
        </w:rPr>
        <w:t xml:space="preserve">une ligne par batch</w:t>
      </w:r>
      <w:r>
        <w:rPr>
          <w:rFonts w:ascii="Calibri" w:cs="Calibri" w:eastAsia="Calibri" w:hAnsi="Calibri"/>
          <w:color w:val="3C4A45"/>
          <w:sz w:val="20"/>
          <w:szCs w:val="20"/>
        </w:rPr>
        <w:t xml:space="preserve">, et une seule date : celle du batch.</w:t>
      </w:r>
    </w:p>
    <w:p>
      <w:pPr>
        <w:spacing w:after="140" w:before="0" w:line="276"/>
      </w:pPr>
      <w:r>
        <w:rPr>
          <w:rFonts w:ascii="Calibri" w:cs="Calibri" w:eastAsia="Calibri" w:hAnsi="Calibri"/>
          <w:color w:val="3C4A45"/>
          <w:sz w:val="20"/>
          <w:szCs w:val="20"/>
        </w:rPr>
        <w:t xml:space="preserve">Le modèle n’a donc pas d’autre choix que de brancher son filtre temporel dessus. Le rapport Monitoring, lui, conserve une ligne par recommandation, chacune portant sa propre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Caractéristique</w:t>
            </w:r>
          </w:p>
        </w:tc>
        <w:tc>
          <w:tcPr>
            <w:tcW w:type="dxa" w:w="3519"/>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Monitoring</w:t>
            </w:r>
          </w:p>
        </w:tc>
        <w:tc>
          <w:tcPr>
            <w:tcW w:type="dxa" w:w="3519"/>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Suivi</w:t>
            </w:r>
          </w:p>
        </w:tc>
      </w:tr>
      <w:tr>
        <w:tc>
          <w:tcPr>
            <w:tcW w:type="dxa" w:w="26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Granularité de la table</w:t>
            </w:r>
          </w:p>
        </w:tc>
        <w:tc>
          <w:tcPr>
            <w:tcW w:type="dxa" w:w="351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Une ligne par recommandation</w:t>
            </w:r>
          </w:p>
        </w:tc>
        <w:tc>
          <w:tcPr>
            <w:tcW w:type="dxa" w:w="351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Une ligne par </w:t>
            </w:r>
            <w:r>
              <w:rPr>
                <w:rFonts w:ascii="Calibri" w:cs="Calibri" w:eastAsia="Calibri" w:hAnsi="Calibri"/>
                <w:b/>
                <w:bCs/>
                <w:color w:val="16211D"/>
                <w:sz w:val="20"/>
                <w:szCs w:val="20"/>
              </w:rPr>
              <w:t xml:space="preserve">batch</w:t>
            </w:r>
          </w:p>
        </w:tc>
      </w:tr>
      <w:tr>
        <w:tc>
          <w:tcPr>
            <w:tcW w:type="dxa" w:w="26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Date disponible</w:t>
            </w:r>
          </w:p>
        </w:tc>
        <w:tc>
          <w:tcPr>
            <w:tcW w:type="dxa" w:w="351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Date de la recommandation</w:t>
            </w:r>
          </w:p>
        </w:tc>
        <w:tc>
          <w:tcPr>
            <w:tcW w:type="dxa" w:w="351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Date de trempe du batch</w:t>
            </w:r>
          </w:p>
        </w:tc>
      </w:tr>
      <w:tr>
        <w:tc>
          <w:tcPr>
            <w:tcW w:type="dxa" w:w="26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Table Databricks</w:t>
            </w:r>
          </w:p>
        </w:tc>
        <w:tc>
          <w:tcPr>
            <w:tcW w:type="dxa" w:w="351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onsolas" w:cs="Consolas" w:eastAsia="Consolas" w:hAnsi="Consolas"/>
                <w:color w:val="3C4A45"/>
                <w:sz w:val="18"/>
                <w:szCs w:val="18"/>
              </w:rPr>
              <w:t xml:space="preserve">recommendations_monitoring.</w:t>
            </w:r>
          </w:p>
          <w:p>
            <w:pPr>
              <w:spacing w:after="0" w:line="252"/>
            </w:pPr>
            <w:r>
              <w:rPr>
                <w:rFonts w:ascii="Consolas" w:cs="Consolas" w:eastAsia="Consolas" w:hAnsi="Consolas"/>
                <w:color w:val="3C4A45"/>
                <w:sz w:val="18"/>
                <w:szCs w:val="18"/>
              </w:rPr>
              <w:t xml:space="preserve">fact_monitoring_auto_manual_entries</w:t>
            </w:r>
          </w:p>
        </w:tc>
        <w:tc>
          <w:tcPr>
            <w:tcW w:type="dxa" w:w="351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onsolas" w:cs="Consolas" w:eastAsia="Consolas" w:hAnsi="Consolas"/>
                <w:color w:val="3C4A45"/>
                <w:sz w:val="18"/>
                <w:szCs w:val="18"/>
              </w:rPr>
              <w:t xml:space="preserve">recommendations.</w:t>
            </w:r>
          </w:p>
          <w:p>
            <w:pPr>
              <w:spacing w:after="0" w:line="252"/>
            </w:pPr>
            <w:r>
              <w:rPr>
                <w:rFonts w:ascii="Consolas" w:cs="Consolas" w:eastAsia="Consolas" w:hAnsi="Consolas"/>
                <w:color w:val="3C4A45"/>
                <w:sz w:val="18"/>
                <w:szCs w:val="18"/>
              </w:rPr>
              <w:t xml:space="preserve">fact_batches_reco</w:t>
            </w:r>
          </w:p>
        </w:tc>
      </w:tr>
      <w:tr>
        <w:tc>
          <w:tcPr>
            <w:tcW w:type="dxa" w:w="26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Sources</w:t>
            </w:r>
          </w:p>
        </w:tc>
        <w:tc>
          <w:tcPr>
            <w:tcW w:type="dxa" w:w="351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PostgreSQL + journaux du moteur d’inférence (8 sites)</w:t>
            </w:r>
          </w:p>
        </w:tc>
        <w:tc>
          <w:tcPr>
            <w:tcW w:type="dxa" w:w="351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PostgreSQL uniquement</w:t>
            </w:r>
          </w:p>
        </w:tc>
      </w:tr>
      <w:tr>
        <w:tc>
          <w:tcPr>
            <w:tcW w:type="dxa" w:w="26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Point de départ</w:t>
            </w:r>
          </w:p>
        </w:tc>
        <w:tc>
          <w:tcPr>
            <w:tcW w:type="dxa" w:w="351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Ce qui était </w:t>
            </w:r>
            <w:r>
              <w:rPr>
                <w:rFonts w:ascii="Calibri" w:cs="Calibri" w:eastAsia="Calibri" w:hAnsi="Calibri"/>
                <w:b/>
                <w:bCs/>
                <w:color w:val="16211D"/>
                <w:sz w:val="20"/>
                <w:szCs w:val="20"/>
              </w:rPr>
              <w:t xml:space="preserve">attendu</w:t>
            </w:r>
            <w:r>
              <w:rPr>
                <w:rFonts w:ascii="Calibri" w:cs="Calibri" w:eastAsia="Calibri" w:hAnsi="Calibri"/>
                <w:color w:val="3C4A45"/>
                <w:sz w:val="20"/>
                <w:szCs w:val="20"/>
              </w:rPr>
              <w:t xml:space="preserve"> (planning de production)</w:t>
            </w:r>
          </w:p>
        </w:tc>
        <w:tc>
          <w:tcPr>
            <w:tcW w:type="dxa" w:w="3519"/>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Ce qui </w:t>
            </w:r>
            <w:r>
              <w:rPr>
                <w:rFonts w:ascii="Calibri" w:cs="Calibri" w:eastAsia="Calibri" w:hAnsi="Calibri"/>
                <w:b/>
                <w:bCs/>
                <w:color w:val="16211D"/>
                <w:sz w:val="20"/>
                <w:szCs w:val="20"/>
              </w:rPr>
              <w:t xml:space="preserve">existe</w:t>
            </w:r>
            <w:r>
              <w:rPr>
                <w:rFonts w:ascii="Calibri" w:cs="Calibri" w:eastAsia="Calibri" w:hAnsi="Calibri"/>
                <w:color w:val="3C4A45"/>
                <w:sz w:val="20"/>
                <w:szCs w:val="20"/>
              </w:rPr>
              <w:t xml:space="preserve"> (recommandations créées)</w:t>
            </w:r>
          </w:p>
        </w:tc>
      </w:tr>
    </w:tbl>
    <w:p>
      <w:pPr>
        <w:pStyle w:val="Heading1"/>
        <w:spacing w:after="180" w:before="420"/>
      </w:pPr>
      <w:r>
        <w:rPr>
          <w:rFonts w:ascii="Consolas" w:cs="Consolas" w:eastAsia="Consolas" w:hAnsi="Consolas"/>
          <w:b/>
          <w:bCs/>
          <w:color w:val="8A5D0B"/>
          <w:sz w:val="22"/>
          <w:szCs w:val="22"/>
        </w:rPr>
        <w:t xml:space="preserve">04  </w:t>
      </w:r>
      <w:r>
        <w:rPr>
          <w:rFonts w:ascii="Georgia" w:cs="Georgia" w:eastAsia="Georgia" w:hAnsi="Georgia"/>
          <w:b/>
          <w:bCs/>
          <w:color w:val="16211D"/>
          <w:sz w:val="30"/>
          <w:szCs w:val="30"/>
        </w:rPr>
        <w:t xml:space="preserve">La preuve, recommandation par recommandation</w:t>
      </w:r>
    </w:p>
    <w:p>
      <w:pPr>
        <w:spacing w:after="140" w:before="0" w:line="276"/>
      </w:pPr>
      <w:r>
        <w:rPr>
          <w:rFonts w:ascii="Calibri" w:cs="Calibri" w:eastAsia="Calibri" w:hAnsi="Calibri"/>
          <w:color w:val="3C4A45"/>
          <w:sz w:val="20"/>
          <w:szCs w:val="20"/>
        </w:rPr>
        <w:t xml:space="preserve">Les deux populations ont été reconstruites au même niveau de détail — le couple batch × étape — et comparées une à une. La décomposition retombe exactement sur les deux chiffres affichés.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3638"/>
      </w:tblGrid>
      <w:tr>
        <w:trPr>
          <w:tblHeader/>
        </w:trPr>
        <w:tc>
          <w:tcPr>
            <w:tcW w:type="dxa" w:w="4400"/>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Population</w:t>
            </w:r>
          </w:p>
        </w:tc>
        <w:tc>
          <w:tcPr>
            <w:tcW w:type="dxa" w:w="1600"/>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Volume</w:t>
            </w:r>
          </w:p>
        </w:tc>
        <w:tc>
          <w:tcPr>
            <w:tcW w:type="dxa" w:w="3638"/>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Explication</w:t>
            </w:r>
          </w:p>
        </w:tc>
      </w:tr>
      <w:tr>
        <w:tc>
          <w:tcPr>
            <w:tcW w:type="dxa" w:w="44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Comptée par les deux rapports</w:t>
            </w:r>
          </w:p>
        </w:tc>
        <w:tc>
          <w:tcPr>
            <w:tcW w:type="dxa" w:w="16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onsolas" w:cs="Consolas" w:eastAsia="Consolas" w:hAnsi="Consolas"/>
                <w:b/>
                <w:bCs/>
                <w:color w:val="16211D"/>
                <w:sz w:val="18"/>
                <w:szCs w:val="18"/>
              </w:rPr>
              <w:t xml:space="preserve">1 500</w:t>
            </w:r>
          </w:p>
        </w:tc>
        <w:tc>
          <w:tcPr>
            <w:tcW w:type="dxa" w:w="3638"/>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Batch et recommandations tous deux dans la fenêtre</w:t>
            </w:r>
          </w:p>
        </w:tc>
      </w:tr>
      <w:tr>
        <w:tc>
          <w:tcPr>
            <w:tcW w:type="dxa" w:w="4400"/>
            <w:tcBorders>
              <w:top w:val="single" w:color="D3DCD8" w:sz="4"/>
              <w:left w:val="none" w:color="FFFFFF" w:sz="0"/>
              <w:bottom w:val="single" w:color="D3DCD8" w:sz="4"/>
              <w:right w:val="none" w:color="FFFFFF" w:sz="0"/>
            </w:tcBorders>
            <w:shd w:fill="F6EFE2" w:color="auto" w:val="clear"/>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Suivi uniquement</w:t>
            </w:r>
          </w:p>
        </w:tc>
        <w:tc>
          <w:tcPr>
            <w:tcW w:type="dxa" w:w="1600"/>
            <w:tcBorders>
              <w:top w:val="single" w:color="D3DCD8" w:sz="4"/>
              <w:left w:val="none" w:color="FFFFFF" w:sz="0"/>
              <w:bottom w:val="single" w:color="D3DCD8" w:sz="4"/>
              <w:right w:val="none" w:color="FFFFFF" w:sz="0"/>
            </w:tcBorders>
            <w:shd w:fill="F6EFE2" w:color="auto" w:val="clear"/>
            <w:tcMar>
              <w:top w:type="dxa" w:w="90"/>
              <w:left w:type="dxa" w:w="130"/>
              <w:bottom w:type="dxa" w:w="90"/>
              <w:right w:type="dxa" w:w="130"/>
            </w:tcMar>
          </w:tcPr>
          <w:p>
            <w:pPr>
              <w:spacing w:after="0" w:line="252"/>
            </w:pPr>
            <w:r>
              <w:rPr>
                <w:rFonts w:ascii="Consolas" w:cs="Consolas" w:eastAsia="Consolas" w:hAnsi="Consolas"/>
                <w:b/>
                <w:bCs/>
                <w:color w:val="2A5CA6"/>
                <w:sz w:val="18"/>
                <w:szCs w:val="18"/>
              </w:rPr>
              <w:t xml:space="preserve">162</w:t>
            </w:r>
          </w:p>
        </w:tc>
        <w:tc>
          <w:tcPr>
            <w:tcW w:type="dxa" w:w="3638"/>
            <w:tcBorders>
              <w:top w:val="single" w:color="D3DCD8" w:sz="4"/>
              <w:left w:val="none" w:color="FFFFFF" w:sz="0"/>
              <w:bottom w:val="single" w:color="D3DCD8" w:sz="4"/>
              <w:right w:val="none" w:color="FFFFFF" w:sz="0"/>
            </w:tcBorders>
            <w:shd w:fill="F6EFE2" w:color="auto" w:val="clear"/>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Recommandation calculée hors fenêtre, batch dedans</w:t>
            </w:r>
          </w:p>
        </w:tc>
      </w:tr>
      <w:tr>
        <w:tc>
          <w:tcPr>
            <w:tcW w:type="dxa" w:w="4400"/>
            <w:tcBorders>
              <w:top w:val="single" w:color="D3DCD8" w:sz="4"/>
              <w:left w:val="none" w:color="FFFFFF" w:sz="0"/>
              <w:bottom w:val="single" w:color="D3DCD8" w:sz="4"/>
              <w:right w:val="none" w:color="FFFFFF" w:sz="0"/>
            </w:tcBorders>
            <w:shd w:fill="F6EFE2" w:color="auto" w:val="clear"/>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Monitoring uniquement</w:t>
            </w:r>
          </w:p>
        </w:tc>
        <w:tc>
          <w:tcPr>
            <w:tcW w:type="dxa" w:w="1600"/>
            <w:tcBorders>
              <w:top w:val="single" w:color="D3DCD8" w:sz="4"/>
              <w:left w:val="none" w:color="FFFFFF" w:sz="0"/>
              <w:bottom w:val="single" w:color="D3DCD8" w:sz="4"/>
              <w:right w:val="none" w:color="FFFFFF" w:sz="0"/>
            </w:tcBorders>
            <w:shd w:fill="F6EFE2" w:color="auto" w:val="clear"/>
            <w:tcMar>
              <w:top w:type="dxa" w:w="90"/>
              <w:left w:type="dxa" w:w="130"/>
              <w:bottom w:type="dxa" w:w="90"/>
              <w:right w:type="dxa" w:w="130"/>
            </w:tcMar>
          </w:tcPr>
          <w:p>
            <w:pPr>
              <w:spacing w:after="0" w:line="252"/>
            </w:pPr>
            <w:r>
              <w:rPr>
                <w:rFonts w:ascii="Consolas" w:cs="Consolas" w:eastAsia="Consolas" w:hAnsi="Consolas"/>
                <w:b/>
                <w:bCs/>
                <w:color w:val="0D7A63"/>
                <w:sz w:val="18"/>
                <w:szCs w:val="18"/>
              </w:rPr>
              <w:t xml:space="preserve">143</w:t>
            </w:r>
          </w:p>
        </w:tc>
        <w:tc>
          <w:tcPr>
            <w:tcW w:type="dxa" w:w="3638"/>
            <w:tcBorders>
              <w:top w:val="single" w:color="D3DCD8" w:sz="4"/>
              <w:left w:val="none" w:color="FFFFFF" w:sz="0"/>
              <w:bottom w:val="single" w:color="D3DCD8" w:sz="4"/>
              <w:right w:val="none" w:color="FFFFFF" w:sz="0"/>
            </w:tcBorders>
            <w:shd w:fill="F6EFE2" w:color="auto" w:val="clear"/>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Recommandation dans la fenêtre, batch planifié avant</w:t>
            </w:r>
          </w:p>
        </w:tc>
      </w:tr>
      <w:tr>
        <w:tc>
          <w:tcPr>
            <w:tcW w:type="dxa" w:w="44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Écart de périmètre</w:t>
            </w:r>
          </w:p>
        </w:tc>
        <w:tc>
          <w:tcPr>
            <w:tcW w:type="dxa" w:w="16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onsolas" w:cs="Consolas" w:eastAsia="Consolas" w:hAnsi="Consolas"/>
                <w:b/>
                <w:bCs/>
                <w:color w:val="16211D"/>
                <w:sz w:val="18"/>
                <w:szCs w:val="18"/>
              </w:rPr>
              <w:t xml:space="preserve">0</w:t>
            </w:r>
          </w:p>
        </w:tc>
        <w:tc>
          <w:tcPr>
            <w:tcW w:type="dxa" w:w="3638"/>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Aucune recommandation absente d’un côté ou de l’autre</w:t>
            </w:r>
          </w:p>
        </w:tc>
      </w:tr>
    </w:tbl>
    <w:p>
      <w:pPr>
        <w:spacing w:after="140" w:before="200"/>
      </w:pPr>
      <w:r>
        <w:rPr>
          <w:rFonts w:ascii="Consolas" w:cs="Consolas" w:eastAsia="Consolas" w:hAnsi="Consolas"/>
          <w:b/>
          <w:bCs/>
          <w:color w:val="2A5CA6"/>
          <w:sz w:val="22"/>
          <w:szCs w:val="22"/>
        </w:rPr>
        <w:t xml:space="preserve">1 500 + 162 = 1 662</w:t>
      </w:r>
      <w:r>
        <w:rPr>
          <w:rFonts w:ascii="Calibri" w:cs="Calibri" w:eastAsia="Calibri" w:hAnsi="Calibri"/>
          <w:color w:val="3C4A45"/>
          <w:sz w:val="20"/>
          <w:szCs w:val="20"/>
        </w:rPr>
        <w:t xml:space="preserve">          </w:t>
      </w:r>
      <w:r>
        <w:rPr>
          <w:rFonts w:ascii="Consolas" w:cs="Consolas" w:eastAsia="Consolas" w:hAnsi="Consolas"/>
          <w:b/>
          <w:bCs/>
          <w:color w:val="0D7A63"/>
          <w:sz w:val="22"/>
          <w:szCs w:val="22"/>
        </w:rPr>
        <w:t xml:space="preserve">1 500 + 143 = 1 643</w:t>
      </w:r>
    </w:p>
    <w:p>
      <w:pPr>
        <w:spacing w:after="140" w:before="0" w:line="276"/>
      </w:pPr>
      <w:r>
        <w:rPr>
          <w:rFonts w:ascii="Calibri" w:cs="Calibri" w:eastAsia="Calibri" w:hAnsi="Calibri"/>
          <w:color w:val="3C4A45"/>
          <w:sz w:val="20"/>
          <w:szCs w:val="20"/>
        </w:rPr>
        <w:t xml:space="preserve">La réconciliation est complète : </w:t>
      </w:r>
      <w:r>
        <w:rPr>
          <w:rFonts w:ascii="Calibri" w:cs="Calibri" w:eastAsia="Calibri" w:hAnsi="Calibri"/>
          <w:b/>
          <w:bCs/>
          <w:color w:val="16211D"/>
          <w:sz w:val="20"/>
          <w:szCs w:val="20"/>
        </w:rPr>
        <w:t xml:space="preserve">100 % de l’écart s’explique par la date de filtrage</w:t>
      </w:r>
      <w:r>
        <w:rPr>
          <w:rFonts w:ascii="Calibri" w:cs="Calibri" w:eastAsia="Calibri" w:hAnsi="Calibri"/>
          <w:color w:val="3C4A45"/>
          <w:sz w:val="20"/>
          <w:szCs w:val="20"/>
        </w:rPr>
        <w:t xml:space="preserve">, et rien d’autre.</w:t>
      </w:r>
    </w:p>
    <w:p>
      <w:pPr>
        <w:pStyle w:val="Heading1"/>
        <w:spacing w:after="180" w:before="420"/>
      </w:pPr>
      <w:r>
        <w:rPr>
          <w:rFonts w:ascii="Consolas" w:cs="Consolas" w:eastAsia="Consolas" w:hAnsi="Consolas"/>
          <w:b/>
          <w:bCs/>
          <w:color w:val="8A5D0B"/>
          <w:sz w:val="22"/>
          <w:szCs w:val="22"/>
        </w:rPr>
        <w:t xml:space="preserve">05  </w:t>
      </w:r>
      <w:r>
        <w:rPr>
          <w:rFonts w:ascii="Georgia" w:cs="Georgia" w:eastAsia="Georgia" w:hAnsi="Georgia"/>
          <w:b/>
          <w:bCs/>
          <w:color w:val="16211D"/>
          <w:sz w:val="30"/>
          <w:szCs w:val="30"/>
        </w:rPr>
        <w:t xml:space="preserve">Le chiffre à retenir n’est pas 19</w:t>
      </w:r>
    </w:p>
    <w:p>
      <w:pPr>
        <w:pBdr>
          <w:left w:val="single" w:color="8A5D0B" w:sz="18"/>
        </w:pBdr>
        <w:shd w:fill="F6EFE2" w:color="auto" w:val="clear"/>
        <w:spacing w:after="0" w:before="120"/>
        <w:ind w:left="180" w:right="180"/>
      </w:pPr>
      <w:r>
        <w:rPr>
          <w:rFonts w:ascii="Calibri" w:cs="Calibri" w:eastAsia="Calibri" w:hAnsi="Calibri"/>
          <w:b/>
          <w:bCs/>
          <w:color w:val="8A5D0B"/>
          <w:spacing w:val="24"/>
          <w:sz w:val="16"/>
          <w:szCs w:val="16"/>
        </w:rPr>
        <w:t xml:space="preserve">MESSAGE PRINCIPAL</w:t>
      </w:r>
    </w:p>
    <w:p>
      <w:pPr>
        <w:pBdr>
          <w:left w:val="single" w:color="8A5D0B" w:sz="18"/>
        </w:pBdr>
        <w:shd w:fill="F6EFE2" w:color="auto" w:val="clear"/>
        <w:spacing w:after="80" w:before="80"/>
        <w:ind w:left="180" w:right="180"/>
      </w:pPr>
      <w:r>
        <w:rPr>
          <w:rFonts w:ascii="Georgia" w:cs="Georgia" w:eastAsia="Georgia" w:hAnsi="Georgia"/>
          <w:color w:val="16211D"/>
          <w:sz w:val="26"/>
          <w:szCs w:val="26"/>
        </w:rPr>
        <w:t xml:space="preserve">L’écart affiché est de 19. Le désaccord réel porte sur 305 recommandations — 162 d’un côté, 143 de l’autre — qui s’annulent presque.</w:t>
      </w:r>
    </w:p>
    <w:p>
      <w:pPr>
        <w:pBdr>
          <w:left w:val="single" w:color="8A5D0B" w:sz="18"/>
        </w:pBdr>
        <w:shd w:fill="F6EFE2" w:color="auto" w:val="clear"/>
        <w:spacing w:after="220" w:before="0"/>
        <w:ind w:left="180" w:right="180"/>
      </w:pPr>
      <w:r>
        <w:rPr>
          <w:rFonts w:ascii="Calibri" w:cs="Calibri" w:eastAsia="Calibri" w:hAnsi="Calibri"/>
          <w:color w:val="3C4A45"/>
          <w:sz w:val="20"/>
          <w:szCs w:val="20"/>
        </w:rPr>
        <w:t xml:space="preserve">Les deux rapports tombent d’accord sur le total par effet de volume, pas sur le fond. Seules 90 % des recommandations sont communes aux deux.</w:t>
      </w:r>
    </w:p>
    <w:p>
      <w:pPr>
        <w:spacing w:after="140" w:before="0" w:line="276"/>
      </w:pPr>
      <w:r>
        <w:rPr>
          <w:rFonts w:ascii="Calibri" w:cs="Calibri" w:eastAsia="Calibri" w:hAnsi="Calibri"/>
          <w:color w:val="3C4A45"/>
          <w:sz w:val="20"/>
          <w:szCs w:val="20"/>
        </w:rPr>
        <w:t xml:space="preserve">La conséquence pratique est importante pour les utilisateurs :</w:t>
      </w:r>
    </w:p>
    <w:p>
      <w:pPr>
        <w:pStyle w:val="ListParagraph"/>
        <w:numPr>
          <w:ilvl w:val="0"/>
          <w:numId w:val="2"/>
        </w:numPr>
        <w:spacing w:after="100" w:line="276"/>
      </w:pPr>
      <w:r>
        <w:rPr>
          <w:rFonts w:ascii="Calibri" w:cs="Calibri" w:eastAsia="Calibri" w:hAnsi="Calibri"/>
          <w:b/>
          <w:bCs/>
          <w:color w:val="16211D"/>
          <w:sz w:val="20"/>
          <w:szCs w:val="20"/>
        </w:rPr>
        <w:t xml:space="preserve">La stabilité de l’écart n’est pas garantie.</w:t>
      </w:r>
      <w:r>
        <w:rPr>
          <w:rFonts w:ascii="Calibri" w:cs="Calibri" w:eastAsia="Calibri" w:hAnsi="Calibri"/>
          <w:color w:val="3C4A45"/>
          <w:sz w:val="20"/>
          <w:szCs w:val="20"/>
        </w:rPr>
        <w:t xml:space="preserve"> Sur une fenêtre plus courte, ou sur une période où le volume de batches varie, l’écart net peut atteindre plusieurs centaines sans qu’aucune donnée n’ait changé.</w:t>
      </w:r>
    </w:p>
    <w:p>
      <w:pPr>
        <w:pStyle w:val="ListParagraph"/>
        <w:numPr>
          <w:ilvl w:val="0"/>
          <w:numId w:val="2"/>
        </w:numPr>
        <w:spacing w:after="100" w:line="276"/>
      </w:pPr>
      <w:r>
        <w:rPr>
          <w:rFonts w:ascii="Calibri" w:cs="Calibri" w:eastAsia="Calibri" w:hAnsi="Calibri"/>
          <w:b/>
          <w:bCs/>
          <w:color w:val="16211D"/>
          <w:sz w:val="20"/>
          <w:szCs w:val="20"/>
        </w:rPr>
        <w:t xml:space="preserve">Aucun réglage de dates ne fera converger les deux chiffres durablement.</w:t>
      </w:r>
      <w:r>
        <w:rPr>
          <w:rFonts w:ascii="Calibri" w:cs="Calibri" w:eastAsia="Calibri" w:hAnsi="Calibri"/>
          <w:color w:val="3C4A45"/>
          <w:sz w:val="20"/>
          <w:szCs w:val="20"/>
        </w:rPr>
        <w:t xml:space="preserve"> Le rapprochement observé sur cette fenêtre est fortuit.</w:t>
      </w:r>
    </w:p>
    <w:p>
      <w:pPr>
        <w:pStyle w:val="ListParagraph"/>
        <w:numPr>
          <w:ilvl w:val="0"/>
          <w:numId w:val="2"/>
        </w:numPr>
        <w:spacing w:after="100" w:line="276"/>
      </w:pPr>
      <w:r>
        <w:rPr>
          <w:rFonts w:ascii="Calibri" w:cs="Calibri" w:eastAsia="Calibri" w:hAnsi="Calibri"/>
          <w:b/>
          <w:bCs/>
          <w:color w:val="16211D"/>
          <w:sz w:val="20"/>
          <w:szCs w:val="20"/>
        </w:rPr>
        <w:t xml:space="preserve">Les libellés des filtres sont exacts</w:t>
      </w:r>
      <w:r>
        <w:rPr>
          <w:rFonts w:ascii="Calibri" w:cs="Calibri" w:eastAsia="Calibri" w:hAnsi="Calibri"/>
          <w:color w:val="3C4A45"/>
          <w:sz w:val="20"/>
          <w:szCs w:val="20"/>
        </w:rPr>
        <w:t xml:space="preserve"> — « Interval End Date » et « Steeping schedule » — mais ne signalent pas qu’ils s’appliquent à deux objets différents : la recommandation d’un côté, le batch de l’autre.</w:t>
      </w:r>
    </w:p>
    <w:p>
      <w:pPr>
        <w:pStyle w:val="Heading1"/>
        <w:spacing w:after="180" w:before="420"/>
      </w:pPr>
      <w:r>
        <w:rPr>
          <w:rFonts w:ascii="Consolas" w:cs="Consolas" w:eastAsia="Consolas" w:hAnsi="Consolas"/>
          <w:b/>
          <w:bCs/>
          <w:color w:val="8A5D0B"/>
          <w:sz w:val="22"/>
          <w:szCs w:val="22"/>
        </w:rPr>
        <w:t xml:space="preserve">06  </w:t>
      </w:r>
      <w:r>
        <w:rPr>
          <w:rFonts w:ascii="Georgia" w:cs="Georgia" w:eastAsia="Georgia" w:hAnsi="Georgia"/>
          <w:b/>
          <w:bCs/>
          <w:color w:val="16211D"/>
          <w:sz w:val="30"/>
          <w:szCs w:val="30"/>
        </w:rPr>
        <w:t xml:space="preserve">Écarts secondaires détectés</w:t>
      </w:r>
    </w:p>
    <w:p>
      <w:pPr>
        <w:spacing w:after="140" w:before="0" w:line="276"/>
      </w:pPr>
      <w:r>
        <w:rPr>
          <w:rFonts w:ascii="Calibri" w:cs="Calibri" w:eastAsia="Calibri" w:hAnsi="Calibri"/>
          <w:color w:val="3C4A45"/>
          <w:sz w:val="20"/>
          <w:szCs w:val="20"/>
        </w:rPr>
        <w:t xml:space="preserve">Sans effet sur les deux chiffres comparés ici, mais relevés pendant l’analyse et à traiter séparément.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4038"/>
        <w:gridCol w:w="1600"/>
      </w:tblGrid>
      <w:tr>
        <w:trPr>
          <w:tblHeader/>
        </w:trPr>
        <w:tc>
          <w:tcPr>
            <w:tcW w:type="dxa" w:w="4000"/>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Constat</w:t>
            </w:r>
          </w:p>
        </w:tc>
        <w:tc>
          <w:tcPr>
            <w:tcW w:type="dxa" w:w="4038"/>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Effet mesuré</w:t>
            </w:r>
          </w:p>
        </w:tc>
        <w:tc>
          <w:tcPr>
            <w:tcW w:type="dxa" w:w="1600"/>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Statut</w:t>
            </w:r>
          </w:p>
        </w:tc>
      </w:tr>
      <w:tr>
        <w:tc>
          <w:tcPr>
            <w:tcW w:type="dxa" w:w="40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Les batches et lignes de planning supprimés ne sont pas exclus du pipeline Monitoring, alors qu’ils le sont côté Suivi</w:t>
            </w:r>
          </w:p>
        </w:tc>
        <w:tc>
          <w:tcPr>
            <w:tcW w:type="dxa" w:w="4038"/>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Taux de réussite affiché à 64,9 % au lieu de 66,4 % — 56 échecs indus au dénominateur</w:t>
            </w:r>
          </w:p>
        </w:tc>
        <w:tc>
          <w:tcPr>
            <w:tcW w:type="dxa" w:w="16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b/>
                <w:bCs/>
                <w:color w:val="8A5D0B"/>
                <w:sz w:val="20"/>
                <w:szCs w:val="20"/>
              </w:rPr>
              <w:t xml:space="preserve">Actif</w:t>
            </w:r>
          </w:p>
        </w:tc>
      </w:tr>
      <w:tr>
        <w:tc>
          <w:tcPr>
            <w:tcW w:type="dxa" w:w="40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Le périmètre des lignes de production est une liste d’exclusion côté Monitoring, une liste blanche côté Suivi</w:t>
            </w:r>
          </w:p>
        </w:tc>
        <w:tc>
          <w:tcPr>
            <w:tcW w:type="dxa" w:w="4038"/>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Nul aujourd’hui — mais toute nouvelle ligne de production entrera automatiquement dans un rapport et jamais dans l’autre</w:t>
            </w:r>
          </w:p>
        </w:tc>
        <w:tc>
          <w:tcPr>
            <w:tcW w:type="dxa" w:w="16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b/>
                <w:bCs/>
                <w:color w:val="6B7A74"/>
                <w:sz w:val="20"/>
                <w:szCs w:val="20"/>
              </w:rPr>
              <w:t xml:space="preserve">Latent</w:t>
            </w:r>
          </w:p>
        </w:tc>
      </w:tr>
      <w:tr>
        <w:tc>
          <w:tcPr>
            <w:tcW w:type="dxa" w:w="40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L’exclusion ROUEN1 / Germination J5 n’existe que côté Suivi</w:t>
            </w:r>
          </w:p>
        </w:tc>
        <w:tc>
          <w:tcPr>
            <w:tcW w:type="dxa" w:w="4038"/>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Nul sur la fenêtre — aucune recommandation concernée</w:t>
            </w:r>
          </w:p>
        </w:tc>
        <w:tc>
          <w:tcPr>
            <w:tcW w:type="dxa" w:w="16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b/>
                <w:bCs/>
                <w:color w:val="6B7A74"/>
                <w:sz w:val="20"/>
                <w:szCs w:val="20"/>
              </w:rPr>
              <w:t xml:space="preserve">Latent</w:t>
            </w:r>
          </w:p>
        </w:tc>
      </w:tr>
      <w:tr>
        <w:tc>
          <w:tcPr>
            <w:tcW w:type="dxa" w:w="40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Les calendriers des deux modèles ne couvrent pas la même plage (2025 contre 2024)</w:t>
            </w:r>
          </w:p>
        </w:tc>
        <w:tc>
          <w:tcPr>
            <w:tcW w:type="dxa" w:w="4038"/>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Profondeur d’historique différente entre les deux rapports</w:t>
            </w:r>
          </w:p>
        </w:tc>
        <w:tc>
          <w:tcPr>
            <w:tcW w:type="dxa" w:w="16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b/>
                <w:bCs/>
                <w:color w:val="6B7A74"/>
                <w:sz w:val="20"/>
                <w:szCs w:val="20"/>
              </w:rPr>
              <w:t xml:space="preserve">Latent</w:t>
            </w:r>
          </w:p>
        </w:tc>
      </w:tr>
      <w:tr>
        <w:tc>
          <w:tcPr>
            <w:tcW w:type="dxa" w:w="40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Le modèle Suivi expose deux totaux de recommandations calculés différemment, sans distinction visible</w:t>
            </w:r>
          </w:p>
        </w:tc>
        <w:tc>
          <w:tcPr>
            <w:tcW w:type="dxa" w:w="4038"/>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Risque de confusion — l’un dédoublonne par étape, l’autre non</w:t>
            </w:r>
          </w:p>
        </w:tc>
        <w:tc>
          <w:tcPr>
            <w:tcW w:type="dxa" w:w="16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b/>
                <w:bCs/>
                <w:color w:val="6B7A74"/>
                <w:sz w:val="20"/>
                <w:szCs w:val="20"/>
              </w:rPr>
              <w:t xml:space="preserve">Latent</w:t>
            </w:r>
          </w:p>
        </w:tc>
      </w:tr>
    </w:tbl>
    <w:p>
      <w:pPr>
        <w:pStyle w:val="Heading1"/>
        <w:spacing w:after="180" w:before="420"/>
      </w:pPr>
      <w:r>
        <w:rPr>
          <w:rFonts w:ascii="Consolas" w:cs="Consolas" w:eastAsia="Consolas" w:hAnsi="Consolas"/>
          <w:b/>
          <w:bCs/>
          <w:color w:val="8A5D0B"/>
          <w:sz w:val="22"/>
          <w:szCs w:val="22"/>
        </w:rPr>
        <w:t xml:space="preserve">07  </w:t>
      </w:r>
      <w:r>
        <w:rPr>
          <w:rFonts w:ascii="Georgia" w:cs="Georgia" w:eastAsia="Georgia" w:hAnsi="Georgia"/>
          <w:b/>
          <w:bCs/>
          <w:color w:val="16211D"/>
          <w:sz w:val="30"/>
          <w:szCs w:val="30"/>
        </w:rPr>
        <w:t xml:space="preserve">Hypothèses écartées</w:t>
      </w:r>
    </w:p>
    <w:p>
      <w:pPr>
        <w:spacing w:after="140" w:before="0" w:line="276"/>
      </w:pPr>
      <w:r>
        <w:rPr>
          <w:rFonts w:ascii="Calibri" w:cs="Calibri" w:eastAsia="Calibri" w:hAnsi="Calibri"/>
          <w:color w:val="3C4A45"/>
          <w:sz w:val="20"/>
          <w:szCs w:val="20"/>
        </w:rPr>
        <w:t xml:space="preserve">Quatre causes plausibles ont été testées et </w:t>
      </w:r>
      <w:r>
        <w:rPr>
          <w:rFonts w:ascii="Calibri" w:cs="Calibri" w:eastAsia="Calibri" w:hAnsi="Calibri"/>
          <w:b/>
          <w:bCs/>
          <w:color w:val="16211D"/>
          <w:sz w:val="20"/>
          <w:szCs w:val="20"/>
        </w:rPr>
        <w:t xml:space="preserve">mesurées à zéro</w:t>
      </w:r>
      <w:r>
        <w:rPr>
          <w:rFonts w:ascii="Calibri" w:cs="Calibri" w:eastAsia="Calibri" w:hAnsi="Calibri"/>
          <w:color w:val="3C4A45"/>
          <w:sz w:val="20"/>
          <w:szCs w:val="20"/>
        </w:rPr>
        <w:t xml:space="preserve"> sur la fenêtre. Elles peuvent être écartées si la question est posée en séance :</w:t>
      </w:r>
    </w:p>
    <w:p>
      <w:pPr>
        <w:pStyle w:val="ListParagraph"/>
        <w:numPr>
          <w:ilvl w:val="0"/>
          <w:numId w:val="2"/>
        </w:numPr>
        <w:spacing w:after="100" w:line="276"/>
      </w:pPr>
      <w:r>
        <w:rPr>
          <w:rFonts w:ascii="Calibri" w:cs="Calibri" w:eastAsia="Calibri" w:hAnsi="Calibri"/>
          <w:color w:val="3C4A45"/>
          <w:sz w:val="20"/>
          <w:szCs w:val="20"/>
        </w:rPr>
        <w:t xml:space="preserve">Des recommandations qui échapperaient au périmètre de supervision (absentes du planning de production, ou sur une étape où aucune recommandation n’est attendue).</w:t>
      </w:r>
    </w:p>
    <w:p>
      <w:pPr>
        <w:pStyle w:val="ListParagraph"/>
        <w:numPr>
          <w:ilvl w:val="0"/>
          <w:numId w:val="2"/>
        </w:numPr>
        <w:spacing w:after="100" w:line="276"/>
      </w:pPr>
      <w:r>
        <w:rPr>
          <w:rFonts w:ascii="Calibri" w:cs="Calibri" w:eastAsia="Calibri" w:hAnsi="Calibri"/>
          <w:color w:val="3C4A45"/>
          <w:sz w:val="20"/>
          <w:szCs w:val="20"/>
        </w:rPr>
        <w:t xml:space="preserve">L’exclusion ROUEN1 / Germination J5 présente d’un seul côté.</w:t>
      </w:r>
    </w:p>
    <w:p>
      <w:pPr>
        <w:pStyle w:val="ListParagraph"/>
        <w:numPr>
          <w:ilvl w:val="0"/>
          <w:numId w:val="2"/>
        </w:numPr>
        <w:spacing w:after="100" w:line="276"/>
      </w:pPr>
      <w:r>
        <w:rPr>
          <w:rFonts w:ascii="Calibri" w:cs="Calibri" w:eastAsia="Calibri" w:hAnsi="Calibri"/>
          <w:color w:val="3C4A45"/>
          <w:sz w:val="20"/>
          <w:szCs w:val="20"/>
        </w:rPr>
        <w:t xml:space="preserve">Une divergence de périmètre sur les lignes de production.</w:t>
      </w:r>
    </w:p>
    <w:p>
      <w:pPr>
        <w:pStyle w:val="ListParagraph"/>
        <w:numPr>
          <w:ilvl w:val="0"/>
          <w:numId w:val="2"/>
        </w:numPr>
        <w:spacing w:after="100" w:line="276"/>
      </w:pPr>
      <w:r>
        <w:rPr>
          <w:rFonts w:ascii="Calibri" w:cs="Calibri" w:eastAsia="Calibri" w:hAnsi="Calibri"/>
          <w:color w:val="3C4A45"/>
          <w:sz w:val="20"/>
          <w:szCs w:val="20"/>
        </w:rPr>
        <w:t xml:space="preserve">Une granularité horaire des dates de trempe qui casserait la liaison au calendrier.</w:t>
      </w:r>
    </w:p>
    <w:p>
      <w:pPr>
        <w:spacing w:after="140" w:before="100" w:line="276"/>
      </w:pPr>
      <w:r>
        <w:rPr>
          <w:rFonts w:ascii="Calibri" w:cs="Calibri" w:eastAsia="Calibri" w:hAnsi="Calibri"/>
          <w:color w:val="3C4A45"/>
          <w:sz w:val="20"/>
          <w:szCs w:val="20"/>
        </w:rPr>
        <w:t xml:space="preserve">Aucune de ces pistes ne contribue à l’écart. La cause est unique.</w:t>
      </w:r>
    </w:p>
    <w:p>
      <w:pPr>
        <w:pStyle w:val="Heading1"/>
        <w:spacing w:after="180" w:before="420"/>
      </w:pPr>
      <w:r>
        <w:rPr>
          <w:rFonts w:ascii="Consolas" w:cs="Consolas" w:eastAsia="Consolas" w:hAnsi="Consolas"/>
          <w:b/>
          <w:bCs/>
          <w:color w:val="8A5D0B"/>
          <w:sz w:val="22"/>
          <w:szCs w:val="22"/>
        </w:rPr>
        <w:t xml:space="preserve">08  </w:t>
      </w:r>
      <w:r>
        <w:rPr>
          <w:rFonts w:ascii="Georgia" w:cs="Georgia" w:eastAsia="Georgia" w:hAnsi="Georgia"/>
          <w:b/>
          <w:bCs/>
          <w:color w:val="16211D"/>
          <w:sz w:val="30"/>
          <w:szCs w:val="30"/>
        </w:rPr>
        <w:t xml:space="preserve">Décisions attendues</w:t>
      </w:r>
    </w:p>
    <w:p>
      <w:pPr>
        <w:spacing w:after="140" w:before="0" w:line="276"/>
      </w:pPr>
      <w:r>
        <w:rPr>
          <w:rFonts w:ascii="Calibri" w:cs="Calibri" w:eastAsia="Calibri" w:hAnsi="Calibri"/>
          <w:color w:val="3C4A45"/>
          <w:sz w:val="20"/>
          <w:szCs w:val="20"/>
        </w:rPr>
        <w:t xml:space="preserve">Point de vigilance avant d’arbitrer : </w:t>
      </w:r>
      <w:r>
        <w:rPr>
          <w:rFonts w:ascii="Calibri" w:cs="Calibri" w:eastAsia="Calibri" w:hAnsi="Calibri"/>
          <w:b/>
          <w:bCs/>
          <w:color w:val="16211D"/>
          <w:sz w:val="20"/>
          <w:szCs w:val="20"/>
        </w:rPr>
        <w:t xml:space="preserve">les deux axes sont légitimes dans leur rapport respectif.</w:t>
      </w:r>
      <w:r>
        <w:rPr>
          <w:rFonts w:ascii="Calibri" w:cs="Calibri" w:eastAsia="Calibri" w:hAnsi="Calibri"/>
          <w:color w:val="3C4A45"/>
          <w:sz w:val="20"/>
          <w:szCs w:val="20"/>
        </w:rPr>
        <w:t xml:space="preserve"> Le Monitoring supervise un moteur, son axe naturel est la date de la recommandation. Le Suivi mesure l’adoption sur une campagne de batches, son axe naturel est le batch. Aligner l’un sur l’autre a un coût de lecture pour les utilisateurs.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rPr>
          <w:tblHeader/>
        </w:trPr>
        <w:tc>
          <w:tcPr>
            <w:tcW w:type="dxa" w:w="3200"/>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Option</w:t>
            </w:r>
          </w:p>
        </w:tc>
        <w:tc>
          <w:tcPr>
            <w:tcW w:type="dxa" w:w="4238"/>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Description</w:t>
            </w:r>
          </w:p>
        </w:tc>
        <w:tc>
          <w:tcPr>
            <w:tcW w:type="dxa" w:w="2200"/>
            <w:tcBorders>
              <w:top w:val="single" w:color="D3DCD8" w:sz="4"/>
              <w:left w:val="none" w:color="FFFFFF" w:sz="0"/>
              <w:bottom w:val="single" w:color="6B7A74" w:sz="4"/>
              <w:right w:val="none" w:color="FFFFFF" w:sz="0"/>
            </w:tcBorders>
            <w:shd w:fill="EFF3F1" w:color="auto" w:val="clear"/>
            <w:tcMar>
              <w:top w:type="dxa" w:w="90"/>
              <w:left w:type="dxa" w:w="130"/>
              <w:bottom w:type="dxa" w:w="90"/>
              <w:right w:type="dxa" w:w="130"/>
            </w:tcMar>
          </w:tcPr>
          <w:p>
            <w:pPr>
              <w:spacing w:after="0"/>
            </w:pPr>
            <w:r>
              <w:rPr>
                <w:rFonts w:ascii="Calibri" w:cs="Calibri" w:eastAsia="Calibri" w:hAnsi="Calibri"/>
                <w:b/>
                <w:bCs/>
                <w:caps/>
                <w:color w:val="6B7A74"/>
                <w:spacing w:val="16"/>
                <w:sz w:val="16"/>
                <w:szCs w:val="16"/>
              </w:rPr>
              <w:t xml:space="preserve">Effet</w:t>
            </w:r>
          </w:p>
        </w:tc>
      </w:tr>
      <w:tr>
        <w:tc>
          <w:tcPr>
            <w:tcW w:type="dxa" w:w="32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b/>
                <w:bCs/>
                <w:color w:val="16211D"/>
                <w:sz w:val="20"/>
                <w:szCs w:val="20"/>
              </w:rPr>
              <w:t xml:space="preserve">Aligner le Suivi sur la date de recommandation</w:t>
            </w:r>
          </w:p>
        </w:tc>
        <w:tc>
          <w:tcPr>
            <w:tcW w:type="dxa" w:w="4238"/>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Le volume de recommandations passe sur l’axe date de calcul ; les indicateurs réellement centrés batch restent sur la date de trempe.</w:t>
            </w:r>
          </w:p>
        </w:tc>
        <w:tc>
          <w:tcPr>
            <w:tcW w:type="dxa" w:w="22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Rend les deux comparables · Modifie une lecture existante</w:t>
            </w:r>
          </w:p>
        </w:tc>
      </w:tr>
      <w:tr>
        <w:tc>
          <w:tcPr>
            <w:tcW w:type="dxa" w:w="32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b/>
                <w:bCs/>
                <w:color w:val="16211D"/>
                <w:sz w:val="20"/>
                <w:szCs w:val="20"/>
              </w:rPr>
              <w:t xml:space="preserve">Ajouter l’axe batch au Monitoring</w:t>
            </w:r>
          </w:p>
        </w:tc>
        <w:tc>
          <w:tcPr>
            <w:tcW w:type="dxa" w:w="4238"/>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Second filtre optionnel « Steeping schedule » dans le rapport Monitoring, sans toucher aux indicateurs actuels.</w:t>
            </w:r>
          </w:p>
        </w:tc>
        <w:tc>
          <w:tcPr>
            <w:tcW w:type="dxa" w:w="22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Aucun indicateur ne change de sens · Alourdit le rapport</w:t>
            </w:r>
          </w:p>
        </w:tc>
      </w:tr>
      <w:tr>
        <w:tc>
          <w:tcPr>
            <w:tcW w:type="dxa" w:w="32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b/>
                <w:bCs/>
                <w:color w:val="16211D"/>
                <w:sz w:val="20"/>
                <w:szCs w:val="20"/>
              </w:rPr>
              <w:t xml:space="preserve">Documenter et renommer</w:t>
            </w:r>
          </w:p>
        </w:tc>
        <w:tc>
          <w:tcPr>
            <w:tcW w:type="dxa" w:w="4238"/>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Les deux axes restent en place, les filtres sont renommés sans ambiguïté et chaque carte porte la mention de ce qu’elle compte.</w:t>
            </w:r>
          </w:p>
        </w:tc>
        <w:tc>
          <w:tcPr>
            <w:tcW w:type="dxa" w:w="22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Le moins invasif · L’écart réapparaîtra à chaque comparaison</w:t>
            </w:r>
          </w:p>
        </w:tc>
      </w:tr>
      <w:tr>
        <w:tc>
          <w:tcPr>
            <w:tcW w:type="dxa" w:w="32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b/>
                <w:bCs/>
                <w:color w:val="16211D"/>
                <w:sz w:val="20"/>
                <w:szCs w:val="20"/>
              </w:rPr>
              <w:t xml:space="preserve">Créer une vue de réconciliation</w:t>
            </w:r>
          </w:p>
        </w:tc>
        <w:tc>
          <w:tcPr>
            <w:tcW w:type="dxa" w:w="4238"/>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Une page dédiée qui affiche la décomposition commun / Suivi seul / Monitoring seul, pour expliquer l’écart à la demande.</w:t>
            </w:r>
          </w:p>
        </w:tc>
        <w:tc>
          <w:tcPr>
            <w:tcW w:type="dxa" w:w="2200"/>
            <w:tcBorders>
              <w:top w:val="single" w:color="D3DCD8" w:sz="4"/>
              <w:left w:val="none" w:color="FFFFFF" w:sz="0"/>
              <w:bottom w:val="single" w:color="D3DCD8" w:sz="4"/>
              <w:right w:val="none" w:color="FFFFFF" w:sz="0"/>
            </w:tcBorders>
            <w:tcMar>
              <w:top w:type="dxa" w:w="90"/>
              <w:left w:type="dxa" w:w="130"/>
              <w:bottom w:type="dxa" w:w="90"/>
              <w:right w:type="dxa" w:w="130"/>
            </w:tcMar>
          </w:tcPr>
          <w:p>
            <w:pPr>
              <w:spacing w:after="0" w:line="252"/>
            </w:pPr>
            <w:r>
              <w:rPr>
                <w:rFonts w:ascii="Calibri" w:cs="Calibri" w:eastAsia="Calibri" w:hAnsi="Calibri"/>
                <w:color w:val="3C4A45"/>
                <w:sz w:val="20"/>
                <w:szCs w:val="20"/>
              </w:rPr>
              <w:t xml:space="preserve">Explique sans rien casser · Une page de plus à maintenir</w:t>
            </w:r>
          </w:p>
        </w:tc>
      </w:tr>
    </w:tbl>
    <w:p>
      <w:pPr>
        <w:pStyle w:val="Heading2"/>
        <w:spacing w:after="120" w:before="280"/>
      </w:pPr>
      <w:r>
        <w:rPr>
          <w:rFonts w:ascii="Calibri" w:cs="Calibri" w:eastAsia="Calibri" w:hAnsi="Calibri"/>
          <w:b/>
          <w:bCs/>
          <w:caps/>
          <w:color w:val="6B7A74"/>
          <w:spacing w:val="20"/>
          <w:sz w:val="19"/>
          <w:szCs w:val="19"/>
        </w:rPr>
        <w:t xml:space="preserve">À trancher également</w:t>
      </w:r>
    </w:p>
    <w:p>
      <w:pPr>
        <w:pStyle w:val="ListParagraph"/>
        <w:numPr>
          <w:ilvl w:val="0"/>
          <w:numId w:val="2"/>
        </w:numPr>
        <w:spacing w:after="100" w:line="276"/>
      </w:pPr>
      <w:r>
        <w:rPr>
          <w:rFonts w:ascii="Calibri" w:cs="Calibri" w:eastAsia="Calibri" w:hAnsi="Calibri"/>
          <w:color w:val="3C4A45"/>
          <w:sz w:val="20"/>
          <w:szCs w:val="20"/>
        </w:rPr>
        <w:t xml:space="preserve">Correction du filtre sur les batches supprimés dans le pipeline Monitoring — indépendante du reste, applicable immédiatement.</w:t>
      </w:r>
    </w:p>
    <w:p>
      <w:pPr>
        <w:pStyle w:val="ListParagraph"/>
        <w:numPr>
          <w:ilvl w:val="0"/>
          <w:numId w:val="2"/>
        </w:numPr>
        <w:spacing w:after="100" w:line="276"/>
      </w:pPr>
      <w:r>
        <w:rPr>
          <w:rFonts w:ascii="Calibri" w:cs="Calibri" w:eastAsia="Calibri" w:hAnsi="Calibri"/>
          <w:color w:val="3C4A45"/>
          <w:sz w:val="20"/>
          <w:szCs w:val="20"/>
        </w:rPr>
        <w:t xml:space="preserve">Harmonisation du périmètre des lignes de production entre les deux rapports.</w:t>
      </w:r>
    </w:p>
    <w:p>
      <w:pPr>
        <w:pBdr>
          <w:top w:val="single" w:color="6B7A74" w:sz="6"/>
        </w:pBdr>
        <w:spacing w:after="160" w:before="420"/>
      </w:pPr>
      <w:r>
        <w:rPr>
          <w:rFonts w:ascii="Calibri" w:cs="Calibri" w:eastAsia="Calibri" w:hAnsi="Calibri"/>
          <w:color w:val="3C4A45"/>
          <w:sz w:val="20"/>
          <w:szCs w:val="20"/>
        </w:rPr>
        <w:t xml:space="preserve"/>
      </w:r>
    </w:p>
    <w:p>
      <w:pPr>
        <w:spacing w:after="100" w:before="0" w:line="276"/>
      </w:pPr>
      <w:r>
        <w:rPr>
          <w:rFonts w:ascii="Calibri" w:cs="Calibri" w:eastAsia="Calibri" w:hAnsi="Calibri"/>
          <w:b/>
          <w:bCs/>
          <w:color w:val="16211D"/>
          <w:sz w:val="18"/>
          <w:szCs w:val="18"/>
        </w:rPr>
        <w:t xml:space="preserve">Méthode  </w:t>
      </w:r>
      <w:r>
        <w:rPr>
          <w:rFonts w:ascii="Calibri" w:cs="Calibri" w:eastAsia="Calibri" w:hAnsi="Calibri"/>
          <w:color w:val="6B7A74"/>
          <w:sz w:val="18"/>
          <w:szCs w:val="18"/>
        </w:rPr>
        <w:t xml:space="preserve">Revue du code des notebooks d’alimentation et des deux modèles sémantiques, puis reconstruction des deux populations au niveau du couple batch × étape et comparaison une à une sur l’entrepôt.</w:t>
      </w:r>
    </w:p>
    <w:p>
      <w:pPr>
        <w:spacing w:after="140" w:before="0" w:line="276"/>
      </w:pPr>
      <w:r>
        <w:rPr>
          <w:rFonts w:ascii="Calibri" w:cs="Calibri" w:eastAsia="Calibri" w:hAnsi="Calibri"/>
          <w:b/>
          <w:bCs/>
          <w:color w:val="16211D"/>
          <w:sz w:val="18"/>
          <w:szCs w:val="18"/>
        </w:rPr>
        <w:t xml:space="preserve">Portée  </w:t>
      </w:r>
      <w:r>
        <w:rPr>
          <w:rFonts w:ascii="Calibri" w:cs="Calibri" w:eastAsia="Calibri" w:hAnsi="Calibri"/>
          <w:color w:val="6B7A74"/>
          <w:sz w:val="18"/>
          <w:szCs w:val="18"/>
        </w:rPr>
        <w:t xml:space="preserve">Les conclusions chiffrées valent pour la fenêtre du 18/07 au 28/08/2026. Les mécanismes décrits, eux, sont structurels et indépendants de la période.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C4A4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d4cf35fa2e52f437e21709f97a5a3fac5b7f3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Écart entre les KPI recommandations</dc:title>
  <dc:creator>Analyse BI</dc:creator>
  <dc:description>Analyse technico-fonctionnelle</dc:description>
  <cp:lastModifiedBy>Un-named</cp:lastModifiedBy>
  <cp:revision>1</cp:revision>
  <dcterms:created xsi:type="dcterms:W3CDTF">2026-09-15T15:29:41.472Z</dcterms:created>
  <dcterms:modified xsi:type="dcterms:W3CDTF">2026-09-15T15:29:41.472Z</dcterms:modified>
</cp:coreProperties>
</file>

<file path=docProps/custom.xml><?xml version="1.0" encoding="utf-8"?>
<Properties xmlns="http://schemas.openxmlformats.org/officeDocument/2006/custom-properties" xmlns:vt="http://schemas.openxmlformats.org/officeDocument/2006/docPropsVTypes"/>
</file>