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rFonts w:ascii="Arial" w:cs="Arial" w:eastAsia="Arial" w:hAnsi="Arial"/>
          <w:b/>
          <w:bCs/>
          <w:color w:val="6B7A74"/>
          <w:spacing w:val="24"/>
          <w:sz w:val="16"/>
          <w:szCs w:val="16"/>
        </w:rPr>
        <w:t xml:space="preserve">SUPPORT D’ATELIER  ·  VERSION MÉTIER</w:t>
      </w:r>
    </w:p>
    <w:p>
      <w:pPr>
        <w:spacing w:after="140"/>
      </w:pPr>
      <w:r>
        <w:rPr>
          <w:rFonts w:ascii="Georgia" w:cs="Georgia" w:eastAsia="Georgia" w:hAnsi="Georgia"/>
          <w:b/>
          <w:bCs/>
          <w:color w:val="16211D"/>
          <w:sz w:val="46"/>
          <w:szCs w:val="46"/>
        </w:rPr>
        <w:t xml:space="preserve">Règles de gestion du Dashboard monitoring</w:t>
      </w:r>
    </w:p>
    <w:p>
      <w:pPr>
        <w:spacing w:after="260" w:before="0" w:line="264"/>
      </w:pPr>
      <w:r>
        <w:rPr>
          <w:rFonts w:ascii="Georgia" w:cs="Georgia" w:eastAsia="Georgia" w:hAnsi="Georgia"/>
          <w:color w:val="3C4A45"/>
          <w:sz w:val="22"/>
          <w:szCs w:val="22"/>
        </w:rPr>
        <w:t xml:space="preserve">Recensement des règles et des filtres appliqués au rapport « Dashboard monitoring des recommandations », à passer en revue avec le métier pour décider de ce qui est conservé.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3DCD8" w:sz="4"/>
              <w:left w:val="single" w:color="D3DCD8" w:sz="4"/>
              <w:bottom w:val="single" w:color="D3DCD8" w:sz="4"/>
              <w:right w:val="single" w:color="D3DCD8" w:sz="4"/>
            </w:tcBorders>
            <w:shd w:fill="1F3A33" w:color="auto" w:val="clear"/>
            <w:tcMar>
              <w:top w:type="dxa" w:w="80"/>
              <w:left w:type="dxa" w:w="120"/>
              <w:bottom w:type="dxa" w:w="80"/>
              <w:right w:type="dxa" w:w="120"/>
            </w:tcMar>
          </w:tcPr>
          <w:p>
            <w:pPr>
              <w:spacing w:after="0" w:line="252"/>
            </w:pPr>
            <w:r>
              <w:rPr>
                <w:rFonts w:ascii="Arial" w:cs="Arial" w:eastAsia="Arial" w:hAnsi="Arial"/>
                <w:b/>
                <w:bCs/>
                <w:caps/>
                <w:color w:val="FFFFFF"/>
                <w:spacing w:val="14"/>
                <w:sz w:val="15"/>
                <w:szCs w:val="15"/>
              </w:rPr>
              <w:t xml:space="preserve">Rubrique</w:t>
            </w:r>
          </w:p>
        </w:tc>
        <w:tc>
          <w:tcPr>
            <w:tcW w:type="dxa" w:w="7238"/>
            <w:tcBorders>
              <w:top w:val="single" w:color="D3DCD8" w:sz="4"/>
              <w:left w:val="single" w:color="D3DCD8" w:sz="4"/>
              <w:bottom w:val="single" w:color="D3DCD8" w:sz="4"/>
              <w:right w:val="single" w:color="D3DCD8" w:sz="4"/>
            </w:tcBorders>
            <w:shd w:fill="1F3A33" w:color="auto" w:val="clear"/>
            <w:tcMar>
              <w:top w:type="dxa" w:w="80"/>
              <w:left w:type="dxa" w:w="120"/>
              <w:bottom w:type="dxa" w:w="80"/>
              <w:right w:type="dxa" w:w="120"/>
            </w:tcMar>
          </w:tcPr>
          <w:p>
            <w:pPr>
              <w:spacing w:after="0" w:line="252"/>
            </w:pPr>
            <w:r>
              <w:rPr>
                <w:rFonts w:ascii="Arial" w:cs="Arial" w:eastAsia="Arial" w:hAnsi="Arial"/>
                <w:b/>
                <w:bCs/>
                <w:caps/>
                <w:color w:val="FFFFFF"/>
                <w:spacing w:val="14"/>
                <w:sz w:val="15"/>
                <w:szCs w:val="15"/>
              </w:rPr>
              <w:t xml:space="preserve">Contenu</w:t>
            </w:r>
          </w:p>
        </w:tc>
      </w:tr>
      <w:tr>
        <w:tc>
          <w:tcPr>
            <w:tcW w:type="dxa" w:w="2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Objet</w:t>
            </w:r>
          </w:p>
        </w:tc>
        <w:tc>
          <w:tcPr>
            <w:tcW w:type="dxa" w:w="72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Décider, règle par règle, ce que le métier souhaite garder, modifier ou supprimer.</w:t>
            </w:r>
          </w:p>
        </w:tc>
      </w:tr>
      <w:tr>
        <w:tc>
          <w:tcPr>
            <w:tcW w:type="dxa" w:w="2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Comment lire</w:t>
            </w:r>
          </w:p>
        </w:tc>
        <w:tc>
          <w:tcPr>
            <w:tcW w:type="dxa" w:w="72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Chaque règle porte un identifiant (A1, B2, C3…) qui sert de référence pendant la séance. Les sections finales détaillent les alertes, les écrans et les points qui demandent un arbitrage.</w:t>
            </w:r>
          </w:p>
        </w:tc>
      </w:tr>
      <w:tr>
        <w:tc>
          <w:tcPr>
            <w:tcW w:type="dxa" w:w="2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À compléter</w:t>
            </w:r>
          </w:p>
        </w:tc>
        <w:tc>
          <w:tcPr>
            <w:tcW w:type="dxa" w:w="72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Uniquement les cases « Décision » et « Commentaire », sur fond jaune. Valeurs attendues : Garder · Modifier · Supprimer · À approfondir.</w:t>
            </w:r>
          </w:p>
        </w:tc>
      </w:tr>
      <w:tr>
        <w:tc>
          <w:tcPr>
            <w:tcW w:type="dxa" w:w="2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Portée</w:t>
            </w:r>
          </w:p>
        </w:tc>
        <w:tc>
          <w:tcPr>
            <w:tcW w:type="dxa" w:w="72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Seul le Dashboard monitoring des recommandations est couvert, et uniquement ses 6 écrans visibles par les utilisateurs. Les onglets masqués sont hors périmètre. Le rapport Suivi des recommandations n’est pas couvert.</w:t>
            </w:r>
          </w:p>
        </w:tc>
      </w:tr>
      <w:tr>
        <w:tc>
          <w:tcPr>
            <w:tcW w:type="dxa" w:w="2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Numérotation</w:t>
            </w:r>
          </w:p>
        </w:tc>
        <w:tc>
          <w:tcPr>
            <w:tcW w:type="dxa" w:w="72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Les règles A7, B6, E2, E3 et E4 ont été retirées du périmètre. Les identifiants des règles conservées restent inchangés, d’où les sauts dans la numérotation.</w:t>
            </w:r>
          </w:p>
        </w:tc>
      </w:tr>
      <w:tr>
        <w:tc>
          <w:tcPr>
            <w:tcW w:type="dxa" w:w="2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Version</w:t>
            </w:r>
          </w:p>
        </w:tc>
        <w:tc>
          <w:tcPr>
            <w:tcW w:type="dxa" w:w="72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VERSION MÉTIER — les détails d’implémentation ont été retirés. Une version technique est disponible auprès de l’équipe BI.</w:t>
            </w:r>
          </w:p>
        </w:tc>
      </w:tr>
    </w:tbl>
    <w:p>
      <w:pPr>
        <w:spacing w:after="240"/>
      </w:pPr>
      <w:r>
        <w:rPr>
          <w:rFonts w:ascii="Arial" w:cs="Arial" w:eastAsia="Arial" w:hAnsi="Arial"/>
          <w:color w:val="3C4A45"/>
          <w:sz w:val="19"/>
          <w:szCs w:val="19"/>
        </w:rPr>
        <w:t xml:space="preserve"/>
      </w:r>
    </w:p>
    <w:p>
      <w:pPr>
        <w:spacing w:after="100" w:before="0" w:line="264"/>
      </w:pPr>
      <w:r>
        <w:rPr>
          <w:rFonts w:ascii="Arial" w:cs="Arial" w:eastAsia="Arial" w:hAnsi="Arial"/>
          <w:b/>
          <w:bCs/>
          <w:caps/>
          <w:color w:val="8A5D0B"/>
          <w:spacing w:val="14"/>
          <w:sz w:val="17"/>
          <w:szCs w:val="17"/>
        </w:rPr>
        <w:t xml:space="preserve">Exemple de case remplie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tblHeader/>
        </w:trPr>
        <w:tc>
          <w:tcPr>
            <w:tcW w:type="dxa" w:w="2100"/>
            <w:tcBorders>
              <w:top w:val="single" w:color="D3DCD8" w:sz="4"/>
              <w:left w:val="single" w:color="D3DCD8" w:sz="4"/>
              <w:bottom w:val="single" w:color="D3DCD8" w:sz="4"/>
              <w:right w:val="single" w:color="D3DCD8" w:sz="4"/>
            </w:tcBorders>
            <w:shd w:fill="1F3A33" w:color="auto" w:val="clear"/>
            <w:tcMar>
              <w:top w:type="dxa" w:w="80"/>
              <w:left w:type="dxa" w:w="120"/>
              <w:bottom w:type="dxa" w:w="80"/>
              <w:right w:type="dxa" w:w="120"/>
            </w:tcMar>
          </w:tcPr>
          <w:p>
            <w:pPr>
              <w:spacing w:after="0" w:line="252"/>
            </w:pPr>
            <w:r>
              <w:rPr>
                <w:rFonts w:ascii="Arial" w:cs="Arial" w:eastAsia="Arial" w:hAnsi="Arial"/>
                <w:b/>
                <w:bCs/>
                <w:caps/>
                <w:color w:val="FFFFFF"/>
                <w:spacing w:val="14"/>
                <w:sz w:val="15"/>
                <w:szCs w:val="15"/>
              </w:rPr>
              <w:t xml:space="preserve">Champ</w:t>
            </w:r>
          </w:p>
        </w:tc>
        <w:tc>
          <w:tcPr>
            <w:tcW w:type="dxa" w:w="7538"/>
            <w:tcBorders>
              <w:top w:val="single" w:color="D3DCD8" w:sz="4"/>
              <w:left w:val="single" w:color="D3DCD8" w:sz="4"/>
              <w:bottom w:val="single" w:color="D3DCD8" w:sz="4"/>
              <w:right w:val="single" w:color="D3DCD8" w:sz="4"/>
            </w:tcBorders>
            <w:shd w:fill="1F3A33" w:color="auto" w:val="clear"/>
            <w:tcMar>
              <w:top w:type="dxa" w:w="80"/>
              <w:left w:type="dxa" w:w="120"/>
              <w:bottom w:type="dxa" w:w="80"/>
              <w:right w:type="dxa" w:w="120"/>
            </w:tcMar>
          </w:tcPr>
          <w:p>
            <w:pPr>
              <w:spacing w:after="0" w:line="252"/>
            </w:pPr>
            <w:r>
              <w:rPr>
                <w:rFonts w:ascii="Arial" w:cs="Arial" w:eastAsia="Arial" w:hAnsi="Arial"/>
                <w:b/>
                <w:bCs/>
                <w:caps/>
                <w:color w:val="FFFFFF"/>
                <w:spacing w:val="14"/>
                <w:sz w:val="15"/>
                <w:szCs w:val="15"/>
              </w:rPr>
              <w:t xml:space="preserve">Valeur</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Modifier</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Un batch annulé ne doit pas compter en échec. Porté par L. Martin, échéance fin octobre.</w:t>
            </w:r>
          </w:p>
        </w:tc>
      </w:tr>
    </w:tbl>
    <w:p>
      <w:pPr>
        <w:pStyle w:val="Heading1"/>
        <w:spacing w:after="60" w:before="480"/>
      </w:pPr>
      <w:r>
        <w:rPr>
          <w:rFonts w:ascii="Georgia" w:cs="Georgia" w:eastAsia="Georgia" w:hAnsi="Georgia"/>
          <w:b/>
          <w:bCs/>
          <w:color w:val="8A5D0B"/>
          <w:sz w:val="30"/>
          <w:szCs w:val="30"/>
        </w:rPr>
        <w:t xml:space="preserve">A. </w:t>
      </w:r>
      <w:r>
        <w:rPr>
          <w:rFonts w:ascii="Georgia" w:cs="Georgia" w:eastAsia="Georgia" w:hAnsi="Georgia"/>
          <w:b/>
          <w:bCs/>
          <w:color w:val="16211D"/>
          <w:sz w:val="30"/>
          <w:szCs w:val="30"/>
        </w:rPr>
        <w:t xml:space="preserve">Périmètre</w:t>
      </w:r>
    </w:p>
    <w:p>
      <w:pPr>
        <w:spacing w:after="220" w:before="0" w:line="264"/>
      </w:pPr>
      <w:r>
        <w:rPr>
          <w:rFonts w:ascii="Arial" w:cs="Arial" w:eastAsia="Arial" w:hAnsi="Arial"/>
          <w:i/>
          <w:iCs/>
          <w:color w:val="6B7A74"/>
          <w:sz w:val="19"/>
          <w:szCs w:val="19"/>
        </w:rPr>
        <w:t xml:space="preserve">Ce qui entre — ou non — dans le dashboard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A1   </w:t>
            </w:r>
            <w:r>
              <w:rPr>
                <w:rFonts w:ascii="Arial" w:cs="Arial" w:eastAsia="Arial" w:hAnsi="Arial"/>
                <w:b/>
                <w:bCs/>
                <w:color w:val="16211D"/>
                <w:sz w:val="21"/>
                <w:szCs w:val="21"/>
              </w:rPr>
              <w:t xml:space="preserve">Seuls 8 sites sont suivis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Le dashboard ne couvre que ROUEN1, NOGENT1, NOGENT2, POLISY1, PROUVY1, STRASBOURG2, BUZAU1 et BOLELEMI1. Un site absent de cette liste n'apparaît nulle part, même si des recommandations y sont produites.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Ajouter un site demande 5 modifications de code coordonnées.</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A2   </w:t>
            </w:r>
            <w:r>
              <w:rPr>
                <w:rFonts w:ascii="Arial" w:cs="Arial" w:eastAsia="Arial" w:hAnsi="Arial"/>
                <w:b/>
                <w:bCs/>
                <w:color w:val="16211D"/>
                <w:sz w:val="21"/>
                <w:szCs w:val="21"/>
              </w:rPr>
              <w:t xml:space="preserve">Seules les étapes où une recommandation est attendue sont suivies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Pour chaque ligne de production, un référentiel indique les étapes du process sur lesquelles on attend une recommandation. Les autres sont ignorées : ni succès, ni échec.</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A3   </w:t>
            </w:r>
            <w:r>
              <w:rPr>
                <w:rFonts w:ascii="Arial" w:cs="Arial" w:eastAsia="Arial" w:hAnsi="Arial"/>
                <w:b/>
                <w:bCs/>
                <w:color w:val="16211D"/>
                <w:sz w:val="21"/>
                <w:szCs w:val="21"/>
              </w:rPr>
              <w:t xml:space="preserve">La référence est le programme de production, pas les recommandations produites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Le dashboard part de ce qui était prévu, puis vérifie si la recommandation existe. C'est ce qui lui permet de compter des échecs — un rapport qui partirait des recommandations existantes n'en verrait aucun.</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A4   </w:t>
            </w:r>
            <w:r>
              <w:rPr>
                <w:rFonts w:ascii="Arial" w:cs="Arial" w:eastAsia="Arial" w:hAnsi="Arial"/>
                <w:b/>
                <w:bCs/>
                <w:color w:val="16211D"/>
                <w:sz w:val="21"/>
                <w:szCs w:val="21"/>
              </w:rPr>
              <w:t xml:space="preserve">L'historique est tronqué à deux dates différentes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Le programme de production n'est pris en compte qu'à partir du 23/09/2024, et les journaux du moteur qu'à partir du 01/10/2024. Rien d'antérieur n'est visible.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Deux seuils différents, écart d'une semaine, sans justification documentée.</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A5   </w:t>
            </w:r>
            <w:r>
              <w:rPr>
                <w:rFonts w:ascii="Arial" w:cs="Arial" w:eastAsia="Arial" w:hAnsi="Arial"/>
                <w:b/>
                <w:bCs/>
                <w:color w:val="16211D"/>
                <w:sz w:val="21"/>
                <w:szCs w:val="21"/>
              </w:rPr>
              <w:t xml:space="preserve">Les recommandations supprimées sont écartées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Une recommandation supprimée dans l'applicatif n'est pas comptée.</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A6   </w:t>
            </w:r>
            <w:r>
              <w:rPr>
                <w:rFonts w:ascii="Arial" w:cs="Arial" w:eastAsia="Arial" w:hAnsi="Arial"/>
                <w:b/>
                <w:bCs/>
                <w:color w:val="16211D"/>
                <w:sz w:val="21"/>
                <w:szCs w:val="21"/>
              </w:rPr>
              <w:t xml:space="preserve">Les batches et lignes de programme supprimés NE sont PAS écartés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Quand un batch ou une étape planifiée est annulé, le dashboard continue de considérer que la recommandation était attendue. Comme elle n'a évidemment pas été produite, elle est comptée en échec.</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8A5D0B"/>
                <w:sz w:val="19"/>
                <w:szCs w:val="19"/>
              </w:rPr>
              <w:t xml:space="preserve">MESURÉ : 56 faux échecs sur la période analysée. Taux de réussite affiché 64,9 % au lieu de 66,4 %.</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p>
      <w:pPr>
        <w:pStyle w:val="Heading1"/>
        <w:spacing w:after="60" w:before="480"/>
      </w:pPr>
      <w:r>
        <w:rPr>
          <w:rFonts w:ascii="Georgia" w:cs="Georgia" w:eastAsia="Georgia" w:hAnsi="Georgia"/>
          <w:b/>
          <w:bCs/>
          <w:color w:val="8A5D0B"/>
          <w:sz w:val="30"/>
          <w:szCs w:val="30"/>
        </w:rPr>
        <w:t xml:space="preserve">B. </w:t>
      </w:r>
      <w:r>
        <w:rPr>
          <w:rFonts w:ascii="Georgia" w:cs="Georgia" w:eastAsia="Georgia" w:hAnsi="Georgia"/>
          <w:b/>
          <w:bCs/>
          <w:color w:val="16211D"/>
          <w:sz w:val="30"/>
          <w:szCs w:val="30"/>
        </w:rPr>
        <w:t xml:space="preserve">Règles de comptage</w:t>
      </w:r>
    </w:p>
    <w:p>
      <w:pPr>
        <w:spacing w:after="220" w:before="0" w:line="264"/>
      </w:pPr>
      <w:r>
        <w:rPr>
          <w:rFonts w:ascii="Arial" w:cs="Arial" w:eastAsia="Arial" w:hAnsi="Arial"/>
          <w:i/>
          <w:iCs/>
          <w:color w:val="6B7A74"/>
          <w:sz w:val="19"/>
          <w:szCs w:val="19"/>
        </w:rPr>
        <w:t xml:space="preserve">Comment un succès et un échec sont déterminés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B1   </w:t>
            </w:r>
            <w:r>
              <w:rPr>
                <w:rFonts w:ascii="Arial" w:cs="Arial" w:eastAsia="Arial" w:hAnsi="Arial"/>
                <w:b/>
                <w:bCs/>
                <w:color w:val="16211D"/>
                <w:sz w:val="21"/>
                <w:szCs w:val="21"/>
              </w:rPr>
              <w:t xml:space="preserve">Le détail descend jusqu'à la mesure manquante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Une ligne du dashboard correspond à un batch, une étape, et une mesure manquante. C'est ce qui permet de dire quelle mesure a fait échouer la recommandation.</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B2   </w:t>
            </w:r>
            <w:r>
              <w:rPr>
                <w:rFonts w:ascii="Arial" w:cs="Arial" w:eastAsia="Arial" w:hAnsi="Arial"/>
                <w:b/>
                <w:bCs/>
                <w:color w:val="16211D"/>
                <w:sz w:val="21"/>
                <w:szCs w:val="21"/>
              </w:rPr>
              <w:t xml:space="preserve">Succès = la recommandation existe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Une recommandation attendue est comptée en succès dès lors qu'elle a bien été créée dans l'applicatif.</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Le succès ne juge pas la qualité ni l'acceptation de la recommandation, seulement sa production.</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B3   </w:t>
            </w:r>
            <w:r>
              <w:rPr>
                <w:rFonts w:ascii="Arial" w:cs="Arial" w:eastAsia="Arial" w:hAnsi="Arial"/>
                <w:b/>
                <w:bCs/>
                <w:color w:val="16211D"/>
                <w:sz w:val="21"/>
                <w:szCs w:val="21"/>
              </w:rPr>
              <w:t xml:space="preserve">Échec = la recommandation attendue est absente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Si aucune recommandation n'a été créée alors qu'elle était prévue, c'est un échec.</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B4   </w:t>
            </w:r>
            <w:r>
              <w:rPr>
                <w:rFonts w:ascii="Arial" w:cs="Arial" w:eastAsia="Arial" w:hAnsi="Arial"/>
                <w:b/>
                <w:bCs/>
                <w:color w:val="16211D"/>
                <w:sz w:val="21"/>
                <w:szCs w:val="21"/>
              </w:rPr>
              <w:t xml:space="preserve">Rien n'est compté avant l'échéance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Tant que l'heure à laquelle la recommandation devait être produite n'est pas passée, elle n'est ni en succès ni en échec. Elle n'apparaît dans aucun des deux compteurs.</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B5   </w:t>
            </w:r>
            <w:r>
              <w:rPr>
                <w:rFonts w:ascii="Arial" w:cs="Arial" w:eastAsia="Arial" w:hAnsi="Arial"/>
                <w:b/>
                <w:bCs/>
                <w:color w:val="16211D"/>
                <w:sz w:val="21"/>
                <w:szCs w:val="21"/>
              </w:rPr>
              <w:t xml:space="preserve">Si plusieurs recommandations, seule la plus récente compte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Quand le moteur a produit plusieurs recommandations pour la même étape d'un même batch, seule la dernière est retenue.</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B7   </w:t>
            </w:r>
            <w:r>
              <w:rPr>
                <w:rFonts w:ascii="Arial" w:cs="Arial" w:eastAsia="Arial" w:hAnsi="Arial"/>
                <w:b/>
                <w:bCs/>
                <w:color w:val="16211D"/>
                <w:sz w:val="21"/>
                <w:szCs w:val="21"/>
              </w:rPr>
              <w:t xml:space="preserve">Les lignes sans mesure manquante sont effacées si une vraie manque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Quand une étape présente à la fois des lignes sans mesure manquante et des lignes avec, les premières sont supprimées pour ne pas polluer le détail.</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B8   </w:t>
            </w:r>
            <w:r>
              <w:rPr>
                <w:rFonts w:ascii="Arial" w:cs="Arial" w:eastAsia="Arial" w:hAnsi="Arial"/>
                <w:b/>
                <w:bCs/>
                <w:color w:val="16211D"/>
                <w:sz w:val="21"/>
                <w:szCs w:val="21"/>
              </w:rPr>
              <w:t xml:space="preserve">Seule la dernière tentative du moteur est retenue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Le moteur peut tenter plusieurs fois de produire une recommandation. Seule la dernière tentative est prise en compte.</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p>
      <w:pPr>
        <w:pStyle w:val="Heading1"/>
        <w:spacing w:after="60" w:before="480"/>
      </w:pPr>
      <w:r>
        <w:rPr>
          <w:rFonts w:ascii="Georgia" w:cs="Georgia" w:eastAsia="Georgia" w:hAnsi="Georgia"/>
          <w:b/>
          <w:bCs/>
          <w:color w:val="8A5D0B"/>
          <w:sz w:val="30"/>
          <w:szCs w:val="30"/>
        </w:rPr>
        <w:t xml:space="preserve">C. </w:t>
      </w:r>
      <w:r>
        <w:rPr>
          <w:rFonts w:ascii="Georgia" w:cs="Georgia" w:eastAsia="Georgia" w:hAnsi="Georgia"/>
          <w:b/>
          <w:bCs/>
          <w:color w:val="16211D"/>
          <w:sz w:val="30"/>
          <w:szCs w:val="30"/>
        </w:rPr>
        <w:t xml:space="preserve">Qualification des échecs</w:t>
      </w:r>
    </w:p>
    <w:p>
      <w:pPr>
        <w:spacing w:after="220" w:before="0" w:line="264"/>
      </w:pPr>
      <w:r>
        <w:rPr>
          <w:rFonts w:ascii="Arial" w:cs="Arial" w:eastAsia="Arial" w:hAnsi="Arial"/>
          <w:i/>
          <w:iCs/>
          <w:color w:val="6B7A74"/>
          <w:sz w:val="19"/>
          <w:szCs w:val="19"/>
        </w:rPr>
        <w:t xml:space="preserve">Comment la cause d’un échec est attribuée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C1   </w:t>
            </w:r>
            <w:r>
              <w:rPr>
                <w:rFonts w:ascii="Arial" w:cs="Arial" w:eastAsia="Arial" w:hAnsi="Arial"/>
                <w:b/>
                <w:bCs/>
                <w:color w:val="16211D"/>
                <w:sz w:val="21"/>
                <w:szCs w:val="21"/>
              </w:rPr>
              <w:t xml:space="preserve">Quatre types d'échec, avec deux définitions divergentes de l'erreur de process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Chaque échec est qualifié : valeurs automatiques manquantes, valeurs manuelles manquantes, les deux, ou erreur de process. Attention : la carte « Failures caused by process errors » et le sélecteur « type d'échec » n'appliquent pas la même définition de l'erreur de process.</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C2   </w:t>
            </w:r>
            <w:r>
              <w:rPr>
                <w:rFonts w:ascii="Arial" w:cs="Arial" w:eastAsia="Arial" w:hAnsi="Arial"/>
                <w:b/>
                <w:bCs/>
                <w:color w:val="16211D"/>
                <w:sz w:val="21"/>
                <w:szCs w:val="21"/>
              </w:rPr>
              <w:t xml:space="preserve">Onze codes d'alerte expliquent chaque échec</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Chaque échec reçoit un code d'alerte qui en donne la cause probable. Le détail des 11 codes figure dans la section dédiée.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L'ordre des conditions compte : le premier cas satisfait l'emporte.</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C3   </w:t>
            </w:r>
            <w:r>
              <w:rPr>
                <w:rFonts w:ascii="Arial" w:cs="Arial" w:eastAsia="Arial" w:hAnsi="Arial"/>
                <w:b/>
                <w:bCs/>
                <w:color w:val="16211D"/>
                <w:sz w:val="21"/>
                <w:szCs w:val="21"/>
              </w:rPr>
              <w:t xml:space="preserve">Trois seuils de temps déterminent la cause de l'échec</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Trois durées paramétrées en dur décident du code d'alerte : un chevauchement de moins de 60 minutes entre deux étapes consécutives, une saisie manuelle dans les 30 minutes avant l'échéance, un batch créé moins de 60 minutes avant l'échéance.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8A5D0B"/>
                <w:sz w:val="19"/>
                <w:szCs w:val="19"/>
              </w:rPr>
              <w:t xml:space="preserve">À VALIDER : ces seuils déterminent directement la répartition entre les 11 alertes.</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C4   </w:t>
            </w:r>
            <w:r>
              <w:rPr>
                <w:rFonts w:ascii="Arial" w:cs="Arial" w:eastAsia="Arial" w:hAnsi="Arial"/>
                <w:b/>
                <w:bCs/>
                <w:color w:val="16211D"/>
                <w:sz w:val="21"/>
                <w:szCs w:val="21"/>
              </w:rPr>
              <w:t xml:space="preserve">Chaque alerte est classée MS ou IDF</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Les alertes sont réparties en deux familles pour orienter vers l'équipe concernée.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Répartition actuelle : 4 alertes MS (codes 1, 7, 10, 11), 7 alertes IDF.</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p>
      <w:pPr>
        <w:pStyle w:val="Heading1"/>
        <w:spacing w:after="60" w:before="480"/>
      </w:pPr>
      <w:r>
        <w:rPr>
          <w:rFonts w:ascii="Georgia" w:cs="Georgia" w:eastAsia="Georgia" w:hAnsi="Georgia"/>
          <w:b/>
          <w:bCs/>
          <w:color w:val="8A5D0B"/>
          <w:sz w:val="30"/>
          <w:szCs w:val="30"/>
        </w:rPr>
        <w:t xml:space="preserve">D. </w:t>
      </w:r>
      <w:r>
        <w:rPr>
          <w:rFonts w:ascii="Georgia" w:cs="Georgia" w:eastAsia="Georgia" w:hAnsi="Georgia"/>
          <w:b/>
          <w:bCs/>
          <w:color w:val="16211D"/>
          <w:sz w:val="30"/>
          <w:szCs w:val="30"/>
        </w:rPr>
        <w:t xml:space="preserve">Axe temporel</w:t>
      </w:r>
    </w:p>
    <w:p>
      <w:pPr>
        <w:spacing w:after="220" w:before="0" w:line="264"/>
      </w:pPr>
      <w:r>
        <w:rPr>
          <w:rFonts w:ascii="Arial" w:cs="Arial" w:eastAsia="Arial" w:hAnsi="Arial"/>
          <w:i/>
          <w:iCs/>
          <w:color w:val="6B7A74"/>
          <w:sz w:val="19"/>
          <w:szCs w:val="19"/>
        </w:rPr>
        <w:t xml:space="preserve">Sur quelle date le rapport filtre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D1   </w:t>
            </w:r>
            <w:r>
              <w:rPr>
                <w:rFonts w:ascii="Arial" w:cs="Arial" w:eastAsia="Arial" w:hAnsi="Arial"/>
                <w:b/>
                <w:bCs/>
                <w:color w:val="16211D"/>
                <w:sz w:val="21"/>
                <w:szCs w:val="21"/>
              </w:rPr>
              <w:t xml:space="preserve">Le filtre de date porte sur l'échéance, pas sur la création</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Quand on filtre sur une période, on sélectionne les recommandations dont l'ÉCHÉANCE tombe dans la période — pas celles qui ont été créées dans la période. C'est cohérent pour de la supervision, puisqu'un échec n'a pas de date de création.</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La date de création de la recommandation est également affichée dans le détail, mais elle ne sert à aucun filtre.</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D2   </w:t>
            </w:r>
            <w:r>
              <w:rPr>
                <w:rFonts w:ascii="Arial" w:cs="Arial" w:eastAsia="Arial" w:hAnsi="Arial"/>
                <w:b/>
                <w:bCs/>
                <w:color w:val="16211D"/>
                <w:sz w:val="21"/>
                <w:szCs w:val="21"/>
              </w:rPr>
              <w:t xml:space="preserve">L'échéance a une source de secours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L'heure d'échéance vient des journaux du moteur. Si le moteur n'a rien journalisé pour cette étape, c'est l'heure du programme de production qui est utilisée.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Ce mécanisme de secours est volontaire.</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D3   </w:t>
            </w:r>
            <w:r>
              <w:rPr>
                <w:rFonts w:ascii="Arial" w:cs="Arial" w:eastAsia="Arial" w:hAnsi="Arial"/>
                <w:b/>
                <w:bCs/>
                <w:color w:val="16211D"/>
                <w:sz w:val="21"/>
                <w:szCs w:val="21"/>
              </w:rPr>
              <w:t xml:space="preserve">Le calendrier s'arrête à aujourd'hui et démarre au 01/01/2025</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Il est impossible de filtrer avant le 1er janvier 2025 ou après la date du jour, même si des données existent en dehors.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Le rapport Suivi démarre, lui, au 01/01/2024.</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p>
      <w:pPr>
        <w:pStyle w:val="Heading1"/>
        <w:spacing w:after="60" w:before="480"/>
      </w:pPr>
      <w:r>
        <w:rPr>
          <w:rFonts w:ascii="Georgia" w:cs="Georgia" w:eastAsia="Georgia" w:hAnsi="Georgia"/>
          <w:b/>
          <w:bCs/>
          <w:color w:val="8A5D0B"/>
          <w:sz w:val="30"/>
          <w:szCs w:val="30"/>
        </w:rPr>
        <w:t xml:space="preserve">E. </w:t>
      </w:r>
      <w:r>
        <w:rPr>
          <w:rFonts w:ascii="Georgia" w:cs="Georgia" w:eastAsia="Georgia" w:hAnsi="Georgia"/>
          <w:b/>
          <w:bCs/>
          <w:color w:val="16211D"/>
          <w:sz w:val="30"/>
          <w:szCs w:val="30"/>
        </w:rPr>
        <w:t xml:space="preserve">Restitution</w:t>
      </w:r>
    </w:p>
    <w:p>
      <w:pPr>
        <w:spacing w:after="220" w:before="0" w:line="264"/>
      </w:pPr>
      <w:r>
        <w:rPr>
          <w:rFonts w:ascii="Arial" w:cs="Arial" w:eastAsia="Arial" w:hAnsi="Arial"/>
          <w:i/>
          <w:iCs/>
          <w:color w:val="6B7A74"/>
          <w:sz w:val="19"/>
          <w:szCs w:val="19"/>
        </w:rPr>
        <w:t xml:space="preserve">Ce que l’utilisateur voit et peut filtrer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E1   </w:t>
            </w:r>
            <w:r>
              <w:rPr>
                <w:rFonts w:ascii="Arial" w:cs="Arial" w:eastAsia="Arial" w:hAnsi="Arial"/>
                <w:b/>
                <w:bCs/>
                <w:color w:val="16211D"/>
                <w:sz w:val="21"/>
                <w:szCs w:val="21"/>
              </w:rPr>
              <w:t xml:space="preserve">Les filtres disponibles varient d'une page à l'autre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Le filtre site est présent sur les 6 écrans. Le filtre de date sur 5 d'entre eux : la page Overview n'en propose aucun et affiche donc l'intégralité de l'historique chargé. Les autres filtres varient selon l'écran.</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À valider en atelier : cette hétérogénéité est-elle voulue ?</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p>
      <w:pPr>
        <w:pStyle w:val="Heading2"/>
        <w:spacing w:after="160" w:before="420"/>
      </w:pPr>
      <w:r>
        <w:rPr>
          <w:rFonts w:ascii="Georgia" w:cs="Georgia" w:eastAsia="Georgia" w:hAnsi="Georgia"/>
          <w:b/>
          <w:bCs/>
          <w:color w:val="16211D"/>
          <w:sz w:val="26"/>
          <w:szCs w:val="26"/>
        </w:rPr>
        <w:t xml:space="preserve">Catalogue des alertes</w:t>
      </w:r>
    </w:p>
    <w:p>
      <w:pPr>
        <w:spacing w:after="180" w:before="0" w:line="264"/>
      </w:pPr>
      <w:r>
        <w:rPr>
          <w:rFonts w:ascii="Arial" w:cs="Arial" w:eastAsia="Arial" w:hAnsi="Arial"/>
          <w:color w:val="3C4A45"/>
          <w:sz w:val="19"/>
          <w:szCs w:val="19"/>
        </w:rPr>
        <w:t xml:space="preserve">Chaque échec reçoit un code d’alerte qui en donne la cause probable. L’ordre des conditions compte : le premier cas satisfait l’emporte.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900"/>
        <w:gridCol w:w="2400"/>
        <w:gridCol w:w="5638"/>
      </w:tblGrid>
      <w:tr>
        <w:trPr>
          <w:tblHeader/>
        </w:trPr>
        <w:tc>
          <w:tcPr>
            <w:tcW w:type="dxa" w:w="700"/>
            <w:tcBorders>
              <w:top w:val="single" w:color="D3DCD8" w:sz="4"/>
              <w:left w:val="single" w:color="D3DCD8" w:sz="4"/>
              <w:bottom w:val="single" w:color="D3DCD8" w:sz="4"/>
              <w:right w:val="single" w:color="D3DCD8" w:sz="4"/>
            </w:tcBorders>
            <w:shd w:fill="1F3A33" w:color="auto" w:val="clear"/>
            <w:tcMar>
              <w:top w:type="dxa" w:w="80"/>
              <w:left w:type="dxa" w:w="120"/>
              <w:bottom w:type="dxa" w:w="80"/>
              <w:right w:type="dxa" w:w="120"/>
            </w:tcMar>
          </w:tcPr>
          <w:p>
            <w:pPr>
              <w:spacing w:after="0" w:line="252"/>
            </w:pPr>
            <w:r>
              <w:rPr>
                <w:rFonts w:ascii="Arial" w:cs="Arial" w:eastAsia="Arial" w:hAnsi="Arial"/>
                <w:b/>
                <w:bCs/>
                <w:caps/>
                <w:color w:val="FFFFFF"/>
                <w:spacing w:val="14"/>
                <w:sz w:val="15"/>
                <w:szCs w:val="15"/>
              </w:rPr>
              <w:t xml:space="preserve">Code</w:t>
            </w:r>
          </w:p>
        </w:tc>
        <w:tc>
          <w:tcPr>
            <w:tcW w:type="dxa" w:w="900"/>
            <w:tcBorders>
              <w:top w:val="single" w:color="D3DCD8" w:sz="4"/>
              <w:left w:val="single" w:color="D3DCD8" w:sz="4"/>
              <w:bottom w:val="single" w:color="D3DCD8" w:sz="4"/>
              <w:right w:val="single" w:color="D3DCD8" w:sz="4"/>
            </w:tcBorders>
            <w:shd w:fill="1F3A33" w:color="auto" w:val="clear"/>
            <w:tcMar>
              <w:top w:type="dxa" w:w="80"/>
              <w:left w:type="dxa" w:w="120"/>
              <w:bottom w:type="dxa" w:w="80"/>
              <w:right w:type="dxa" w:w="120"/>
            </w:tcMar>
          </w:tcPr>
          <w:p>
            <w:pPr>
              <w:spacing w:after="0" w:line="252"/>
            </w:pPr>
            <w:r>
              <w:rPr>
                <w:rFonts w:ascii="Arial" w:cs="Arial" w:eastAsia="Arial" w:hAnsi="Arial"/>
                <w:b/>
                <w:bCs/>
                <w:caps/>
                <w:color w:val="FFFFFF"/>
                <w:spacing w:val="14"/>
                <w:sz w:val="15"/>
                <w:szCs w:val="15"/>
              </w:rPr>
              <w:t xml:space="preserve">Cat.</w:t>
            </w:r>
          </w:p>
        </w:tc>
        <w:tc>
          <w:tcPr>
            <w:tcW w:type="dxa" w:w="2400"/>
            <w:tcBorders>
              <w:top w:val="single" w:color="D3DCD8" w:sz="4"/>
              <w:left w:val="single" w:color="D3DCD8" w:sz="4"/>
              <w:bottom w:val="single" w:color="D3DCD8" w:sz="4"/>
              <w:right w:val="single" w:color="D3DCD8" w:sz="4"/>
            </w:tcBorders>
            <w:shd w:fill="1F3A33" w:color="auto" w:val="clear"/>
            <w:tcMar>
              <w:top w:type="dxa" w:w="80"/>
              <w:left w:type="dxa" w:w="120"/>
              <w:bottom w:type="dxa" w:w="80"/>
              <w:right w:type="dxa" w:w="120"/>
            </w:tcMar>
          </w:tcPr>
          <w:p>
            <w:pPr>
              <w:spacing w:after="0" w:line="252"/>
            </w:pPr>
            <w:r>
              <w:rPr>
                <w:rFonts w:ascii="Arial" w:cs="Arial" w:eastAsia="Arial" w:hAnsi="Arial"/>
                <w:b/>
                <w:bCs/>
                <w:caps/>
                <w:color w:val="FFFFFF"/>
                <w:spacing w:val="14"/>
                <w:sz w:val="15"/>
                <w:szCs w:val="15"/>
              </w:rPr>
              <w:t xml:space="preserve">Intitulé</w:t>
            </w:r>
          </w:p>
        </w:tc>
        <w:tc>
          <w:tcPr>
            <w:tcW w:type="dxa" w:w="5638"/>
            <w:tcBorders>
              <w:top w:val="single" w:color="D3DCD8" w:sz="4"/>
              <w:left w:val="single" w:color="D3DCD8" w:sz="4"/>
              <w:bottom w:val="single" w:color="D3DCD8" w:sz="4"/>
              <w:right w:val="single" w:color="D3DCD8" w:sz="4"/>
            </w:tcBorders>
            <w:shd w:fill="1F3A33" w:color="auto" w:val="clear"/>
            <w:tcMar>
              <w:top w:type="dxa" w:w="80"/>
              <w:left w:type="dxa" w:w="120"/>
              <w:bottom w:type="dxa" w:w="80"/>
              <w:right w:type="dxa" w:w="120"/>
            </w:tcMar>
          </w:tcPr>
          <w:p>
            <w:pPr>
              <w:spacing w:after="0" w:line="252"/>
            </w:pPr>
            <w:r>
              <w:rPr>
                <w:rFonts w:ascii="Arial" w:cs="Arial" w:eastAsia="Arial" w:hAnsi="Arial"/>
                <w:b/>
                <w:bCs/>
                <w:caps/>
                <w:color w:val="FFFFFF"/>
                <w:spacing w:val="14"/>
                <w:sz w:val="15"/>
                <w:szCs w:val="15"/>
              </w:rPr>
              <w:t xml:space="preserve">Signification</w:t>
            </w:r>
          </w:p>
        </w:tc>
      </w:tr>
      <w:tr>
        <w:tc>
          <w:tcPr>
            <w:tcW w:type="dxa" w:w="7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1</w:t>
            </w:r>
          </w:p>
        </w:tc>
        <w:tc>
          <w:tcPr>
            <w:tcW w:type="dxa" w:w="900"/>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Arial" w:cs="Arial" w:eastAsia="Arial" w:hAnsi="Arial"/>
                <w:b/>
                <w:bCs/>
                <w:color w:val="8A5D0B"/>
                <w:sz w:val="19"/>
                <w:szCs w:val="19"/>
              </w:rPr>
              <w:t xml:space="preserve">MS</w:t>
            </w:r>
          </w:p>
        </w:tc>
        <w:tc>
          <w:tcPr>
            <w:tcW w:type="dxa" w:w="2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Chute de tag</w:t>
            </w:r>
          </w:p>
        </w:tc>
        <w:tc>
          <w:tcPr>
            <w:tcW w:type="dxa" w:w="56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La recommandation n'a pas été générée parce qu'une ou plusieurs valeurs automatiques manquaient suite à une chute de tag.</w:t>
            </w:r>
          </w:p>
        </w:tc>
      </w:tr>
      <w:tr>
        <w:tc>
          <w:tcPr>
            <w:tcW w:type="dxa" w:w="7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2</w:t>
            </w:r>
          </w:p>
        </w:tc>
        <w:tc>
          <w:tcPr>
            <w:tcW w:type="dxa" w:w="900"/>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Arial" w:cs="Arial" w:eastAsia="Arial" w:hAnsi="Arial"/>
                <w:b/>
                <w:bCs/>
                <w:color w:val="3C4A45"/>
                <w:sz w:val="19"/>
                <w:szCs w:val="19"/>
              </w:rPr>
              <w:t xml:space="preserve">IDF</w:t>
            </w:r>
          </w:p>
        </w:tc>
        <w:tc>
          <w:tcPr>
            <w:tcW w:type="dxa" w:w="2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Mesure en retard</w:t>
            </w:r>
          </w:p>
        </w:tc>
        <w:tc>
          <w:tcPr>
            <w:tcW w:type="dxa" w:w="56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La recommandation n'a pas été générée parce qu'une ou plusieurs valeurs automatiques ont été calculées en retard.</w:t>
            </w:r>
          </w:p>
        </w:tc>
      </w:tr>
      <w:tr>
        <w:tc>
          <w:tcPr>
            <w:tcW w:type="dxa" w:w="7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3</w:t>
            </w:r>
          </w:p>
        </w:tc>
        <w:tc>
          <w:tcPr>
            <w:tcW w:type="dxa" w:w="900"/>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Arial" w:cs="Arial" w:eastAsia="Arial" w:hAnsi="Arial"/>
                <w:b/>
                <w:bCs/>
                <w:color w:val="3C4A45"/>
                <w:sz w:val="19"/>
                <w:szCs w:val="19"/>
              </w:rPr>
              <w:t xml:space="preserve">IDF</w:t>
            </w:r>
          </w:p>
        </w:tc>
        <w:tc>
          <w:tcPr>
            <w:tcW w:type="dxa" w:w="2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Chevauchement court</w:t>
            </w:r>
          </w:p>
        </w:tc>
        <w:tc>
          <w:tcPr>
            <w:tcW w:type="dxa" w:w="56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Chevauchement de moins d'une heure entre deux étapes consécutives.</w:t>
            </w:r>
          </w:p>
        </w:tc>
      </w:tr>
      <w:tr>
        <w:tc>
          <w:tcPr>
            <w:tcW w:type="dxa" w:w="7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4</w:t>
            </w:r>
          </w:p>
        </w:tc>
        <w:tc>
          <w:tcPr>
            <w:tcW w:type="dxa" w:w="900"/>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Arial" w:cs="Arial" w:eastAsia="Arial" w:hAnsi="Arial"/>
                <w:b/>
                <w:bCs/>
                <w:color w:val="3C4A45"/>
                <w:sz w:val="19"/>
                <w:szCs w:val="19"/>
              </w:rPr>
              <w:t xml:space="preserve">IDF</w:t>
            </w:r>
          </w:p>
        </w:tc>
        <w:tc>
          <w:tcPr>
            <w:tcW w:type="dxa" w:w="2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Absente sans cause</w:t>
            </w:r>
          </w:p>
        </w:tc>
        <w:tc>
          <w:tcPr>
            <w:tcW w:type="dxa" w:w="56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La recommandation n'a pas été générée dans l'applicatif alors qu'aucune valeur ne manquait.</w:t>
            </w:r>
          </w:p>
        </w:tc>
      </w:tr>
      <w:tr>
        <w:tc>
          <w:tcPr>
            <w:tcW w:type="dxa" w:w="7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5</w:t>
            </w:r>
          </w:p>
        </w:tc>
        <w:tc>
          <w:tcPr>
            <w:tcW w:type="dxa" w:w="900"/>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Arial" w:cs="Arial" w:eastAsia="Arial" w:hAnsi="Arial"/>
                <w:b/>
                <w:bCs/>
                <w:color w:val="3C4A45"/>
                <w:sz w:val="19"/>
                <w:szCs w:val="19"/>
              </w:rPr>
              <w:t xml:space="preserve">IDF</w:t>
            </w:r>
          </w:p>
        </w:tc>
        <w:tc>
          <w:tcPr>
            <w:tcW w:type="dxa" w:w="2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Batch en erreur</w:t>
            </w:r>
          </w:p>
        </w:tc>
        <w:tc>
          <w:tcPr>
            <w:tcW w:type="dxa" w:w="56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La recommandation n'a pas été générée parce que le batch est en erreur de process.</w:t>
            </w:r>
          </w:p>
        </w:tc>
      </w:tr>
      <w:tr>
        <w:tc>
          <w:tcPr>
            <w:tcW w:type="dxa" w:w="7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6</w:t>
            </w:r>
          </w:p>
        </w:tc>
        <w:tc>
          <w:tcPr>
            <w:tcW w:type="dxa" w:w="900"/>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Arial" w:cs="Arial" w:eastAsia="Arial" w:hAnsi="Arial"/>
                <w:b/>
                <w:bCs/>
                <w:color w:val="3C4A45"/>
                <w:sz w:val="19"/>
                <w:szCs w:val="19"/>
              </w:rPr>
              <w:t xml:space="preserve">IDF</w:t>
            </w:r>
          </w:p>
        </w:tc>
        <w:tc>
          <w:tcPr>
            <w:tcW w:type="dxa" w:w="2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Batch en attente</w:t>
            </w:r>
          </w:p>
        </w:tc>
        <w:tc>
          <w:tcPr>
            <w:tcW w:type="dxa" w:w="56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La recommandation n'a pas été générée parce que le batch est au statut en attente.</w:t>
            </w:r>
          </w:p>
        </w:tc>
      </w:tr>
      <w:tr>
        <w:tc>
          <w:tcPr>
            <w:tcW w:type="dxa" w:w="7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7</w:t>
            </w:r>
          </w:p>
        </w:tc>
        <w:tc>
          <w:tcPr>
            <w:tcW w:type="dxa" w:w="900"/>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Arial" w:cs="Arial" w:eastAsia="Arial" w:hAnsi="Arial"/>
                <w:b/>
                <w:bCs/>
                <w:color w:val="8A5D0B"/>
                <w:sz w:val="19"/>
                <w:szCs w:val="19"/>
              </w:rPr>
              <w:t xml:space="preserve">MS</w:t>
            </w:r>
          </w:p>
        </w:tc>
        <w:tc>
          <w:tcPr>
            <w:tcW w:type="dxa" w:w="2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Batch créé trop tard</w:t>
            </w:r>
          </w:p>
        </w:tc>
        <w:tc>
          <w:tcPr>
            <w:tcW w:type="dxa" w:w="56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Le batch a été créé trop tard pour que la recommandation puisse être calculée.</w:t>
            </w:r>
          </w:p>
        </w:tc>
      </w:tr>
      <w:tr>
        <w:tc>
          <w:tcPr>
            <w:tcW w:type="dxa" w:w="7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8</w:t>
            </w:r>
          </w:p>
        </w:tc>
        <w:tc>
          <w:tcPr>
            <w:tcW w:type="dxa" w:w="900"/>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Arial" w:cs="Arial" w:eastAsia="Arial" w:hAnsi="Arial"/>
                <w:b/>
                <w:bCs/>
                <w:color w:val="3C4A45"/>
                <w:sz w:val="19"/>
                <w:szCs w:val="19"/>
              </w:rPr>
              <w:t xml:space="preserve">IDF</w:t>
            </w:r>
          </w:p>
        </w:tc>
        <w:tc>
          <w:tcPr>
            <w:tcW w:type="dxa" w:w="2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Absente du monitoring</w:t>
            </w:r>
          </w:p>
        </w:tc>
        <w:tc>
          <w:tcPr>
            <w:tcW w:type="dxa" w:w="56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Attendue au programme de production mais introuvable dans le monitoring d'inférence.</w:t>
            </w:r>
          </w:p>
        </w:tc>
      </w:tr>
      <w:tr>
        <w:tc>
          <w:tcPr>
            <w:tcW w:type="dxa" w:w="7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9</w:t>
            </w:r>
          </w:p>
        </w:tc>
        <w:tc>
          <w:tcPr>
            <w:tcW w:type="dxa" w:w="900"/>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Arial" w:cs="Arial" w:eastAsia="Arial" w:hAnsi="Arial"/>
                <w:b/>
                <w:bCs/>
                <w:color w:val="3C4A45"/>
                <w:sz w:val="19"/>
                <w:szCs w:val="19"/>
              </w:rPr>
              <w:t xml:space="preserve">IDF</w:t>
            </w:r>
          </w:p>
        </w:tc>
        <w:tc>
          <w:tcPr>
            <w:tcW w:type="dxa" w:w="2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Valeur manuelle perdue</w:t>
            </w:r>
          </w:p>
        </w:tc>
        <w:tc>
          <w:tcPr>
            <w:tcW w:type="dxa" w:w="56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Une valeur manuelle est absente du socle de données alors qu'elle avait été saisie dans les temps.</w:t>
            </w:r>
          </w:p>
        </w:tc>
      </w:tr>
      <w:tr>
        <w:tc>
          <w:tcPr>
            <w:tcW w:type="dxa" w:w="7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10</w:t>
            </w:r>
          </w:p>
        </w:tc>
        <w:tc>
          <w:tcPr>
            <w:tcW w:type="dxa" w:w="900"/>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Arial" w:cs="Arial" w:eastAsia="Arial" w:hAnsi="Arial"/>
                <w:b/>
                <w:bCs/>
                <w:color w:val="8A5D0B"/>
                <w:sz w:val="19"/>
                <w:szCs w:val="19"/>
              </w:rPr>
              <w:t xml:space="preserve">MS</w:t>
            </w:r>
          </w:p>
        </w:tc>
        <w:tc>
          <w:tcPr>
            <w:tcW w:type="dxa" w:w="2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Saisie manuelle tardive</w:t>
            </w:r>
          </w:p>
        </w:tc>
        <w:tc>
          <w:tcPr>
            <w:tcW w:type="dxa" w:w="56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Une valeur manuelle est absente du socle de données parce qu'elle a été saisie dans les 30 minutes précédant l'échéance.</w:t>
            </w:r>
          </w:p>
        </w:tc>
      </w:tr>
      <w:tr>
        <w:tc>
          <w:tcPr>
            <w:tcW w:type="dxa" w:w="7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11</w:t>
            </w:r>
          </w:p>
        </w:tc>
        <w:tc>
          <w:tcPr>
            <w:tcW w:type="dxa" w:w="900"/>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Arial" w:cs="Arial" w:eastAsia="Arial" w:hAnsi="Arial"/>
                <w:b/>
                <w:bCs/>
                <w:color w:val="8A5D0B"/>
                <w:sz w:val="19"/>
                <w:szCs w:val="19"/>
              </w:rPr>
              <w:t xml:space="preserve">MS</w:t>
            </w:r>
          </w:p>
        </w:tc>
        <w:tc>
          <w:tcPr>
            <w:tcW w:type="dxa" w:w="2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Désynchronisation des flux</w:t>
            </w:r>
          </w:p>
        </w:tc>
        <w:tc>
          <w:tcPr>
            <w:tcW w:type="dxa" w:w="56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Une valeur automatique est absente du socle de données mais pourtant présente dans le socle de mesures automatiques au moment du calcul : problème de synchronisation entre flux.</w:t>
            </w:r>
          </w:p>
        </w:tc>
      </w:tr>
    </w:tbl>
    <w:p>
      <w:pPr>
        <w:spacing w:after="120"/>
      </w:pPr>
      <w:r>
        <w:rPr>
          <w:rFonts w:ascii="Arial" w:cs="Arial" w:eastAsia="Arial" w:hAnsi="Arial"/>
          <w:color w:val="3C4A45"/>
          <w:sz w:val="19"/>
          <w:szCs w:val="19"/>
        </w:rPr>
        <w:t xml:space="preserve"/>
      </w:r>
    </w:p>
    <w:p>
      <w:pPr>
        <w:spacing w:after="120" w:before="0" w:line="264"/>
      </w:pPr>
      <w:r>
        <w:rPr>
          <w:rFonts w:ascii="Arial" w:cs="Arial" w:eastAsia="Arial" w:hAnsi="Arial"/>
          <w:i/>
          <w:iCs/>
          <w:color w:val="6B7A74"/>
          <w:sz w:val="17"/>
          <w:szCs w:val="17"/>
        </w:rPr>
        <w:t xml:space="preserve">Catégories — MS : 4 alertes (codes 1, 7, 10, 11) · IDF : 7 alertes.</w:t>
      </w:r>
    </w:p>
    <w:p>
      <w:pPr>
        <w:pStyle w:val="Heading2"/>
        <w:spacing w:after="160" w:before="420"/>
      </w:pPr>
      <w:r>
        <w:rPr>
          <w:rFonts w:ascii="Georgia" w:cs="Georgia" w:eastAsia="Georgia" w:hAnsi="Georgia"/>
          <w:b/>
          <w:bCs/>
          <w:color w:val="16211D"/>
          <w:sz w:val="26"/>
          <w:szCs w:val="26"/>
        </w:rPr>
        <w:t xml:space="preserve">Les 6 écrans visibles et leurs filtres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938"/>
        <w:gridCol w:w="1200"/>
      </w:tblGrid>
      <w:tr>
        <w:trPr>
          <w:tblHeader/>
        </w:trPr>
        <w:tc>
          <w:tcPr>
            <w:tcW w:type="dxa" w:w="2600"/>
            <w:tcBorders>
              <w:top w:val="single" w:color="D3DCD8" w:sz="4"/>
              <w:left w:val="single" w:color="D3DCD8" w:sz="4"/>
              <w:bottom w:val="single" w:color="D3DCD8" w:sz="4"/>
              <w:right w:val="single" w:color="D3DCD8" w:sz="4"/>
            </w:tcBorders>
            <w:shd w:fill="1F3A33" w:color="auto" w:val="clear"/>
            <w:tcMar>
              <w:top w:type="dxa" w:w="80"/>
              <w:left w:type="dxa" w:w="120"/>
              <w:bottom w:type="dxa" w:w="80"/>
              <w:right w:type="dxa" w:w="120"/>
            </w:tcMar>
          </w:tcPr>
          <w:p>
            <w:pPr>
              <w:spacing w:after="0" w:line="252"/>
            </w:pPr>
            <w:r>
              <w:rPr>
                <w:rFonts w:ascii="Arial" w:cs="Arial" w:eastAsia="Arial" w:hAnsi="Arial"/>
                <w:b/>
                <w:bCs/>
                <w:caps/>
                <w:color w:val="FFFFFF"/>
                <w:spacing w:val="14"/>
                <w:sz w:val="15"/>
                <w:szCs w:val="15"/>
              </w:rPr>
              <w:t xml:space="preserve">Page</w:t>
            </w:r>
          </w:p>
        </w:tc>
        <w:tc>
          <w:tcPr>
            <w:tcW w:type="dxa" w:w="2900"/>
            <w:tcBorders>
              <w:top w:val="single" w:color="D3DCD8" w:sz="4"/>
              <w:left w:val="single" w:color="D3DCD8" w:sz="4"/>
              <w:bottom w:val="single" w:color="D3DCD8" w:sz="4"/>
              <w:right w:val="single" w:color="D3DCD8" w:sz="4"/>
            </w:tcBorders>
            <w:shd w:fill="1F3A33" w:color="auto" w:val="clear"/>
            <w:tcMar>
              <w:top w:type="dxa" w:w="80"/>
              <w:left w:type="dxa" w:w="120"/>
              <w:bottom w:type="dxa" w:w="80"/>
              <w:right w:type="dxa" w:w="120"/>
            </w:tcMar>
          </w:tcPr>
          <w:p>
            <w:pPr>
              <w:spacing w:after="0" w:line="252"/>
            </w:pPr>
            <w:r>
              <w:rPr>
                <w:rFonts w:ascii="Arial" w:cs="Arial" w:eastAsia="Arial" w:hAnsi="Arial"/>
                <w:b/>
                <w:bCs/>
                <w:caps/>
                <w:color w:val="FFFFFF"/>
                <w:spacing w:val="14"/>
                <w:sz w:val="15"/>
                <w:szCs w:val="15"/>
              </w:rPr>
              <w:t xml:space="preserve">Objet</w:t>
            </w:r>
          </w:p>
        </w:tc>
        <w:tc>
          <w:tcPr>
            <w:tcW w:type="dxa" w:w="2938"/>
            <w:tcBorders>
              <w:top w:val="single" w:color="D3DCD8" w:sz="4"/>
              <w:left w:val="single" w:color="D3DCD8" w:sz="4"/>
              <w:bottom w:val="single" w:color="D3DCD8" w:sz="4"/>
              <w:right w:val="single" w:color="D3DCD8" w:sz="4"/>
            </w:tcBorders>
            <w:shd w:fill="1F3A33" w:color="auto" w:val="clear"/>
            <w:tcMar>
              <w:top w:type="dxa" w:w="80"/>
              <w:left w:type="dxa" w:w="120"/>
              <w:bottom w:type="dxa" w:w="80"/>
              <w:right w:type="dxa" w:w="120"/>
            </w:tcMar>
          </w:tcPr>
          <w:p>
            <w:pPr>
              <w:spacing w:after="0" w:line="252"/>
            </w:pPr>
            <w:r>
              <w:rPr>
                <w:rFonts w:ascii="Arial" w:cs="Arial" w:eastAsia="Arial" w:hAnsi="Arial"/>
                <w:b/>
                <w:bCs/>
                <w:caps/>
                <w:color w:val="FFFFFF"/>
                <w:spacing w:val="14"/>
                <w:sz w:val="15"/>
                <w:szCs w:val="15"/>
              </w:rPr>
              <w:t xml:space="preserve">Filtres proposés</w:t>
            </w:r>
          </w:p>
        </w:tc>
        <w:tc>
          <w:tcPr>
            <w:tcW w:type="dxa" w:w="1200"/>
            <w:tcBorders>
              <w:top w:val="single" w:color="D3DCD8" w:sz="4"/>
              <w:left w:val="single" w:color="D3DCD8" w:sz="4"/>
              <w:bottom w:val="single" w:color="D3DCD8" w:sz="4"/>
              <w:right w:val="single" w:color="D3DCD8" w:sz="4"/>
            </w:tcBorders>
            <w:shd w:fill="1F3A33" w:color="auto" w:val="clear"/>
            <w:tcMar>
              <w:top w:type="dxa" w:w="80"/>
              <w:left w:type="dxa" w:w="120"/>
              <w:bottom w:type="dxa" w:w="80"/>
              <w:right w:type="dxa" w:w="120"/>
            </w:tcMar>
          </w:tcPr>
          <w:p>
            <w:pPr>
              <w:spacing w:after="0" w:line="252"/>
            </w:pPr>
            <w:r>
              <w:rPr>
                <w:rFonts w:ascii="Arial" w:cs="Arial" w:eastAsia="Arial" w:hAnsi="Arial"/>
                <w:b/>
                <w:bCs/>
                <w:caps/>
                <w:color w:val="FFFFFF"/>
                <w:spacing w:val="14"/>
                <w:sz w:val="15"/>
                <w:szCs w:val="15"/>
              </w:rPr>
              <w:t xml:space="preserve">Décision</w:t>
            </w:r>
          </w:p>
        </w:tc>
      </w:tr>
      <w:tr>
        <w:tc>
          <w:tcPr>
            <w:tcW w:type="dxa" w:w="26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Overview</w:t>
            </w:r>
          </w:p>
        </w:tc>
        <w:tc>
          <w:tcPr>
            <w:tcW w:type="dxa" w:w="29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Vue d'ensemble</w:t>
            </w:r>
          </w:p>
        </w:tc>
        <w:tc>
          <w:tcPr>
            <w:tcW w:type="dxa" w:w="29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Site</w:t>
            </w:r>
          </w:p>
        </w:tc>
        <w:tc>
          <w:tcPr>
            <w:tcW w:type="dxa" w:w="12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6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Success &amp; Failure Details</w:t>
            </w:r>
          </w:p>
        </w:tc>
        <w:tc>
          <w:tcPr>
            <w:tcW w:type="dxa" w:w="29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Détail des succès et échecs</w:t>
            </w:r>
          </w:p>
        </w:tc>
        <w:tc>
          <w:tcPr>
            <w:tcW w:type="dxa" w:w="29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Date, site, batch, étape, succès/échec, type d'échec</w:t>
            </w:r>
          </w:p>
        </w:tc>
        <w:tc>
          <w:tcPr>
            <w:tcW w:type="dxa" w:w="12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6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Failures evolution</w:t>
            </w:r>
          </w:p>
        </w:tc>
        <w:tc>
          <w:tcPr>
            <w:tcW w:type="dxa" w:w="29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Évolution des échecs dans le temps</w:t>
            </w:r>
          </w:p>
        </w:tc>
        <w:tc>
          <w:tcPr>
            <w:tcW w:type="dxa" w:w="29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Date, site, étape, type d'échec</w:t>
            </w:r>
          </w:p>
        </w:tc>
        <w:tc>
          <w:tcPr>
            <w:tcW w:type="dxa" w:w="12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6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Alerts</w:t>
            </w:r>
          </w:p>
        </w:tc>
        <w:tc>
          <w:tcPr>
            <w:tcW w:type="dxa" w:w="29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Échecs par code d'alerte</w:t>
            </w:r>
          </w:p>
        </w:tc>
        <w:tc>
          <w:tcPr>
            <w:tcW w:type="dxa" w:w="29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Date, site, batch, étape, catégorie MS/IDF</w:t>
            </w:r>
          </w:p>
        </w:tc>
        <w:tc>
          <w:tcPr>
            <w:tcW w:type="dxa" w:w="12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6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Alerts : failures to categorize</w:t>
            </w:r>
          </w:p>
        </w:tc>
        <w:tc>
          <w:tcPr>
            <w:tcW w:type="dxa" w:w="29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Échecs sans code d'alerte attribué</w:t>
            </w:r>
          </w:p>
        </w:tc>
        <w:tc>
          <w:tcPr>
            <w:tcW w:type="dxa" w:w="29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Date, site, batch</w:t>
            </w:r>
          </w:p>
        </w:tc>
        <w:tc>
          <w:tcPr>
            <w:tcW w:type="dxa" w:w="12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6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Aveva details</w:t>
            </w:r>
          </w:p>
        </w:tc>
        <w:tc>
          <w:tcPr>
            <w:tcW w:type="dxa" w:w="29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Détail des mesures issues d'Aveva</w:t>
            </w:r>
          </w:p>
        </w:tc>
        <w:tc>
          <w:tcPr>
            <w:tcW w:type="dxa" w:w="29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Date, site, batch, étape, ligne de production, nom de mesure, occurrences manquantes</w:t>
            </w:r>
          </w:p>
        </w:tc>
        <w:tc>
          <w:tcPr>
            <w:tcW w:type="dxa" w:w="12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pStyle w:val="Heading2"/>
        <w:spacing w:after="160" w:before="420"/>
      </w:pPr>
      <w:r>
        <w:rPr>
          <w:rFonts w:ascii="Georgia" w:cs="Georgia" w:eastAsia="Georgia" w:hAnsi="Georgia"/>
          <w:b/>
          <w:bCs/>
          <w:color w:val="16211D"/>
          <w:sz w:val="26"/>
          <w:szCs w:val="26"/>
        </w:rPr>
        <w:t xml:space="preserve">Points à trancher en séance</w:t>
      </w:r>
    </w:p>
    <w:p>
      <w:pPr>
        <w:spacing w:after="200" w:before="0" w:line="264"/>
      </w:pPr>
      <w:r>
        <w:rPr>
          <w:rFonts w:ascii="Arial" w:cs="Arial" w:eastAsia="Arial" w:hAnsi="Arial"/>
          <w:color w:val="3C4A45"/>
          <w:sz w:val="19"/>
          <w:szCs w:val="19"/>
        </w:rPr>
        <w:t xml:space="preserve">Cinq sujets où le rapport applique aujourd’hui un choix qui n’a peut-être jamais été validé par le métier.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C1   </w:t>
            </w:r>
            <w:r>
              <w:rPr>
                <w:rFonts w:ascii="Arial" w:cs="Arial" w:eastAsia="Arial" w:hAnsi="Arial"/>
                <w:b/>
                <w:bCs/>
                <w:color w:val="16211D"/>
                <w:sz w:val="21"/>
                <w:szCs w:val="21"/>
              </w:rPr>
              <w:t xml:space="preserve">Faut-il aligner les deux définitions de l'erreur de process ?</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Enjeu</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8A5D0B"/>
                <w:sz w:val="19"/>
                <w:szCs w:val="19"/>
              </w:rPr>
              <w:t xml:space="preserve">Élevé</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Pourquoi</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La carte et le sélecteur ne comptent pas la même chose. Un échec sans journal du moteur échappe aux quatre cartes tout en pesant dans le taux de réussite.</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Responsable / échéance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A6   </w:t>
            </w:r>
            <w:r>
              <w:rPr>
                <w:rFonts w:ascii="Arial" w:cs="Arial" w:eastAsia="Arial" w:hAnsi="Arial"/>
                <w:b/>
                <w:bCs/>
                <w:color w:val="16211D"/>
                <w:sz w:val="21"/>
                <w:szCs w:val="21"/>
              </w:rPr>
              <w:t xml:space="preserve">Faut-il exclure les batches et lignes de programme supprimés ?</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Enjeu</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8A5D0B"/>
                <w:sz w:val="19"/>
                <w:szCs w:val="19"/>
              </w:rPr>
              <w:t xml:space="preserve">Élevé</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Pourquoi</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C'est le seul point de cette liste qui change un chiffre affiché aujourd'hui : le taux de réussite passerait de 64,9 % à 66,4 %.</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Responsable / échéance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C3   </w:t>
            </w:r>
            <w:r>
              <w:rPr>
                <w:rFonts w:ascii="Arial" w:cs="Arial" w:eastAsia="Arial" w:hAnsi="Arial"/>
                <w:b/>
                <w:bCs/>
                <w:color w:val="16211D"/>
                <w:sz w:val="21"/>
                <w:szCs w:val="21"/>
              </w:rPr>
              <w:t xml:space="preserve">Les trois seuils de temps sont-ils les bons ?</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Enjeu</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8A5D0B"/>
                <w:sz w:val="19"/>
                <w:szCs w:val="19"/>
              </w:rPr>
              <w:t xml:space="preserve">Élevé</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Pourquoi</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60 minutes de chevauchement, 30 minutes pour une saisie manuelle, 60 minutes pour la création d'un batch. Ils déterminent la répartition entre les 11 alertes.</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Responsable / échéance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D1   </w:t>
            </w:r>
            <w:r>
              <w:rPr>
                <w:rFonts w:ascii="Arial" w:cs="Arial" w:eastAsia="Arial" w:hAnsi="Arial"/>
                <w:b/>
                <w:bCs/>
                <w:color w:val="16211D"/>
                <w:sz w:val="21"/>
                <w:szCs w:val="21"/>
              </w:rPr>
              <w:t xml:space="preserve">Faut-il filtrer sur l'échéance ou sur la date de création ?</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Enjeu</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3C4A45"/>
                <w:sz w:val="19"/>
                <w:szCs w:val="19"/>
              </w:rPr>
              <w:t xml:space="preserve">Moyen</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Pourquoi</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L'échéance est cohérente pour de la supervision. La date de création serait plus comparable aux autres rapports.</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Responsable / échéance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A4   </w:t>
            </w:r>
            <w:r>
              <w:rPr>
                <w:rFonts w:ascii="Arial" w:cs="Arial" w:eastAsia="Arial" w:hAnsi="Arial"/>
                <w:b/>
                <w:bCs/>
                <w:color w:val="16211D"/>
                <w:sz w:val="21"/>
                <w:szCs w:val="21"/>
              </w:rPr>
              <w:t xml:space="preserve">Les deux dates de début d'historique sont-elles justifiées ?</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Enjeu</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3C4A45"/>
                <w:sz w:val="19"/>
                <w:szCs w:val="19"/>
              </w:rPr>
              <w:t xml:space="preserve">Faible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Pourquoi</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23/09/2024 pour le programme, 01/10/2024 pour les journaux. Une semaine d'écart, sans justification retrouvée.</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Responsable / échéance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p>
      <w:pPr>
        <w:pBdr>
          <w:top w:val="single" w:color="6B7A74" w:sz="6"/>
        </w:pBdr>
        <w:spacing w:after="140" w:before="420"/>
      </w:pPr>
      <w:r>
        <w:rPr>
          <w:rFonts w:ascii="Arial" w:cs="Arial" w:eastAsia="Arial" w:hAnsi="Arial"/>
          <w:color w:val="3C4A45"/>
          <w:sz w:val="19"/>
          <w:szCs w:val="19"/>
        </w:rPr>
        <w:t xml:space="preserve"/>
      </w:r>
    </w:p>
    <w:p>
      <w:pPr>
        <w:spacing w:after="120" w:before="0" w:line="264"/>
      </w:pPr>
      <w:r>
        <w:rPr>
          <w:rFonts w:ascii="Arial" w:cs="Arial" w:eastAsia="Arial" w:hAnsi="Arial"/>
          <w:b/>
          <w:bCs/>
          <w:color w:val="16211D"/>
          <w:sz w:val="17"/>
          <w:szCs w:val="17"/>
        </w:rPr>
        <w:t xml:space="preserve">Méthode  </w:t>
      </w:r>
      <w:r>
        <w:rPr>
          <w:rFonts w:ascii="Arial" w:cs="Arial" w:eastAsia="Arial" w:hAnsi="Arial"/>
          <w:color w:val="6B7A74"/>
          <w:sz w:val="17"/>
          <w:szCs w:val="17"/>
        </w:rPr>
        <w:t xml:space="preserve">Recensement établi par analyse de la chaîne de production du rapport, complété par des contrôles chiffrés sur les données.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B7A74"/>
        <w:sz w:val="15"/>
        <w:szCs w:val="15"/>
      </w:rPr>
      <w:t xml:space="preserve">Règles de gestion — Dashboard monitoring · version métier   </w:t>
    </w:r>
    <w:r>
      <w:rPr>
        <w:rFonts w:ascii="Arial" w:cs="Arial" w:eastAsia="Arial" w:hAnsi="Arial"/>
        <w:color w:val="6B7A74"/>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C4A45"/>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Règles de gestion — Dashboard monitoring des recommandations</dc:title>
  <dc:creator>Analyse BI</dc:creator>
  <cp:lastModifiedBy>Un-named</cp:lastModifiedBy>
  <cp:revision>1</cp:revision>
  <dcterms:created xsi:type="dcterms:W3CDTF">2026-09-17T13:32:53.687Z</dcterms:created>
  <dcterms:modified xsi:type="dcterms:W3CDTF">2026-09-17T13:32:53.687Z</dcterms:modified>
</cp:coreProperties>
</file>

<file path=docProps/custom.xml><?xml version="1.0" encoding="utf-8"?>
<Properties xmlns="http://schemas.openxmlformats.org/officeDocument/2006/custom-properties" xmlns:vt="http://schemas.openxmlformats.org/officeDocument/2006/docPropsVTypes"/>
</file>