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8A5D0B"/>
          <w:spacing w:val="24"/>
          <w:sz w:val="16"/>
          <w:szCs w:val="16"/>
        </w:rPr>
        <w:t xml:space="preserve">SUPPORT D’ATELIER  ·  VERSION TECHNIQUE</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et uniquement ses 6 écrans visibles par les utilisateurs. Les onglets masqués sont hors périmètre. Le rapport Suivi des recommandations n’est pas couvert.</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Numérotation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règles A7, B6, E2, E3 et E4 ont été retirées du périmètre. Les identifiants des règles conservées restent inchangés, d’où les sauts dans la numérotation.</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TECHNIQUE — contient la traduction technique de chaque règle et son emplacement exact dans le code.</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Union explicite des 8 sites répétée dans 5 chaînes d'alimentation distinctes (journaux du moteur, référentiel des étapes, ascendance, mesures automatiques manquantes, mesures d'actifs manquantes). PITHIVIERS6 est présent mais commenté.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4, 5, 33, 34, 35 — déclarations dans load_data.ipynb cellule 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Jointure INNER entre le planning et le référentiel par site, restreint à is_target_localization = true.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5 (filtre) et cellule 23 (jointure INNER)</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batches_production_planning sert de table de référence, jointe en LEFT vers recommendations.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à 25</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filtres d'antériorité distincts et codés en dur.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20 (&gt;= 2024-09-23) et cellule 16 (&gt;= 2024-10-01)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sur le drapeau de suppression logique de la table des recommandations.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25</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Aucun filtre sur le drapeau de suppression logique, ni sur la table du planning, ni sur la table des batches. Le rapport Suivi applique les deux.</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et 21 — absence de filtre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Granularité de la table de faits : batch_id x id_parameter_localization x missing_value.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5 à 8, sélection finale cellule 48</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flg_succes = 1 si id_recommendation est non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flg_echec = 1 si id_recommendation est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Condition calculation_interval_after_datetime &lt;= current_timestamp(), évaluée à chaque exécution du traitement. Le traitement reprend l'intégralité du programme depuis septembre 2024 à chaque passage.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16 et 17</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flg_lasted_reco = 1 sur la ligne la plus récente par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26, filtre appliqué en cellule 18 du notebook de faits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Suppression des lignes NO_VALUE lorsque le groupe contient au moins une valeur réelle.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8</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Numérotation par fenêtre sur batch x ligne de production x étape, ordonnée par date d'exécution du job décroissante, filtre rang 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16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 avec deux définitions divergentes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 Attention : la carte « Failures caused by process errors » et le sélecteur « type d'échec » n'appliquent pas la même définition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exige has_auto_value = 0 ET has_manual_value = 0. La colonne type_echec accepte en plus les valeurs nulles de ces deux indicateurs. Un échec dont les journaux du moteur sont absents — cas de l'alerte 8 — est donc classé « erreur process » par le sélecteur mais n'entre dans aucune des quatre cartes.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Colonne : fact_monitoring_auto_manual_entries.ipynb cellules 36 et 42. Mesure de la carte : modèle sémantique, mesure Evolution_echec_process.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Cascade de conditions affectant id_alerting, référentiel dans dim_alerting.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libellés dans dim_alerting.ipynb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Littéraux 60 et 30 dans les conditions INTERVAL, et comparaison overlap &lt; 60.</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logique de chevauchement dans transform_data.ipynb cellule 12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Colonne ms_idf_cat affectée code par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dim_alerting.ipynb cellule 3</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Relation active entre dim_calendar[date_simple] et fact_monitoring_auto_manual_entries[calculation_date], cette dernière étant to_date(calculation_interval_after_datetime).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47 ; relationships.tmdl du modèle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existe aussi dans la table (colonne « Recommendation date » du détail) mais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Expression conditionnelle : valeur du monitoring d'inférence si non nulle, sinon valeur issue du planning.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repli est commenté dans le code.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Table de dates générée par séquence entre une date de début codée en dur et current_date().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dim_calendar.ipynb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d'une page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6 écrans. Le filtre de date sur 5 d'entre eux : la page Overview n'en propose aucun et affiche donc l'intégralité de l'historique chargé. Les autres filtres varient selon l'écran.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Slicers déclarés page par page dans les fichiers visual.json des 6 pages visibles.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Répertoire definition/pages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valider en atelier : cette hétérogénéité est-elle voulue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100"/>
        <w:gridCol w:w="3400"/>
        <w:gridCol w:w="25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3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c>
          <w:tcPr>
            <w:tcW w:type="dxa" w:w="2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Condition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is_missing_occurrences_for_reco=vrai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is_late_for_reco=vrai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overlap&lt;60 ET aucune mesure manquante identifiée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different de error et pending ET aucune mesure manquante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error</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pending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 ET creation du batch dans les 60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plus de 30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entre 30 min avant l'echeance et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présente dans measurement_pivot au moment de l'exécution : problème de synchronisation entre flux.</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mesure manquante identifiee ET presente dans measurement_pivot</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Les 6 écrans visibles et leurs filtres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Cinq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Faut-il aligner les deux définitions de l'erreur de process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et le sélecteur ne comptent pas la même chose. Un échec sans journal du moteur échappe aux quatre cartes tout en pesant dans le taux de réussite.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lecture du code des notebooks d’alimentation, du modèle sémantique et de la définition du rapport, complété par des requêtes de contrôle exécutées sur l’entrepôt.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technique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2026-09-17T13:32:53.473Z</dcterms:created>
  <dcterms:modified xsi:type="dcterms:W3CDTF">2026-09-17T13:32:53.473Z</dcterms:modified>
</cp:coreProperties>
</file>

<file path=docProps/custom.xml><?xml version="1.0" encoding="utf-8"?>
<Properties xmlns="http://schemas.openxmlformats.org/officeDocument/2006/custom-properties" xmlns:vt="http://schemas.openxmlformats.org/officeDocument/2006/docPropsVTypes"/>
</file>