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91D" w:rsidRDefault="008E291D">
      <w:pPr>
        <w:spacing w:before="1600"/>
      </w:pPr>
    </w:p>
    <w:p w:rsidR="008E291D" w:rsidRDefault="00E55FB4">
      <w:pPr>
        <w:spacing w:after="100"/>
        <w:jc w:val="center"/>
      </w:pPr>
      <w:proofErr w:type="gramStart"/>
      <w:r>
        <w:rPr>
          <w:b/>
          <w:bCs/>
          <w:color w:val="1B2A4A"/>
          <w:sz w:val="64"/>
          <w:szCs w:val="64"/>
        </w:rPr>
        <w:t>SANA3  |</w:t>
      </w:r>
      <w:proofErr w:type="gramEnd"/>
      <w:r>
        <w:rPr>
          <w:b/>
          <w:bCs/>
          <w:color w:val="1B2A4A"/>
          <w:sz w:val="64"/>
          <w:szCs w:val="64"/>
        </w:rPr>
        <w:t xml:space="preserve">  </w:t>
      </w:r>
      <w:r>
        <w:rPr>
          <w:b/>
          <w:bCs/>
          <w:color w:val="1B2A4A"/>
          <w:sz w:val="64"/>
          <w:szCs w:val="64"/>
          <w:rtl/>
        </w:rPr>
        <w:t>صانع</w:t>
      </w:r>
    </w:p>
    <w:p w:rsidR="008E291D" w:rsidRDefault="00E55FB4">
      <w:pPr>
        <w:spacing w:after="500"/>
        <w:jc w:val="center"/>
      </w:pPr>
      <w:r>
        <w:rPr>
          <w:color w:val="0E7C7B"/>
          <w:sz w:val="30"/>
          <w:szCs w:val="30"/>
        </w:rPr>
        <w:t>Learn by Building</w:t>
      </w:r>
    </w:p>
    <w:p w:rsidR="008E291D" w:rsidRDefault="00E55FB4">
      <w:pPr>
        <w:spacing w:after="700"/>
        <w:jc w:val="center"/>
      </w:pPr>
      <w:r>
        <w:rPr>
          <w:color w:val="5B6470"/>
          <w:sz w:val="26"/>
          <w:szCs w:val="26"/>
        </w:rPr>
        <w:t>Founder's Brief: Vision, Pedagogy, Organization &amp; Partnership Structure</w:t>
      </w:r>
    </w:p>
    <w:p w:rsidR="008E291D" w:rsidRDefault="00E55FB4">
      <w:pPr>
        <w:spacing w:after="120"/>
        <w:jc w:val="center"/>
      </w:pPr>
      <w:r>
        <w:rPr>
          <w:color w:val="5B6470"/>
          <w:sz w:val="20"/>
          <w:szCs w:val="20"/>
        </w:rPr>
        <w:t>Prepared for internal founder / co-founder use</w:t>
      </w:r>
    </w:p>
    <w:p w:rsidR="008E291D" w:rsidRDefault="00E55FB4">
      <w:pPr>
        <w:spacing w:after="120"/>
        <w:jc w:val="center"/>
      </w:pPr>
      <w:r>
        <w:rPr>
          <w:color w:val="5B6470"/>
          <w:sz w:val="20"/>
          <w:szCs w:val="20"/>
        </w:rPr>
        <w:t>7 August 2026</w:t>
      </w:r>
    </w:p>
    <w:p w:rsidR="008E291D" w:rsidRDefault="00E55FB4">
      <w:r>
        <w:br w:type="page"/>
      </w:r>
    </w:p>
    <w:p w:rsidR="008E291D" w:rsidRDefault="00E55FB4">
      <w:pPr>
        <w:pStyle w:val="Heading1"/>
        <w:spacing w:before="400"/>
      </w:pPr>
      <w:r>
        <w:lastRenderedPageBreak/>
        <w:t xml:space="preserve">Part 1 — </w:t>
      </w:r>
      <w:proofErr w:type="gramStart"/>
      <w:r>
        <w:t>The</w:t>
      </w:r>
      <w:proofErr w:type="gramEnd"/>
      <w:r>
        <w:t xml:space="preserve"> SANA3 Vision, Illustrated</w:t>
      </w:r>
    </w:p>
    <w:p w:rsidR="008E291D" w:rsidRDefault="00E55FB4">
      <w:pPr>
        <w:spacing w:after="160"/>
      </w:pPr>
      <w:r>
        <w:t>This section restates the four foundational documents in the voice of the CEO — the story to tell a parent, a school, an investor, or a new instructor — with a diagram under every core structural idea so it can be presented, not just read.</w:t>
      </w:r>
    </w:p>
    <w:p w:rsidR="008E291D" w:rsidRDefault="00E55FB4">
      <w:pPr>
        <w:pStyle w:val="Heading2"/>
        <w:spacing w:before="300" w:after="150"/>
      </w:pPr>
      <w:r>
        <w:t>1. Vision</w:t>
      </w:r>
    </w:p>
    <w:p w:rsidR="008E291D" w:rsidRDefault="00E55FB4">
      <w:pPr>
        <w:pBdr>
          <w:left w:val="single" w:sz="18" w:space="8" w:color="D9A441"/>
        </w:pBdr>
        <w:spacing w:before="120" w:after="200"/>
        <w:ind w:left="504"/>
      </w:pPr>
      <w:r>
        <w:rPr>
          <w:i/>
          <w:iCs/>
          <w:color w:val="1B2A4A"/>
          <w:sz w:val="24"/>
          <w:szCs w:val="24"/>
        </w:rPr>
        <w:t xml:space="preserve">In 10 </w:t>
      </w:r>
      <w:r>
        <w:rPr>
          <w:i/>
          <w:iCs/>
          <w:color w:val="1B2A4A"/>
          <w:sz w:val="24"/>
          <w:szCs w:val="24"/>
        </w:rPr>
        <w:t>years, “made by SANA3” means a young person who can take an idea from a napkin sketch to a working, shippable piece of technology — and defend every decision inside it.</w:t>
      </w:r>
    </w:p>
    <w:p w:rsidR="008E291D" w:rsidRDefault="00E55FB4">
      <w:pPr>
        <w:spacing w:after="160"/>
      </w:pPr>
      <w:r>
        <w:t xml:space="preserve">SANA3 exists to make that capability common instead of rare. Today it lives in a small </w:t>
      </w:r>
      <w:r>
        <w:t>population of self-taught kids with unusual access to mentors and hardware. Our job is to manufacture that capability deliberately, at scale — starting in Egypt, expanding across the Gulf and beyond.</w:t>
      </w:r>
    </w:p>
    <w:p w:rsidR="008E291D" w:rsidRDefault="00E55FB4">
      <w:pPr>
        <w:pStyle w:val="Heading2"/>
        <w:spacing w:before="300" w:after="150"/>
      </w:pPr>
      <w:r>
        <w:t>2. Mission — Four Components, Not One</w:t>
      </w:r>
    </w:p>
    <w:p w:rsidR="008E291D" w:rsidRDefault="00E55FB4">
      <w:pPr>
        <w:spacing w:after="160"/>
      </w:pPr>
      <w:r>
        <w:t>Every graduate mus</w:t>
      </w:r>
      <w:r>
        <w:t>t be able to understand a problem, design a solution, build the product, and launch it. Drop any one of the four and it is not a SANA3 outcome — it's just a course completion.</w:t>
      </w:r>
    </w:p>
    <w:p w:rsidR="008E291D" w:rsidRDefault="00E55FB4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5524500" cy="3076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91D" w:rsidRDefault="00E55FB4">
      <w:pPr>
        <w:spacing w:after="220"/>
        <w:jc w:val="center"/>
      </w:pPr>
      <w:r>
        <w:rPr>
          <w:i/>
          <w:iCs/>
          <w:color w:val="5B6470"/>
          <w:sz w:val="18"/>
          <w:szCs w:val="18"/>
        </w:rPr>
        <w:t xml:space="preserve">Figure 1 — </w:t>
      </w:r>
      <w:proofErr w:type="gramStart"/>
      <w:r>
        <w:rPr>
          <w:i/>
          <w:iCs/>
          <w:color w:val="5B6470"/>
          <w:sz w:val="18"/>
          <w:szCs w:val="18"/>
        </w:rPr>
        <w:t>The</w:t>
      </w:r>
      <w:proofErr w:type="gramEnd"/>
      <w:r>
        <w:rPr>
          <w:i/>
          <w:iCs/>
          <w:color w:val="5B6470"/>
          <w:sz w:val="18"/>
          <w:szCs w:val="18"/>
        </w:rPr>
        <w:t xml:space="preserve"> four components a SANA3 graduate must demonstrate together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900"/>
        <w:gridCol w:w="3500"/>
      </w:tblGrid>
      <w:tr w:rsidR="008E291D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b/>
                <w:bCs/>
                <w:color w:val="FFFFFF"/>
                <w:sz w:val="20"/>
                <w:szCs w:val="20"/>
              </w:rPr>
              <w:t>Comp</w:t>
            </w:r>
            <w:r>
              <w:rPr>
                <w:b/>
                <w:bCs/>
                <w:color w:val="FFFFFF"/>
                <w:sz w:val="20"/>
                <w:szCs w:val="20"/>
              </w:rPr>
              <w:t>onent</w:t>
            </w:r>
          </w:p>
        </w:tc>
        <w:tc>
          <w:tcPr>
            <w:tcW w:w="39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35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b/>
                <w:bCs/>
                <w:color w:val="FFFFFF"/>
                <w:sz w:val="20"/>
                <w:szCs w:val="20"/>
              </w:rPr>
              <w:t>What it is NOT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Understand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Turn an ambiguous situation into defined requirements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Solving pre-packaged exercise prompts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Design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Propose an architecture, justify trade-offs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Copying a tutorial's structure blindly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Build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Implement, test, integrate into something that runs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Passing isolated coding-quiz questions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Launch</w:t>
            </w:r>
          </w:p>
        </w:tc>
        <w:tc>
          <w:tcPr>
            <w:tcW w:w="3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Ship, present, deploy, or compete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Treating “finishing the course” as the finish line</w:t>
            </w:r>
          </w:p>
        </w:tc>
      </w:tr>
    </w:tbl>
    <w:p w:rsidR="008E291D" w:rsidRDefault="00E55FB4">
      <w:r>
        <w:lastRenderedPageBreak/>
        <w:br w:type="page"/>
      </w:r>
    </w:p>
    <w:p w:rsidR="008E291D" w:rsidRDefault="00E55FB4">
      <w:pPr>
        <w:pStyle w:val="Heading2"/>
        <w:spacing w:before="300" w:after="150"/>
      </w:pPr>
      <w:r>
        <w:lastRenderedPageBreak/>
        <w:t>3. Brand Positioning</w:t>
      </w:r>
    </w:p>
    <w:p w:rsidR="008E291D" w:rsidRDefault="00E55FB4">
      <w:pPr>
        <w:pBdr>
          <w:left w:val="single" w:sz="18" w:space="8" w:color="D9A441"/>
        </w:pBdr>
        <w:spacing w:before="120" w:after="200"/>
        <w:ind w:left="504"/>
      </w:pPr>
      <w:r>
        <w:rPr>
          <w:i/>
          <w:iCs/>
          <w:color w:val="1B2A4A"/>
          <w:sz w:val="24"/>
          <w:szCs w:val="24"/>
        </w:rPr>
        <w:t>SANA3 is a software and technology building education platform for the next generation — not a coding academy for kids.</w:t>
      </w:r>
    </w:p>
    <w:p w:rsidR="008E291D" w:rsidRDefault="00E55FB4">
      <w:pPr>
        <w:spacing w:after="160"/>
      </w:pPr>
      <w:r>
        <w:t>“Coding academy” signals syntax transfer, competing on price and course catalog. “Building education platform” signals an outcome — capa</w:t>
      </w:r>
      <w:r>
        <w:t>bility and portfolio — competing on results. Every brand decision should protect that distinction.</w:t>
      </w:r>
    </w:p>
    <w:p w:rsidR="008E291D" w:rsidRDefault="00E55FB4">
      <w:pPr>
        <w:pStyle w:val="Heading2"/>
        <w:spacing w:before="300" w:after="150"/>
      </w:pPr>
      <w:r>
        <w:t>How I'd say it to each audience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700"/>
      </w:tblGrid>
      <w:tr w:rsidR="008E291D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67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b/>
                <w:bCs/>
                <w:color w:val="FFFFFF"/>
                <w:sz w:val="20"/>
                <w:szCs w:val="20"/>
              </w:rPr>
              <w:t>The pitch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6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 xml:space="preserve">Your child won't just learn to code — they'll build real things they can show you, and get better </w:t>
            </w:r>
            <w:r>
              <w:rPr>
                <w:color w:val="000000"/>
                <w:sz w:val="20"/>
                <w:szCs w:val="20"/>
              </w:rPr>
              <w:t>at solving problems on their own.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School (B2B)</w:t>
            </w:r>
          </w:p>
        </w:tc>
        <w:tc>
          <w:tcPr>
            <w:tcW w:w="6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A structured, assessable STEM/CS program you can adopt without building curriculum in-house.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Investor</w:t>
            </w:r>
          </w:p>
        </w:tc>
        <w:tc>
          <w:tcPr>
            <w:tcW w:w="6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A differentiated, IP-defensible pedagogy plus a portfolio-based credential that'</w:t>
            </w:r>
            <w:r>
              <w:rPr>
                <w:color w:val="000000"/>
                <w:sz w:val="20"/>
                <w:szCs w:val="20"/>
              </w:rPr>
              <w:t>s more legible than a certificate.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Future instructor</w:t>
            </w:r>
          </w:p>
        </w:tc>
        <w:tc>
          <w:tcPr>
            <w:tcW w:w="67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You'll be a Learning Engineer, not a lecturer — mentoring real builds, not repeating a slide deck.</w:t>
            </w:r>
          </w:p>
        </w:tc>
      </w:tr>
    </w:tbl>
    <w:p w:rsidR="008E291D" w:rsidRDefault="00E55FB4">
      <w:pPr>
        <w:spacing w:after="160"/>
      </w:pPr>
      <w:r>
        <w:t>Primary tagline: “Learn by Building.” B2B/investor line: “From Idea to Product.” Internal culture line</w:t>
      </w:r>
      <w:r>
        <w:t>: “Build to Learn.”</w:t>
      </w:r>
    </w:p>
    <w:p w:rsidR="008E291D" w:rsidRDefault="00E55FB4">
      <w:r>
        <w:br w:type="page"/>
      </w:r>
    </w:p>
    <w:p w:rsidR="008E291D" w:rsidRDefault="00E55FB4">
      <w:pPr>
        <w:pStyle w:val="Heading2"/>
        <w:spacing w:before="300" w:after="150"/>
      </w:pPr>
      <w:r>
        <w:lastRenderedPageBreak/>
        <w:t>4. Educational Philosophy — the one design decision everything else follows from</w:t>
      </w:r>
    </w:p>
    <w:p w:rsidR="008E291D" w:rsidRDefault="00E55FB4">
      <w:pPr>
        <w:pBdr>
          <w:left w:val="single" w:sz="18" w:space="8" w:color="D9A441"/>
        </w:pBdr>
        <w:spacing w:before="120" w:after="200"/>
        <w:ind w:left="504"/>
      </w:pPr>
      <w:r>
        <w:rPr>
          <w:i/>
          <w:iCs/>
          <w:color w:val="1B2A4A"/>
          <w:sz w:val="24"/>
          <w:szCs w:val="24"/>
        </w:rPr>
        <w:t>We don't teach technology first. We teach students to build with technology. Learn because you need it. Build because you learned it.</w:t>
      </w:r>
    </w:p>
    <w:p w:rsidR="008E291D" w:rsidRDefault="00E55FB4">
      <w:pPr>
        <w:spacing w:after="160"/>
      </w:pPr>
      <w:r>
        <w:t>The instructor neve</w:t>
      </w:r>
      <w:r>
        <w:t>r opens with “Today we are learning variables.” Instead, the need is felt first and the concept is named second:</w:t>
      </w:r>
    </w:p>
    <w:p w:rsidR="008E291D" w:rsidRDefault="00E55FB4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5524500" cy="3076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91D" w:rsidRDefault="00E55FB4">
      <w:pPr>
        <w:spacing w:after="220"/>
        <w:jc w:val="center"/>
      </w:pPr>
      <w:r>
        <w:rPr>
          <w:i/>
          <w:iCs/>
          <w:color w:val="5B6470"/>
          <w:sz w:val="18"/>
          <w:szCs w:val="18"/>
        </w:rPr>
        <w:t>Figure 2 — WHY → WHAT → HOW → BUILD: concepts are named after the need is felt</w:t>
      </w:r>
    </w:p>
    <w:p w:rsidR="008E291D" w:rsidRDefault="00E55FB4">
      <w:pPr>
        <w:spacing w:after="160"/>
      </w:pPr>
      <w:r>
        <w:t>This ordering is the single most important instructor discipline in SANA3 — and the opposite of how most instructors were themselves taught to teach.</w:t>
      </w:r>
    </w:p>
    <w:p w:rsidR="008E291D" w:rsidRDefault="00E55FB4">
      <w:pPr>
        <w:pStyle w:val="Heading2"/>
        <w:spacing w:before="300" w:after="150"/>
      </w:pPr>
      <w:r>
        <w:t>Seven questions a student should always be able to answer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What are we building?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Why does this feature matt</w:t>
      </w:r>
      <w:r>
        <w:t>er?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What problem are we solving?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What knowledge do we need?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What did I learn?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How did I use it?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Can I use it somewhere else?</w:t>
      </w:r>
    </w:p>
    <w:p w:rsidR="008E291D" w:rsidRDefault="00E55FB4">
      <w:pPr>
        <w:spacing w:after="160"/>
      </w:pPr>
      <w:r>
        <w:t>Can't answer 1–3 → the session drifted into topic-first teaching. Can't answer 5–7 → the session produced activity without learning</w:t>
      </w:r>
      <w:r>
        <w:t>.</w:t>
      </w:r>
    </w:p>
    <w:p w:rsidR="008E291D" w:rsidRDefault="00E55FB4">
      <w:r>
        <w:br w:type="page"/>
      </w:r>
    </w:p>
    <w:p w:rsidR="008E291D" w:rsidRDefault="00E55FB4">
      <w:pPr>
        <w:pStyle w:val="Heading2"/>
        <w:spacing w:before="300" w:after="150"/>
      </w:pPr>
      <w:r>
        <w:lastRenderedPageBreak/>
        <w:t>5. The Learning Framework — one loop, four time-scales</w:t>
      </w:r>
    </w:p>
    <w:p w:rsidR="008E291D" w:rsidRDefault="00E55FB4">
      <w:pPr>
        <w:spacing w:after="160"/>
      </w:pPr>
      <w:r>
        <w:t xml:space="preserve">Every class is a small Learning Cycle. String cycles together and you get a Mission. String Missions together and you get a shipped Feature. String Features together and you get a shipped Project. </w:t>
      </w:r>
      <w:r>
        <w:t>Nothing at any scale breaks from the same shape — only the granularity changes.</w:t>
      </w:r>
    </w:p>
    <w:p w:rsidR="008E291D" w:rsidRDefault="00E55FB4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361950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91D" w:rsidRDefault="00E55FB4">
      <w:pPr>
        <w:spacing w:after="220"/>
        <w:jc w:val="center"/>
      </w:pPr>
      <w:r>
        <w:rPr>
          <w:i/>
          <w:iCs/>
          <w:color w:val="5B6470"/>
          <w:sz w:val="18"/>
          <w:szCs w:val="18"/>
        </w:rPr>
        <w:t xml:space="preserve">Figure 3 — </w:t>
      </w:r>
      <w:proofErr w:type="gramStart"/>
      <w:r>
        <w:rPr>
          <w:i/>
          <w:iCs/>
          <w:color w:val="5B6470"/>
          <w:sz w:val="18"/>
          <w:szCs w:val="18"/>
        </w:rPr>
        <w:t>The</w:t>
      </w:r>
      <w:proofErr w:type="gramEnd"/>
      <w:r>
        <w:rPr>
          <w:i/>
          <w:iCs/>
          <w:color w:val="5B6470"/>
          <w:sz w:val="18"/>
          <w:szCs w:val="18"/>
        </w:rPr>
        <w:t xml:space="preserve"> four nested loops, session to capstone</w:t>
      </w:r>
    </w:p>
    <w:p w:rsidR="008E291D" w:rsidRDefault="00E55FB4">
      <w:pPr>
        <w:pStyle w:val="Heading2"/>
        <w:spacing w:before="300" w:after="150"/>
      </w:pPr>
      <w:r>
        <w:t>The Learning Cycle in detail</w:t>
      </w:r>
    </w:p>
    <w:p w:rsidR="008E291D" w:rsidRDefault="00E55FB4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>
            <wp:extent cx="3619500" cy="3619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91D" w:rsidRDefault="00E55FB4">
      <w:pPr>
        <w:spacing w:after="220"/>
        <w:jc w:val="center"/>
      </w:pPr>
      <w:r>
        <w:rPr>
          <w:i/>
          <w:iCs/>
          <w:color w:val="5B6470"/>
          <w:sz w:val="18"/>
          <w:szCs w:val="18"/>
        </w:rPr>
        <w:t>Figure 4 — SEE → THINK → LEARN → BUILD → TEST → IMPROVE → REFLECT → SHIP</w:t>
      </w:r>
    </w:p>
    <w:p w:rsidR="008E291D" w:rsidRDefault="00E55FB4">
      <w:pPr>
        <w:pStyle w:val="Heading2"/>
        <w:spacing w:before="300" w:after="150"/>
      </w:pPr>
      <w:r>
        <w:t>Two progressions that must move in lockstep</w:t>
      </w:r>
    </w:p>
    <w:p w:rsidR="008E291D" w:rsidRDefault="00E55FB4">
      <w:pPr>
        <w:spacing w:after="160"/>
      </w:pPr>
      <w:r>
        <w:t>As a student moves from Follower toward Creator, the instructor must move from “I do” toward “you teach” at the same pace. An instructor still doing “I do” with a student ready for independence is a coaching flag</w:t>
      </w:r>
      <w:r>
        <w:t>, not a scheduling detail.</w:t>
      </w:r>
    </w:p>
    <w:p w:rsidR="008E291D" w:rsidRDefault="00E55FB4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5715000" cy="2562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91D" w:rsidRDefault="00E55FB4">
      <w:pPr>
        <w:spacing w:after="220"/>
        <w:jc w:val="center"/>
      </w:pPr>
      <w:r>
        <w:rPr>
          <w:i/>
          <w:iCs/>
          <w:color w:val="5B6470"/>
          <w:sz w:val="18"/>
          <w:szCs w:val="18"/>
        </w:rPr>
        <w:t>Figure 5 — Instructor gradual release vs. student identity arc</w:t>
      </w:r>
    </w:p>
    <w:p w:rsidR="008E291D" w:rsidRDefault="00E55FB4">
      <w:r>
        <w:br w:type="page"/>
      </w:r>
    </w:p>
    <w:p w:rsidR="008E291D" w:rsidRDefault="00E55FB4">
      <w:pPr>
        <w:pStyle w:val="Heading2"/>
        <w:spacing w:before="300" w:after="150"/>
      </w:pPr>
      <w:r>
        <w:lastRenderedPageBreak/>
        <w:t>6. What Actually Differentiates SANA3</w:t>
      </w:r>
    </w:p>
    <w:p w:rsidR="008E291D" w:rsidRDefault="00E55FB4">
      <w:pPr>
        <w:spacing w:after="160"/>
      </w:pPr>
      <w:r>
        <w:t>Not which technologies we teach — most competitors touch Scratch, Python, Arduino, robotics too. It'</w:t>
      </w:r>
      <w:r>
        <w:t>s the sequencing logic: project pulls knowledge, not knowledge pulls project. Concretely: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Every program starts with a Project Reveal, not a syllabus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Curriculum is a feature → knowledge graph, not a linear course list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Assessment is a living Student Passport</w:t>
      </w:r>
      <w:r>
        <w:t>, not a completion certificate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 xml:space="preserve">Software, Embedded, </w:t>
      </w:r>
      <w:proofErr w:type="spellStart"/>
      <w:r>
        <w:t>IoT</w:t>
      </w:r>
      <w:proofErr w:type="spellEnd"/>
      <w:r>
        <w:t xml:space="preserve">, Robotics and AI share one pedagogy, not </w:t>
      </w:r>
      <w:proofErr w:type="spellStart"/>
      <w:r>
        <w:t>siloed</w:t>
      </w:r>
      <w:proofErr w:type="spellEnd"/>
      <w:r>
        <w:t xml:space="preserve"> tracks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Competitions are core curriculum, not an optional extracurricular</w:t>
      </w:r>
    </w:p>
    <w:p w:rsidR="008E291D" w:rsidRDefault="00E55FB4">
      <w:pPr>
        <w:pStyle w:val="Heading2"/>
        <w:spacing w:before="300" w:after="150"/>
      </w:pPr>
      <w:r>
        <w:t>What we deliberately trade away</w:t>
      </w:r>
    </w:p>
    <w:p w:rsidR="008E291D" w:rsidRDefault="00E55FB4">
      <w:pPr>
        <w:spacing w:after="160"/>
      </w:pPr>
      <w:r>
        <w:t xml:space="preserve">A knowledge-on-demand curriculum can leave gaps </w:t>
      </w:r>
      <w:r>
        <w:t>if no project happens to need a foundational concept — mitigated by an Anchor Knowledge checklist per stage. It's harder to staff and schedule than a fixed syllabus — mitigated by a tight Session Framework and Instructor Playbook. And it will look slower t</w:t>
      </w:r>
      <w:r>
        <w:t>han a syllabus competitor if measured by topics-per-month; it should look faster measured by “can this student build something new, alone.”</w:t>
      </w:r>
    </w:p>
    <w:p w:rsidR="008E291D" w:rsidRDefault="00E55FB4">
      <w:r>
        <w:br w:type="page"/>
      </w:r>
    </w:p>
    <w:p w:rsidR="008E291D" w:rsidRDefault="00E55FB4">
      <w:pPr>
        <w:pStyle w:val="Heading1"/>
        <w:spacing w:before="400"/>
      </w:pPr>
      <w:r>
        <w:lastRenderedPageBreak/>
        <w:t>Part 2 — Organizational Structure</w:t>
      </w:r>
    </w:p>
    <w:p w:rsidR="008E291D" w:rsidRDefault="00E55FB4">
      <w:pPr>
        <w:spacing w:after="160"/>
      </w:pPr>
      <w:r>
        <w:t>Built to answer the brief you gave: start from the idea-holder + investing partn</w:t>
      </w:r>
      <w:r>
        <w:t xml:space="preserve">er, and lay out the roles that get added as the company expands past the </w:t>
      </w:r>
      <w:proofErr w:type="spellStart"/>
      <w:r>
        <w:t>Menoufia</w:t>
      </w:r>
      <w:proofErr w:type="spellEnd"/>
      <w:r>
        <w:t xml:space="preserve"> pilot — without redesigning the structure each time.</w:t>
      </w:r>
    </w:p>
    <w:p w:rsidR="008E291D" w:rsidRDefault="00E55FB4">
      <w:pPr>
        <w:spacing w:before="150" w:after="60"/>
        <w:jc w:val="center"/>
      </w:pPr>
      <w:r>
        <w:rPr>
          <w:noProof/>
        </w:rPr>
        <w:drawing>
          <wp:inline distT="0" distB="0" distL="0" distR="0">
            <wp:extent cx="5715000" cy="4286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91D" w:rsidRDefault="00E55FB4">
      <w:pPr>
        <w:spacing w:after="220"/>
        <w:jc w:val="center"/>
      </w:pPr>
      <w:r>
        <w:rPr>
          <w:i/>
          <w:iCs/>
          <w:color w:val="5B6470"/>
          <w:sz w:val="18"/>
          <w:szCs w:val="18"/>
        </w:rPr>
        <w:t xml:space="preserve">Figure 6 — </w:t>
      </w:r>
      <w:proofErr w:type="gramStart"/>
      <w:r>
        <w:rPr>
          <w:i/>
          <w:iCs/>
          <w:color w:val="5B6470"/>
          <w:sz w:val="18"/>
          <w:szCs w:val="18"/>
        </w:rPr>
        <w:t>Founding</w:t>
      </w:r>
      <w:proofErr w:type="gramEnd"/>
      <w:r>
        <w:rPr>
          <w:i/>
          <w:iCs/>
          <w:color w:val="5B6470"/>
          <w:sz w:val="18"/>
          <w:szCs w:val="18"/>
        </w:rPr>
        <w:t xml:space="preserve"> team → first hires → expansion roles</w:t>
      </w:r>
    </w:p>
    <w:p w:rsidR="008E291D" w:rsidRDefault="00E55FB4">
      <w:pPr>
        <w:pStyle w:val="Heading2"/>
        <w:spacing w:before="300" w:after="150"/>
      </w:pPr>
      <w:r>
        <w:t>How to read it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Top: the two founders. One holds the vision, cu</w:t>
      </w:r>
      <w:r>
        <w:t>rriculum IP, and the original idea (CEO). One brings capital and typically owns Ops/Growth day-to-day (Co-Founder).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Stage 1 (roughly first 0–12 months): four functional leads — Curriculum &amp; Pedagogy, Lead Instructor/Learning Engineer, Ops &amp; Student Experie</w:t>
      </w:r>
      <w:r>
        <w:t>nce, Marketing &amp; Admissions. This is the minimum team to run one real pilot cohort properly.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Stage 2 (post-pilot expansion): each Stage 1 lead grows a small team under them — instructors per new cohort/city, curriculum designers, an assessment/passport tea</w:t>
      </w:r>
      <w:r>
        <w:t>m, finance &amp; admin — so the shape scales by adding depth under existing functions rather than inventing new top-level boxes.</w:t>
      </w:r>
    </w:p>
    <w:p w:rsidR="008E291D" w:rsidRDefault="00E55FB4">
      <w:pPr>
        <w:spacing w:after="160"/>
      </w:pPr>
      <w:r>
        <w:t xml:space="preserve">Keep it this flat for as long as possible. The two most common failure modes at this stage are (1) hiring management layers before </w:t>
      </w:r>
      <w:r>
        <w:t>there is a pilot to manage, and (2) letting the investing partner default into a vague “co-CEO” role instead of an owned function — decide explicitly which functions each founder owns from day one, in writing.</w:t>
      </w:r>
    </w:p>
    <w:p w:rsidR="008E291D" w:rsidRDefault="00E55FB4">
      <w:r>
        <w:br w:type="page"/>
      </w:r>
    </w:p>
    <w:p w:rsidR="008E291D" w:rsidRDefault="00E55FB4">
      <w:pPr>
        <w:pStyle w:val="Heading1"/>
        <w:spacing w:before="400"/>
      </w:pPr>
      <w:r>
        <w:lastRenderedPageBreak/>
        <w:t>Part 3 — Partnership &amp; Equity Structure</w:t>
      </w:r>
    </w:p>
    <w:p w:rsidR="008E291D" w:rsidRDefault="00E55FB4">
      <w:pPr>
        <w:spacing w:after="160"/>
      </w:pPr>
      <w:r>
        <w:t xml:space="preserve">You </w:t>
      </w:r>
      <w:r>
        <w:t>bring the idea, the curriculum design, and (presumably) the early full-time work. Your partner is proposing to invest 20,000 EGP. Below is the factual framework for thinking about the split — not a specific recommendation, since the right number depends on</w:t>
      </w:r>
      <w:r>
        <w:t xml:space="preserve"> facts only you have (valuation, roles going forward, how much of your own time/money is already in). This is general information, not legal or financial advice — have a lawyer draft the actual shareholder agreement, especially for a formal Egyptian compan</w:t>
      </w:r>
      <w:r>
        <w:t xml:space="preserve">y (e.g. an LLC / </w:t>
      </w:r>
      <w:r>
        <w:rPr>
          <w:rtl/>
        </w:rPr>
        <w:t>ش</w:t>
      </w:r>
      <w:r>
        <w:t>.</w:t>
      </w:r>
      <w:r>
        <w:rPr>
          <w:rtl/>
        </w:rPr>
        <w:t>ذ</w:t>
      </w:r>
      <w:r>
        <w:t>.</w:t>
      </w:r>
      <w:r>
        <w:rPr>
          <w:rtl/>
        </w:rPr>
        <w:t>م</w:t>
      </w:r>
      <w:r>
        <w:t>.</w:t>
      </w:r>
      <w:r>
        <w:rPr>
          <w:rtl/>
        </w:rPr>
        <w:t>م</w:t>
      </w:r>
      <w:r>
        <w:t>).</w:t>
      </w:r>
    </w:p>
    <w:p w:rsidR="008E291D" w:rsidRDefault="00E55FB4">
      <w:pPr>
        <w:pStyle w:val="Heading2"/>
        <w:spacing w:before="300" w:after="150"/>
      </w:pPr>
      <w:r>
        <w:t>1. The core question: is 20,000 EGP buying equity, or is it a loan?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 xml:space="preserve">Straight equity: your partner permanently owns a % of the company in exchange for the cash. Simple, but hard to undo if the relationship or contribution doesn't </w:t>
      </w:r>
      <w:r>
        <w:t>work out.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Convertible note / SAFE-style instrument: the 20,000 EGP is a loan (or a right to future equity) that converts to shares later, usually at a discount, once there's a priced round or a trigger event. Common when the company's value is too uncertai</w:t>
      </w:r>
      <w:r>
        <w:t>n to price fairly today.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Salary/consulting instead of equity: if your partner'</w:t>
      </w:r>
      <w:r>
        <w:t>s ongoing contribution is mostly capital, not full-time work, some founders prefer to keep equity concentrated in the operating founder and pay the investor back with a return (interest, profit share, or a fixed multiple) rather than permanent ownership.</w:t>
      </w:r>
    </w:p>
    <w:p w:rsidR="008E291D" w:rsidRDefault="00E55FB4">
      <w:pPr>
        <w:pStyle w:val="Heading2"/>
        <w:spacing w:before="300" w:after="150"/>
      </w:pPr>
      <w:r>
        <w:t>2</w:t>
      </w:r>
      <w:r>
        <w:t>. If it is equity — the standard way to size it</w:t>
      </w:r>
    </w:p>
    <w:p w:rsidR="008E291D" w:rsidRDefault="00E55FB4">
      <w:pPr>
        <w:spacing w:after="160"/>
      </w:pPr>
      <w:r>
        <w:t>The usual approach is a pre-money valuation: you and your partner agree what the company is worth before the cash goes in, then:</w:t>
      </w:r>
    </w:p>
    <w:p w:rsidR="008E291D" w:rsidRDefault="00E55FB4">
      <w:pPr>
        <w:pBdr>
          <w:left w:val="single" w:sz="18" w:space="8" w:color="D9A441"/>
        </w:pBdr>
        <w:spacing w:before="120" w:after="200"/>
        <w:ind w:left="504"/>
      </w:pPr>
      <w:r>
        <w:rPr>
          <w:i/>
          <w:iCs/>
          <w:color w:val="1B2A4A"/>
          <w:sz w:val="24"/>
          <w:szCs w:val="24"/>
        </w:rPr>
        <w:t>Investor's equity % = Investment ÷ (Pre-money valuation + Investment)</w:t>
      </w:r>
    </w:p>
    <w:p w:rsidR="008E291D" w:rsidRDefault="00E55FB4">
      <w:pPr>
        <w:spacing w:after="160"/>
      </w:pPr>
      <w:r>
        <w:t>Illustrat</w:t>
      </w:r>
      <w:r>
        <w:t>ive only — not a valuation of your company: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8E291D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b/>
                <w:bCs/>
                <w:color w:val="FFFFFF"/>
                <w:sz w:val="20"/>
                <w:szCs w:val="20"/>
              </w:rPr>
              <w:t>If pre-money valuation is…</w:t>
            </w:r>
          </w:p>
        </w:tc>
        <w:tc>
          <w:tcPr>
            <w:tcW w:w="45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b/>
                <w:bCs/>
                <w:color w:val="FFFFFF"/>
                <w:sz w:val="20"/>
                <w:szCs w:val="20"/>
              </w:rPr>
              <w:t>20,000 EGP buys roughly…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80,000 EGP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20% (post-money 100,000 EGP)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180,000 EGP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10% (post-money 200,000 EGP)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380,000 EGP</w:t>
            </w:r>
          </w:p>
        </w:tc>
        <w:tc>
          <w:tcPr>
            <w:tcW w:w="4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5% (post-money 400,000 EGP)</w:t>
            </w:r>
          </w:p>
        </w:tc>
      </w:tr>
    </w:tbl>
    <w:p w:rsidR="008E291D" w:rsidRDefault="00E55FB4">
      <w:pPr>
        <w:spacing w:after="160"/>
      </w:pPr>
      <w:r>
        <w:t>At a true pre-idea, pre-revenue stage there is no market price — the number is a negotiation, not a calculation. What usually justifies a lower valuation (more equity for less cash) is: no pilot yet, no revenue, high execution risk. What justifies a higher</w:t>
      </w:r>
      <w:r>
        <w:t xml:space="preserve"> valuation (less equity for the same cash) is: a working pilot, a validated curriculum, initial enrollments, or IP already built — all things your Document 01–04 pedagogy work already represents as value you're contributing pre-money.</w:t>
      </w:r>
    </w:p>
    <w:p w:rsidR="008E291D" w:rsidRDefault="00E55FB4">
      <w:pPr>
        <w:pStyle w:val="Heading2"/>
        <w:spacing w:before="300" w:after="150"/>
      </w:pPr>
      <w:r>
        <w:t>3. Idea + sweat equit</w:t>
      </w:r>
      <w:r>
        <w:t>y vs. cash — how founders usually weigh it</w:t>
      </w:r>
    </w:p>
    <w:p w:rsidR="008E291D" w:rsidRDefault="00E55FB4">
      <w:pPr>
        <w:spacing w:after="160"/>
      </w:pPr>
      <w:r>
        <w:t>A common founder heuristic (popularized by tools like the “Founders' Pie Calculator” and “Slicing Pie”) is to price each contribution type separately rather than debate a single number in the abstract: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 xml:space="preserve">Idea alone </w:t>
      </w:r>
      <w:r>
        <w:t>is usually weighted low — ideas are cheap; execution is what's scarce.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Full-time, ongoing work (building the curriculum, teaching, running the pilot) is usually weighted highest, because it's the input most likely to determine whether the company survives.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lastRenderedPageBreak/>
        <w:t>Cash at the pre-seed stage is real and necessary, but typically buys less equity per pound than an equivalent amount of full-time founder work, precisely because cash is more replaceable than a working product.</w:t>
      </w:r>
    </w:p>
    <w:p w:rsidR="008E291D" w:rsidRDefault="00E55FB4">
      <w:pPr>
        <w:spacing w:after="160"/>
      </w:pPr>
      <w:r>
        <w:t>If you are working on SANA3 full-time (or ne</w:t>
      </w:r>
      <w:r>
        <w:t>ar it) and your partner is not, that asymmetry is normally the single biggest factor pulling the split toward you — more than the idea itself.</w:t>
      </w:r>
    </w:p>
    <w:p w:rsidR="008E291D" w:rsidRDefault="00E55FB4">
      <w:pPr>
        <w:pStyle w:val="Heading2"/>
        <w:spacing w:before="300" w:after="150"/>
      </w:pPr>
      <w:r>
        <w:t>4. Protect both sides regardless of the split you land on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Vesting: standard practice is 4-year vesting with a 1-y</w:t>
      </w:r>
      <w:r>
        <w:t>ear cliff for both founders' equity — including yours. This protects the company if either person leaves early, and signals seriousness to any future investor.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Written founder/shareholder agreement: even at 20,000 EGP, put the split, roles, decision rights</w:t>
      </w:r>
      <w:r>
        <w:t>, and what happens if one person leaves in writing before the money moves.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IP assignment: make sure the curriculum, brand, and any code/documents (like Documents 01–04) are explicitly assigned to the company, not left as your personal property, so the equity you're both getting is equity in something the company actually owns.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De</w:t>
      </w:r>
      <w:r>
        <w:t>cide governance separately from equity: equity % doesn't have to equal voting control or who has final say on curriculum vs. spending — those can be set explicitly in the agreement regardless of the ownership split.</w:t>
      </w:r>
    </w:p>
    <w:p w:rsidR="008E291D" w:rsidRDefault="00E55FB4">
      <w:pPr>
        <w:pStyle w:val="Heading2"/>
        <w:spacing w:before="300" w:after="150"/>
      </w:pPr>
      <w:r>
        <w:t>5. A concrete next step</w:t>
      </w:r>
    </w:p>
    <w:p w:rsidR="008E291D" w:rsidRDefault="00E55FB4">
      <w:pPr>
        <w:spacing w:after="160"/>
      </w:pPr>
      <w:r>
        <w:t>Pick a pre-money</w:t>
      </w:r>
      <w:r>
        <w:t xml:space="preserve"> valuation you can both defend in one sentence (e.g. “we're valuing the pre-pilot curriculum and brand at X EGP because…”), run it through the formula above, then sanity-check the result against how much ongoing time each of you is actually putting in. If </w:t>
      </w:r>
      <w:r>
        <w:t xml:space="preserve">you can't agree on a valuation yet, the convertible-note route lets the 20,000 EGP go in now and the equity conversation happen later, once the </w:t>
      </w:r>
      <w:proofErr w:type="spellStart"/>
      <w:r>
        <w:t>Menoufia</w:t>
      </w:r>
      <w:proofErr w:type="spellEnd"/>
      <w:r>
        <w:t xml:space="preserve"> pilot gives you real numbers to price it with.</w:t>
      </w:r>
    </w:p>
    <w:p w:rsidR="008E291D" w:rsidRDefault="00E55FB4">
      <w:r>
        <w:br w:type="page"/>
      </w:r>
    </w:p>
    <w:p w:rsidR="008E291D" w:rsidRDefault="00E55FB4">
      <w:pPr>
        <w:pStyle w:val="Heading1"/>
        <w:spacing w:before="400"/>
      </w:pPr>
      <w:r>
        <w:lastRenderedPageBreak/>
        <w:t>Part 4 — Co-founder Split &amp; Investor Profit Models (Wo</w:t>
      </w:r>
      <w:r>
        <w:t>rked Example)</w:t>
      </w:r>
    </w:p>
    <w:p w:rsidR="008E291D" w:rsidRDefault="00E55FB4">
      <w:pPr>
        <w:spacing w:after="160"/>
      </w:pPr>
      <w:r>
        <w:t xml:space="preserve">This section applies the Part 3 framework to your actual situation: an operating co-founder (full-time, owns the Ops function, also investing 20,000 EGP) and, separately, the possibility of a silent third-party investor. As before, this is a </w:t>
      </w:r>
      <w:r>
        <w:t>starting framework to negotiate from, not a fixed answer — the right numbers depend on facts only you and your co-founder have.</w:t>
      </w:r>
    </w:p>
    <w:p w:rsidR="008E291D" w:rsidRDefault="00E55FB4">
      <w:pPr>
        <w:pStyle w:val="Heading2"/>
        <w:spacing w:before="300" w:after="150"/>
      </w:pPr>
      <w:r>
        <w:t>1. You ↔ Operating Co-founder</w:t>
      </w:r>
    </w:p>
    <w:p w:rsidR="008E291D" w:rsidRDefault="00E55FB4">
      <w:pPr>
        <w:spacing w:after="160"/>
      </w:pPr>
      <w:r>
        <w:t xml:space="preserve">Since you're both full-time, this isn't “idea vs. money” anymore — </w:t>
      </w:r>
      <w:proofErr w:type="gramStart"/>
      <w:r>
        <w:t>it's</w:t>
      </w:r>
      <w:proofErr w:type="gramEnd"/>
      <w:r>
        <w:t xml:space="preserve"> two full-time contributors</w:t>
      </w:r>
      <w:r>
        <w:t>, one of whom also originated the idea and curriculum IP and is putting in cash on top. A simple weighted way to reach a defensible number: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400"/>
        <w:gridCol w:w="1900"/>
        <w:gridCol w:w="2100"/>
      </w:tblGrid>
      <w:tr w:rsidR="008E291D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b/>
                <w:bCs/>
                <w:color w:val="FFFFFF"/>
                <w:sz w:val="20"/>
                <w:szCs w:val="20"/>
              </w:rPr>
              <w:t>Contribution factor</w:t>
            </w:r>
          </w:p>
        </w:tc>
        <w:tc>
          <w:tcPr>
            <w:tcW w:w="14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19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b/>
                <w:bCs/>
                <w:color w:val="FFFFFF"/>
                <w:sz w:val="20"/>
                <w:szCs w:val="20"/>
              </w:rPr>
              <w:t>You get</w:t>
            </w:r>
          </w:p>
        </w:tc>
        <w:tc>
          <w:tcPr>
            <w:tcW w:w="21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b/>
                <w:bCs/>
                <w:color w:val="FFFFFF"/>
                <w:sz w:val="20"/>
                <w:szCs w:val="20"/>
              </w:rPr>
              <w:t>Co-founder gets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Original idea + curriculum IP (Docs 01–04)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 w:rsidP="00E55FB4">
            <w:r>
              <w:rPr>
                <w:color w:val="000000"/>
                <w:sz w:val="20"/>
                <w:szCs w:val="20"/>
              </w:rPr>
              <w:t>17.5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 w:rsidP="00E55FB4">
            <w:r>
              <w:rPr>
                <w:color w:val="000000"/>
                <w:sz w:val="20"/>
                <w:szCs w:val="20"/>
              </w:rPr>
              <w:t>17.5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Full-time ongoing work (assumed equal effort)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50%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Cash invested (20,000 EGP, co-founder only)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10%</w:t>
            </w:r>
          </w:p>
        </w:tc>
        <w:bookmarkStart w:id="0" w:name="_GoBack"/>
        <w:bookmarkEnd w:id="0"/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Risk taken / domain role (CEO vs. Ops)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12.5%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12.5%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 w:rsidP="00E55FB4">
            <w:r>
              <w:rPr>
                <w:color w:val="000000"/>
                <w:sz w:val="20"/>
                <w:szCs w:val="20"/>
              </w:rPr>
              <w:t>~55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21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 w:rsidP="00E55FB4">
            <w:r>
              <w:rPr>
                <w:color w:val="000000"/>
                <w:sz w:val="20"/>
                <w:szCs w:val="20"/>
              </w:rPr>
              <w:t>~45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</w:tr>
    </w:tbl>
    <w:p w:rsidR="008E291D" w:rsidRDefault="00E55FB4">
      <w:pPr>
        <w:spacing w:after="160"/>
      </w:pPr>
      <w:r>
        <w:t>That lands close to even, tilted slightly toward you for the idea and IP — normal when both people work full-time. Founders typically round this to a clean number like 55/45 or 60/40 rather than using the decimal. There is no single correct split; this sho</w:t>
      </w:r>
      <w:r>
        <w:t>ws why a small tilt toward you is defensible even though your co-founder is contributing real cash and real work.</w:t>
      </w:r>
    </w:p>
    <w:p w:rsidR="008E291D" w:rsidRDefault="00E55FB4">
      <w:pPr>
        <w:spacing w:after="160"/>
      </w:pPr>
      <w:r>
        <w:t xml:space="preserve">Whatever number you land on: apply 4-year vesting with a 1-year cliff to both stakes. That protects the split if either of you leaves in year </w:t>
      </w:r>
      <w:r>
        <w:t>one.</w:t>
      </w:r>
    </w:p>
    <w:p w:rsidR="008E291D" w:rsidRDefault="00E55FB4">
      <w:pPr>
        <w:pStyle w:val="Heading2"/>
        <w:spacing w:before="300" w:after="150"/>
      </w:pPr>
      <w:r>
        <w:t>2. Silent / Third-Party Investor (No Operational Role)</w:t>
      </w:r>
    </w:p>
    <w:p w:rsidR="008E291D" w:rsidRDefault="00E55FB4">
      <w:pPr>
        <w:spacing w:after="160"/>
      </w:pPr>
      <w:r>
        <w:t>This is a genuinely different relationship from the co-founder split above, and it can be structured two ways:</w:t>
      </w:r>
    </w:p>
    <w:p w:rsidR="008E291D" w:rsidRDefault="00E55FB4">
      <w:pPr>
        <w:pStyle w:val="Heading2"/>
        <w:spacing w:before="300" w:after="150"/>
      </w:pPr>
      <w:r>
        <w:t xml:space="preserve">Model </w:t>
      </w:r>
      <w:proofErr w:type="gramStart"/>
      <w:r>
        <w:t>A</w:t>
      </w:r>
      <w:proofErr w:type="gramEnd"/>
      <w:r>
        <w:t xml:space="preserve"> — Equity (they own a piece forever)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Ownership % = Investment ÷ (Pre-money val</w:t>
      </w:r>
      <w:r>
        <w:t>uation + Investment). Example: 20,000 EGP into a company valued at 180,000 EGP pre-money → ~10% ownership.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Their profit = that % of any future dividends/profit distributions, plus that % of the sale price if the company is ever sold — for as long as they h</w:t>
      </w:r>
      <w:r>
        <w:t>old the shares, however large the company grows.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Upside is uncapped for them; downside is they can end up with 10% of nothing if it fails.</w:t>
      </w:r>
    </w:p>
    <w:p w:rsidR="008E291D" w:rsidRDefault="00E55FB4">
      <w:pPr>
        <w:pStyle w:val="Heading2"/>
        <w:spacing w:before="300" w:after="150"/>
      </w:pPr>
      <w:r>
        <w:t>Model B — Loan / Fixed Return (they get paid back and walk away)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Treat the 20,000 EGP as a loan, not equity: principa</w:t>
      </w:r>
      <w:r>
        <w:t>l back plus an agreed fixed return — e.g. 1.5x–2x their money within 2–3 years, or a stated interest rate, paid from profits or revenue.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lastRenderedPageBreak/>
        <w:t>Once repaid, they have zero further claim on the company — no ownership, no upside if you grow large, no say in decisio</w:t>
      </w:r>
      <w:r>
        <w:t>ns.</w:t>
      </w:r>
    </w:p>
    <w:p w:rsidR="008E291D" w:rsidRDefault="00E55FB4">
      <w:pPr>
        <w:pStyle w:val="ListParagraph"/>
        <w:numPr>
          <w:ilvl w:val="0"/>
          <w:numId w:val="1"/>
        </w:numPr>
        <w:spacing w:after="80"/>
      </w:pPr>
      <w:r>
        <w:t>Lower risk, lower reward for them; keeps 100% of the equity between you and the operating co-founder.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00"/>
      </w:tblGrid>
      <w:tr w:rsidR="008E291D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8E291D"/>
        </w:tc>
        <w:tc>
          <w:tcPr>
            <w:tcW w:w="35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b/>
                <w:bCs/>
                <w:color w:val="FFFFFF"/>
                <w:sz w:val="20"/>
                <w:szCs w:val="20"/>
              </w:rPr>
              <w:t>Equity model</w:t>
            </w:r>
          </w:p>
        </w:tc>
        <w:tc>
          <w:tcPr>
            <w:tcW w:w="35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b/>
                <w:bCs/>
                <w:color w:val="FFFFFF"/>
                <w:sz w:val="20"/>
                <w:szCs w:val="20"/>
              </w:rPr>
              <w:t>Loan / fixed-return model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What they get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% ownership forever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Money back + fixed return, then done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Upside if you succeed big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Uncapped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Capped at the agreed multiple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Downside if you fail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Can lose it all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Same, but no dilution if you do succeed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Dilutes future rounds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No</w:t>
            </w:r>
          </w:p>
        </w:tc>
      </w:tr>
      <w:tr w:rsidR="008E291D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Best when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You want a long-term backer, not just cash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E291D" w:rsidRDefault="00E55FB4">
            <w:r>
              <w:rPr>
                <w:color w:val="000000"/>
                <w:sz w:val="20"/>
                <w:szCs w:val="20"/>
              </w:rPr>
              <w:t>You want cash without giving up permanent ownership</w:t>
            </w:r>
          </w:p>
        </w:tc>
      </w:tr>
    </w:tbl>
    <w:p w:rsidR="008E291D" w:rsidRDefault="00E55FB4">
      <w:pPr>
        <w:pStyle w:val="Heading2"/>
        <w:spacing w:before="300" w:after="150"/>
      </w:pPr>
      <w:r>
        <w:t>A common mi</w:t>
      </w:r>
      <w:r>
        <w:t>ddle ground for a small check (~20,000 EGP)</w:t>
      </w:r>
    </w:p>
    <w:p w:rsidR="008E291D" w:rsidRDefault="00E55FB4">
      <w:pPr>
        <w:spacing w:after="160"/>
      </w:pPr>
      <w:r>
        <w:t>Give them a profit-share instead of equity — e.g. 20% of net profit until they'</w:t>
      </w:r>
      <w:r>
        <w:t>ve received 2x their money back (40,000 EGP), then it either stops entirely or drops to a small permanent trailing % (2–3%). This avoids diluting the cap table for a relatively small amount while still rewarding early risk.</w:t>
      </w:r>
    </w:p>
    <w:p w:rsidR="008E291D" w:rsidRDefault="00E55FB4">
      <w:pPr>
        <w:spacing w:after="160"/>
      </w:pPr>
      <w:r>
        <w:t>Either way, define “profit” in w</w:t>
      </w:r>
      <w:r>
        <w:t xml:space="preserve">riting as net profit after costs and founder salaries, not revenue — undefined “profit share” language is the most common source of later disputes. And since real money is changing hands, get a one-page signed agreement before it does; the actual contract </w:t>
      </w:r>
      <w:r>
        <w:t>language, especially once the company is formally registered, is worth 30 minutes with a lawyer.</w:t>
      </w:r>
    </w:p>
    <w:sectPr w:rsidR="008E291D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7B5929"/>
    <w:multiLevelType w:val="hybridMultilevel"/>
    <w:tmpl w:val="6512F628"/>
    <w:lvl w:ilvl="0" w:tplc="DEBC8812">
      <w:start w:val="1"/>
      <w:numFmt w:val="bullet"/>
      <w:lvlText w:val="●"/>
      <w:lvlJc w:val="left"/>
      <w:pPr>
        <w:ind w:left="720" w:hanging="360"/>
      </w:pPr>
    </w:lvl>
    <w:lvl w:ilvl="1" w:tplc="BF9098FE">
      <w:start w:val="1"/>
      <w:numFmt w:val="bullet"/>
      <w:lvlText w:val="○"/>
      <w:lvlJc w:val="left"/>
      <w:pPr>
        <w:ind w:left="1440" w:hanging="360"/>
      </w:pPr>
    </w:lvl>
    <w:lvl w:ilvl="2" w:tplc="F24E50E4">
      <w:start w:val="1"/>
      <w:numFmt w:val="bullet"/>
      <w:lvlText w:val="■"/>
      <w:lvlJc w:val="left"/>
      <w:pPr>
        <w:ind w:left="2160" w:hanging="360"/>
      </w:pPr>
    </w:lvl>
    <w:lvl w:ilvl="3" w:tplc="91D07C9A">
      <w:start w:val="1"/>
      <w:numFmt w:val="bullet"/>
      <w:lvlText w:val="●"/>
      <w:lvlJc w:val="left"/>
      <w:pPr>
        <w:ind w:left="2880" w:hanging="360"/>
      </w:pPr>
    </w:lvl>
    <w:lvl w:ilvl="4" w:tplc="9D0A0672">
      <w:start w:val="1"/>
      <w:numFmt w:val="bullet"/>
      <w:lvlText w:val="○"/>
      <w:lvlJc w:val="left"/>
      <w:pPr>
        <w:ind w:left="3600" w:hanging="360"/>
      </w:pPr>
    </w:lvl>
    <w:lvl w:ilvl="5" w:tplc="83806356">
      <w:start w:val="1"/>
      <w:numFmt w:val="bullet"/>
      <w:lvlText w:val="■"/>
      <w:lvlJc w:val="left"/>
      <w:pPr>
        <w:ind w:left="4320" w:hanging="360"/>
      </w:pPr>
    </w:lvl>
    <w:lvl w:ilvl="6" w:tplc="336C279E">
      <w:start w:val="1"/>
      <w:numFmt w:val="bullet"/>
      <w:lvlText w:val="●"/>
      <w:lvlJc w:val="left"/>
      <w:pPr>
        <w:ind w:left="5040" w:hanging="360"/>
      </w:pPr>
    </w:lvl>
    <w:lvl w:ilvl="7" w:tplc="56403CEE">
      <w:start w:val="1"/>
      <w:numFmt w:val="bullet"/>
      <w:lvlText w:val="●"/>
      <w:lvlJc w:val="left"/>
      <w:pPr>
        <w:ind w:left="5760" w:hanging="360"/>
      </w:pPr>
    </w:lvl>
    <w:lvl w:ilvl="8" w:tplc="FF867A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91D"/>
    <w:rsid w:val="008E291D"/>
    <w:rsid w:val="00E5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CD0B72D-F29F-4324-AD34-C48A886FC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D9A441"/>
      </w:pBdr>
      <w:spacing w:before="300" w:after="20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2296</Words>
  <Characters>13090</Characters>
  <Application>Microsoft Office Word</Application>
  <DocSecurity>0</DocSecurity>
  <Lines>109</Lines>
  <Paragraphs>30</Paragraphs>
  <ScaleCrop>false</ScaleCrop>
  <Company/>
  <LinksUpToDate>false</LinksUpToDate>
  <CharactersWithSpaces>15356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</cp:lastModifiedBy>
  <cp:revision>2</cp:revision>
  <dcterms:created xsi:type="dcterms:W3CDTF">2026-08-07T22:44:00Z</dcterms:created>
  <dcterms:modified xsi:type="dcterms:W3CDTF">2026-08-07T22:49:00Z</dcterms:modified>
</cp:coreProperties>
</file>