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44" w:after="200"/>
      </w:pPr>
      <w:r>
        <w:rPr>
          <w:rFonts w:ascii="Aptos" w:hAnsi="Aptos"/>
          <w:b/>
          <w:color w:val="426B4D"/>
          <w:sz w:val="20"/>
        </w:rPr>
        <w:t>NOURISHLANDXR</w:t>
      </w:r>
    </w:p>
    <w:p>
      <w:pPr>
        <w:keepNext/>
        <w:spacing w:after="160"/>
      </w:pPr>
      <w:r>
        <w:rPr>
          <w:rFonts w:ascii="Aptos Display" w:hAnsi="Aptos Display"/>
          <w:b/>
          <w:color w:val="1D2B23"/>
          <w:sz w:val="56"/>
        </w:rPr>
        <w:t>Demo Content Reference</w:t>
      </w:r>
    </w:p>
    <w:p>
      <w:pPr>
        <w:pStyle w:val="Subtitle"/>
        <w:spacing w:after="360"/>
      </w:pPr>
      <w:r>
        <w:rPr>
          <w:rFonts w:ascii="Aptos" w:hAnsi="Aptos"/>
          <w:color w:val="657069"/>
          <w:sz w:val="25"/>
        </w:rPr>
        <w:t>Canonical sequence, interface copy and maintenance protocol</w:t>
      </w:r>
    </w:p>
    <w:p>
      <w:pPr>
        <w:spacing w:after="360"/>
        <w:pBdr>
          <w:bottom w:val="single" w:sz="18" w:space="1" w:color="426B4D"/>
        </w:pBdr>
      </w:pPr>
      <w:r>
        <w:rPr>
          <w:sz w:val="2"/>
        </w:rPr>
        <w:t xml:space="preserve"> </w:t>
      </w:r>
    </w:p>
    <w:tbl>
      <w:tblPr>
        <w:tblW w:type="auto" w:w="0"/>
        <w:tblLayout w:type="fixed"/>
        <w:tblLook w:firstColumn="1" w:firstRow="1" w:lastColumn="0" w:lastRow="0" w:noHBand="0" w:noVBand="1" w:val="04A0"/>
      </w:tblPr>
      <w:tblGrid>
        <w:gridCol w:w="2160"/>
        <w:gridCol w:w="6984"/>
      </w:tblGrid>
      <w:tr>
        <w:trPr>
          <w:cantSplit/>
        </w:trPr>
        <w:tc>
          <w:tcPr>
            <w:tcW w:type="dxa" w:w="4831"/>
            <w:tcBorders>
              <w:bottom w:val="single" w:sz="5" w:space="0" w:color="C8D1C9"/>
            </w:tcBorders>
          </w:tcPr>
          <w:p>
            <w:r>
              <w:rPr>
                <w:rFonts w:ascii="Aptos" w:hAnsi="Aptos"/>
                <w:b/>
                <w:color w:val="426B4D"/>
                <w:sz w:val="16"/>
              </w:rPr>
              <w:t>APPLICATION VERSION</w:t>
            </w:r>
          </w:p>
        </w:tc>
        <w:tc>
          <w:tcPr>
            <w:tcW w:type="dxa" w:w="4831"/>
            <w:tcBorders>
              <w:bottom w:val="single" w:sz="5" w:space="0" w:color="C8D1C9"/>
            </w:tcBorders>
          </w:tcPr>
          <w:p>
            <w:r>
              <w:rPr>
                <w:rFonts w:ascii="Aptos" w:hAnsi="Aptos"/>
                <w:color w:val="1D2B23"/>
                <w:sz w:val="19"/>
              </w:rPr>
              <w:t>0.9101</w:t>
            </w:r>
          </w:p>
        </w:tc>
      </w:tr>
      <w:tr>
        <w:trPr>
          <w:cantSplit/>
        </w:trPr>
        <w:tc>
          <w:tcPr>
            <w:tcW w:type="dxa" w:w="4831"/>
            <w:tcBorders>
              <w:bottom w:val="single" w:sz="5" w:space="0" w:color="C8D1C9"/>
            </w:tcBorders>
          </w:tcPr>
          <w:p>
            <w:r>
              <w:rPr>
                <w:rFonts w:ascii="Aptos" w:hAnsi="Aptos"/>
                <w:b/>
                <w:color w:val="426B4D"/>
                <w:sz w:val="16"/>
              </w:rPr>
              <w:t>LAST SYNCHRONIZED</w:t>
            </w:r>
          </w:p>
        </w:tc>
        <w:tc>
          <w:tcPr>
            <w:tcW w:type="dxa" w:w="4831"/>
            <w:tcBorders>
              <w:bottom w:val="single" w:sz="5" w:space="0" w:color="C8D1C9"/>
            </w:tcBorders>
          </w:tcPr>
          <w:p>
            <w:r>
              <w:rPr>
                <w:rFonts w:ascii="Aptos" w:hAnsi="Aptos"/>
                <w:color w:val="1D2B23"/>
                <w:sz w:val="19"/>
              </w:rPr>
              <w:t>22 September 2026</w:t>
            </w:r>
          </w:p>
        </w:tc>
      </w:tr>
      <w:tr>
        <w:trPr>
          <w:cantSplit/>
        </w:trPr>
        <w:tc>
          <w:tcPr>
            <w:tcW w:type="dxa" w:w="4831"/>
            <w:tcBorders>
              <w:bottom w:val="single" w:sz="5" w:space="0" w:color="C8D1C9"/>
            </w:tcBorders>
          </w:tcPr>
          <w:p>
            <w:r>
              <w:rPr>
                <w:rFonts w:ascii="Aptos" w:hAnsi="Aptos"/>
                <w:b/>
                <w:color w:val="426B4D"/>
                <w:sz w:val="16"/>
              </w:rPr>
              <w:t>REFERENCE STATUS</w:t>
            </w:r>
          </w:p>
        </w:tc>
        <w:tc>
          <w:tcPr>
            <w:tcW w:type="dxa" w:w="4831"/>
            <w:tcBorders>
              <w:bottom w:val="single" w:sz="5" w:space="0" w:color="C8D1C9"/>
            </w:tcBorders>
          </w:tcPr>
          <w:p>
            <w:r>
              <w:rPr>
                <w:rFonts w:ascii="Aptos" w:hAnsi="Aptos"/>
                <w:color w:val="1D2B23"/>
                <w:sz w:val="19"/>
              </w:rPr>
              <w:t>Current implementation baseline</w:t>
            </w:r>
          </w:p>
        </w:tc>
      </w:tr>
    </w:tbl>
    <w:p>
      <w:pPr>
        <w:spacing w:after="160"/>
      </w:pPr>
    </w:p>
    <w:p>
      <w:pPr>
        <w:spacing w:after="160" w:line="259" w:lineRule="auto"/>
      </w:pPr>
      <w:r>
        <w:rPr>
          <w:rFonts w:ascii="Aptos" w:hAnsi="Aptos"/>
          <w:i w:val="0"/>
          <w:color w:val="1D2B23"/>
          <w:sz w:val="20"/>
        </w:rPr>
        <w:t>This document records the visitor-facing content and intended progression of the current Try It Now demo. It is the working content reference for future edits: implementation and document should remain synchronized.</w:t>
      </w:r>
    </w:p>
    <w:p>
      <w:pPr>
        <w:spacing w:after="0" w:line="259" w:lineRule="auto"/>
      </w:pPr>
      <w:r>
        <w:rPr>
          <w:rFonts w:ascii="Aptos" w:hAnsi="Aptos"/>
          <w:i/>
          <w:color w:val="657069"/>
          <w:sz w:val="20"/>
        </w:rPr>
        <w:t>The source implementation remains authoritative for interaction logic and rendering. This document is authoritative for reviewing the experience, wording and sequence as a whole.</w:t>
      </w:r>
    </w:p>
    <w:p>
      <w:r>
        <w:br w:type="page"/>
      </w:r>
    </w:p>
    <w:p>
      <w:pPr>
        <w:pStyle w:val="Heading1"/>
      </w:pPr>
      <w:r>
        <w:t>1. Status and source map</w:t>
      </w:r>
    </w:p>
    <w:p>
      <w:pPr>
        <w:spacing w:after="120" w:line="259" w:lineRule="auto"/>
      </w:pPr>
      <w:r>
        <w:rPr>
          <w:rFonts w:ascii="Aptos" w:hAnsi="Aptos"/>
          <w:i w:val="0"/>
          <w:color w:val="1D2B23"/>
          <w:sz w:val="20"/>
        </w:rPr>
        <w:t>Status: Up to date with application version 0.9101. The former file at this path was an empty 0-byte placeholder; it has been rebuilt from the current implementation.</w:t>
      </w:r>
    </w:p>
    <w:p>
      <w:pPr>
        <w:keepNext/>
        <w:spacing w:before="200" w:after="60"/>
      </w:pPr>
      <w:r>
        <w:rPr>
          <w:rFonts w:ascii="Aptos" w:hAnsi="Aptos"/>
          <w:b/>
          <w:color w:val="426B4D"/>
          <w:sz w:val="16"/>
        </w:rPr>
        <w:t>PRIMARY IMPLEMENTATION SOURCES</w:t>
      </w:r>
    </w:p>
    <w:tbl>
      <w:tblPr>
        <w:tblW w:type="auto" w:w="0"/>
        <w:tblLayout w:type="fixed"/>
        <w:tblLook w:firstColumn="1" w:firstRow="1" w:lastColumn="0" w:lastRow="0" w:noHBand="0" w:noVBand="1" w:val="04A0"/>
      </w:tblPr>
      <w:tblGrid>
        <w:gridCol w:w="2880"/>
        <w:gridCol w:w="6264"/>
      </w:tblGrid>
      <w:tr>
        <w:trPr>
          <w:tblHeader w:val="true"/>
        </w:trPr>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Source</w:t>
            </w:r>
          </w:p>
        </w:tc>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Responsibility</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app/screens/temporaryArDemo.js</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Main visitor sequence, stage copy, placement prompts, controls and optional modules.</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app/services/arWelcomeShowcase.js</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Original green LIM surface, cell layout, parent-first organic opening and reveal timing.</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app/services/limLearning.js</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LIM topics, optional pathway structure and learning content.</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app/services/pigeonPeaExample.js</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Pigeon Pea identity and web-mode summary.</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app/services/pigeonPeaPim.js</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Canonical Pigeon Pea Plant Information Mesh.</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app/services/demoTutorialControls.js</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Deterministic tutorial action visibility.</w:t>
            </w:r>
          </w:p>
        </w:tc>
      </w:tr>
    </w:tbl>
    <w:p>
      <w:pPr>
        <w:spacing w:after="20"/>
      </w:pPr>
    </w:p>
    <w:p>
      <w:pPr>
        <w:pStyle w:val="Heading1"/>
      </w:pPr>
      <w:r>
        <w:t>2. Demo sequence at a glance</w:t>
      </w:r>
    </w:p>
    <w:p>
      <w:pPr>
        <w:spacing w:after="80"/>
        <w:ind w:left="403" w:hanging="403"/>
      </w:pPr>
      <w:r>
        <w:rPr>
          <w:rFonts w:ascii="Aptos" w:hAnsi="Aptos"/>
          <w:b/>
          <w:color w:val="426B4D"/>
          <w:sz w:val="18"/>
        </w:rPr>
        <w:t>1.</w:t>
      </w:r>
      <w:r>
        <w:rPr>
          <w:rFonts w:ascii="Aptos" w:hAnsi="Aptos"/>
          <w:color w:val="1D2B23"/>
          <w:sz w:val="19"/>
        </w:rPr>
        <w:t xml:space="preserve">  Welcome to Nourishland — the original 62-sided green LIM surface grows through parent-led, organic cell succession.</w:t>
      </w:r>
    </w:p>
    <w:p>
      <w:pPr>
        <w:spacing w:after="80"/>
        <w:ind w:left="403" w:hanging="403"/>
      </w:pPr>
      <w:r>
        <w:rPr>
          <w:rFonts w:ascii="Aptos" w:hAnsi="Aptos"/>
          <w:b/>
          <w:color w:val="426B4D"/>
          <w:sz w:val="18"/>
        </w:rPr>
        <w:t>2.</w:t>
      </w:r>
      <w:r>
        <w:rPr>
          <w:rFonts w:ascii="Aptos" w:hAnsi="Aptos"/>
          <w:color w:val="1D2B23"/>
          <w:sz w:val="19"/>
        </w:rPr>
        <w:t xml:space="preserve">  NourishlandXR introduction — the LIM fades and the narrative copy scrolls into the same main green screen.</w:t>
      </w:r>
    </w:p>
    <w:p>
      <w:pPr>
        <w:spacing w:after="80"/>
        <w:ind w:left="403" w:hanging="403"/>
      </w:pPr>
      <w:r>
        <w:rPr>
          <w:rFonts w:ascii="Aptos" w:hAnsi="Aptos"/>
          <w:b/>
          <w:color w:val="426B4D"/>
          <w:sz w:val="18"/>
        </w:rPr>
        <w:t>3.</w:t>
      </w:r>
      <w:r>
        <w:rPr>
          <w:rFonts w:ascii="Aptos" w:hAnsi="Aptos"/>
          <w:color w:val="1D2B23"/>
          <w:sz w:val="19"/>
        </w:rPr>
        <w:t xml:space="preserve">  Pigeon Pea — place the first Plant orb, open its Plant Information Mesh, then view the same profile through a Plant Live Tag.</w:t>
      </w:r>
    </w:p>
    <w:p>
      <w:pPr>
        <w:spacing w:after="80"/>
        <w:ind w:left="403" w:hanging="403"/>
      </w:pPr>
      <w:r>
        <w:rPr>
          <w:rFonts w:ascii="Aptos" w:hAnsi="Aptos"/>
          <w:b/>
          <w:color w:val="426B4D"/>
          <w:sz w:val="18"/>
        </w:rPr>
        <w:t>4.</w:t>
      </w:r>
      <w:r>
        <w:rPr>
          <w:rFonts w:ascii="Aptos" w:hAnsi="Aptos"/>
          <w:color w:val="1D2B23"/>
          <w:sz w:val="19"/>
        </w:rPr>
        <w:t xml:space="preserve">  Moringa — place a second Plant orb to show a distinct plant story within the same food forest.</w:t>
      </w:r>
    </w:p>
    <w:p>
      <w:pPr>
        <w:spacing w:after="80"/>
        <w:ind w:left="403" w:hanging="403"/>
      </w:pPr>
      <w:r>
        <w:rPr>
          <w:rFonts w:ascii="Aptos" w:hAnsi="Aptos"/>
          <w:b/>
          <w:color w:val="426B4D"/>
          <w:sz w:val="18"/>
        </w:rPr>
        <w:t>5.</w:t>
      </w:r>
      <w:r>
        <w:rPr>
          <w:rFonts w:ascii="Aptos" w:hAnsi="Aptos"/>
          <w:color w:val="1D2B23"/>
          <w:sz w:val="19"/>
        </w:rPr>
        <w:t xml:space="preserve">  Observation Note — anchor a seasonal observation beside the plants.</w:t>
      </w:r>
    </w:p>
    <w:p>
      <w:pPr>
        <w:spacing w:after="80"/>
        <w:ind w:left="403" w:hanging="403"/>
      </w:pPr>
      <w:r>
        <w:rPr>
          <w:rFonts w:ascii="Aptos" w:hAnsi="Aptos"/>
          <w:b/>
          <w:color w:val="426B4D"/>
          <w:sz w:val="18"/>
        </w:rPr>
        <w:t>6.</w:t>
      </w:r>
      <w:r>
        <w:rPr>
          <w:rFonts w:ascii="Aptos" w:hAnsi="Aptos"/>
          <w:color w:val="1D2B23"/>
          <w:sz w:val="19"/>
        </w:rPr>
        <w:t xml:space="preserve">  Area Totems — reveal Food Forest and Kitchen Garden Areas and the route between them.</w:t>
      </w:r>
    </w:p>
    <w:p>
      <w:pPr>
        <w:spacing w:after="80"/>
        <w:ind w:left="403" w:hanging="403"/>
      </w:pPr>
      <w:r>
        <w:rPr>
          <w:rFonts w:ascii="Aptos" w:hAnsi="Aptos"/>
          <w:b/>
          <w:color w:val="426B4D"/>
          <w:sz w:val="18"/>
        </w:rPr>
        <w:t>7.</w:t>
      </w:r>
      <w:r>
        <w:rPr>
          <w:rFonts w:ascii="Aptos" w:hAnsi="Aptos"/>
          <w:color w:val="1D2B23"/>
          <w:sz w:val="19"/>
        </w:rPr>
        <w:t xml:space="preserve">  Closing — return from the example journey to the wider NourishlandXR proposition.</w:t>
      </w:r>
    </w:p>
    <w:p>
      <w:pPr>
        <w:keepNext/>
        <w:spacing w:before="200" w:after="60"/>
      </w:pPr>
      <w:r>
        <w:rPr>
          <w:rFonts w:ascii="Aptos" w:hAnsi="Aptos"/>
          <w:b/>
          <w:color w:val="426B4D"/>
          <w:sz w:val="16"/>
        </w:rPr>
        <w:t>CONTINUITY PRINCIPLE</w:t>
      </w:r>
    </w:p>
    <w:p>
      <w:pPr>
        <w:spacing w:after="120" w:line="259" w:lineRule="auto"/>
      </w:pPr>
      <w:r>
        <w:rPr>
          <w:rFonts w:ascii="Aptos" w:hAnsi="Aptos"/>
          <w:i w:val="0"/>
          <w:color w:val="1D2B23"/>
          <w:sz w:val="20"/>
        </w:rPr>
        <w:t>The opening animation is not a separate design. It uses the existing green welcome surface and LIM cells. The animation completes, the cells fade, and the text appears on that same surface. The main tutorial then continues without replacing the visual language of the experience.</w:t>
      </w:r>
    </w:p>
    <w:p>
      <w:r>
        <w:br w:type="page"/>
      </w:r>
    </w:p>
    <w:p>
      <w:pPr>
        <w:pStyle w:val="Heading1"/>
      </w:pPr>
      <w:r>
        <w:t>3. Opening LIM experience</w:t>
      </w:r>
    </w:p>
    <w:p>
      <w:pPr>
        <w:keepNext/>
        <w:spacing w:before="200" w:after="60"/>
      </w:pPr>
      <w:r>
        <w:rPr>
          <w:rFonts w:ascii="Aptos" w:hAnsi="Aptos"/>
          <w:b/>
          <w:color w:val="426B4D"/>
          <w:sz w:val="16"/>
        </w:rPr>
        <w:t>INTENDED VISUAL EFFECT</w:t>
      </w:r>
    </w:p>
    <w:p>
      <w:pPr>
        <w:pStyle w:val="ListBullet"/>
        <w:spacing w:after="60"/>
        <w:ind w:left="317" w:hanging="173"/>
      </w:pPr>
      <w:r>
        <w:rPr>
          <w:rFonts w:ascii="Aptos" w:hAnsi="Aptos"/>
          <w:color w:val="1D2B23"/>
          <w:sz w:val="19"/>
        </w:rPr>
        <w:t>Begin from parent cells and multiply outward in natural succession, like mushroom growth, branching mycelium or octopus arms extending through space.</w:t>
      </w:r>
    </w:p>
    <w:p>
      <w:pPr>
        <w:pStyle w:val="ListBullet"/>
        <w:spacing w:after="60"/>
        <w:ind w:left="317" w:hanging="173"/>
      </w:pPr>
      <w:r>
        <w:rPr>
          <w:rFonts w:ascii="Aptos" w:hAnsi="Aptos"/>
          <w:color w:val="1D2B23"/>
          <w:sz w:val="19"/>
        </w:rPr>
        <w:t>Use seeded variation so each run feels alive while remaining testable and coherent; branching order, tendril direction and local timing should not read as a repeated mechanical sequence.</w:t>
      </w:r>
    </w:p>
    <w:p>
      <w:pPr>
        <w:pStyle w:val="ListBullet"/>
        <w:spacing w:after="60"/>
        <w:ind w:left="317" w:hanging="173"/>
      </w:pPr>
      <w:r>
        <w:rPr>
          <w:rFonts w:ascii="Aptos" w:hAnsi="Aptos"/>
          <w:color w:val="1D2B23"/>
          <w:sz w:val="19"/>
        </w:rPr>
        <w:t>Preserve the original green LIM surface and the existing LIM cell vocabulary. The effect must showcase the depth and range of the information, not introduce a separate decorative system.</w:t>
      </w:r>
    </w:p>
    <w:p>
      <w:pPr>
        <w:pStyle w:val="ListBullet"/>
        <w:spacing w:after="60"/>
        <w:ind w:left="317" w:hanging="173"/>
      </w:pPr>
      <w:r>
        <w:rPr>
          <w:rFonts w:ascii="Aptos" w:hAnsi="Aptos"/>
          <w:color w:val="1D2B23"/>
          <w:sz w:val="19"/>
        </w:rPr>
        <w:t>Hold long enough for the living growth to be seen on desktop and mobile. Do not flash the completed cell field before the animation begins.</w:t>
      </w:r>
    </w:p>
    <w:p>
      <w:pPr>
        <w:pStyle w:val="ListBullet"/>
        <w:spacing w:after="60"/>
        <w:ind w:left="317" w:hanging="173"/>
      </w:pPr>
      <w:r>
        <w:rPr>
          <w:rFonts w:ascii="Aptos" w:hAnsi="Aptos"/>
          <w:color w:val="1D2B23"/>
          <w:sz w:val="19"/>
        </w:rPr>
        <w:t>At the end of the opening, fade the cells, retitle the board as NourishlandXR, reveal the narrative panel and begin the scrolling text.</w:t>
      </w:r>
    </w:p>
    <w:p>
      <w:pPr>
        <w:pStyle w:val="ListBullet"/>
        <w:spacing w:after="60"/>
        <w:ind w:left="317" w:hanging="173"/>
      </w:pPr>
      <w:r>
        <w:rPr>
          <w:rFonts w:ascii="Aptos" w:hAnsi="Aptos"/>
          <w:color w:val="1D2B23"/>
          <w:sz w:val="19"/>
        </w:rPr>
        <w:t>Reduced-motion mode composes the mature surface promptly while preserving the same content hierarchy and clear transition to text.</w:t>
      </w:r>
    </w:p>
    <w:p>
      <w:pPr>
        <w:keepNext/>
        <w:spacing w:before="200" w:after="60"/>
      </w:pPr>
      <w:r>
        <w:rPr>
          <w:rFonts w:ascii="Aptos" w:hAnsi="Aptos"/>
          <w:b/>
          <w:color w:val="426B4D"/>
          <w:sz w:val="16"/>
        </w:rPr>
        <w:t>OPENING BOARD</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A LIVING INTRODUCTION</w:t>
            </w:r>
            <w:r>
              <w:br/>
            </w:r>
            <w:r>
              <w:rPr>
                <w:rFonts w:ascii="Aptos" w:hAnsi="Aptos"/>
                <w:b/>
                <w:color w:val="1D2B23"/>
                <w:sz w:val="24"/>
              </w:rPr>
              <w:t>Welcome to Nourishland</w:t>
            </w:r>
          </w:p>
          <w:p>
            <w:pPr>
              <w:spacing w:after="80" w:line="252" w:lineRule="auto"/>
            </w:pPr>
            <w:r>
              <w:rPr>
                <w:rFonts w:ascii="Aptos" w:hAnsi="Aptos"/>
                <w:color w:val="1D2B23"/>
                <w:sz w:val="19"/>
              </w:rPr>
              <w:t>A place can hold more than we first see.</w:t>
            </w:r>
          </w:p>
          <w:p>
            <w:pPr>
              <w:spacing w:after="80" w:line="252" w:lineRule="auto"/>
            </w:pPr>
            <w:r>
              <w:rPr>
                <w:rFonts w:ascii="Aptos" w:hAnsi="Aptos"/>
                <w:color w:val="1D2B23"/>
                <w:sz w:val="19"/>
              </w:rPr>
              <w:t>NourishlandXR connects plants, observations and knowledge to the places they describe.</w:t>
            </w:r>
          </w:p>
          <w:p>
            <w:pPr>
              <w:spacing w:after="80" w:line="252" w:lineRule="auto"/>
            </w:pPr>
            <w:r>
              <w:rPr>
                <w:rFonts w:ascii="Aptos" w:hAnsi="Aptos"/>
                <w:color w:val="1D2B23"/>
                <w:sz w:val="19"/>
              </w:rPr>
              <w:t>This short journey follows one plant outward into a food forest. The learning cells around you are there to explore whenever you choose.</w:t>
            </w:r>
          </w:p>
        </w:tc>
      </w:tr>
    </w:tbl>
    <w:p>
      <w:pPr>
        <w:spacing w:after="20"/>
      </w:pPr>
    </w:p>
    <w:p>
      <w:pPr>
        <w:keepNext/>
        <w:spacing w:before="200" w:after="60"/>
      </w:pPr>
      <w:r>
        <w:rPr>
          <w:rFonts w:ascii="Aptos" w:hAnsi="Aptos"/>
          <w:b/>
          <w:color w:val="426B4D"/>
          <w:sz w:val="16"/>
        </w:rPr>
        <w:t>POST-ANIMATION STATE</w:t>
      </w:r>
    </w:p>
    <w:p>
      <w:pPr>
        <w:spacing w:after="120" w:line="259" w:lineRule="auto"/>
      </w:pPr>
      <w:r>
        <w:rPr>
          <w:rFonts w:ascii="Aptos" w:hAnsi="Aptos"/>
          <w:i w:val="0"/>
          <w:color w:val="1D2B23"/>
          <w:sz w:val="20"/>
        </w:rPr>
        <w:t>When the LIM opening completes, the main board title changes to “NourishlandXR”. The copy types and scrolls into view on the original green surface.</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CONTROL PANEL</w:t>
            </w:r>
            <w:r>
              <w:br/>
            </w:r>
            <w:r>
              <w:rPr>
                <w:rFonts w:ascii="Aptos" w:hAnsi="Aptos"/>
                <w:b/>
                <w:color w:val="1D2B23"/>
                <w:sz w:val="24"/>
              </w:rPr>
              <w:t>Start exploring</w:t>
            </w:r>
          </w:p>
          <w:p>
            <w:pPr>
              <w:spacing w:after="80" w:line="252" w:lineRule="auto"/>
            </w:pPr>
            <w:r>
              <w:rPr>
                <w:rFonts w:ascii="Aptos" w:hAnsi="Aptos"/>
                <w:color w:val="1D2B23"/>
                <w:sz w:val="19"/>
              </w:rPr>
              <w:t>Guidance and selected details appear here as the journey unfolds. The learning cells remain available whenever you want to explore further.</w:t>
            </w:r>
          </w:p>
        </w:tc>
      </w:tr>
    </w:tbl>
    <w:p>
      <w:pPr>
        <w:spacing w:after="20"/>
      </w:pPr>
    </w:p>
    <w:p>
      <w:pPr>
        <w:spacing w:after="120" w:line="259" w:lineRule="auto"/>
      </w:pPr>
      <w:r>
        <w:rPr>
          <w:rFonts w:ascii="Aptos" w:hAnsi="Aptos"/>
          <w:i/>
          <w:color w:val="657069"/>
          <w:sz w:val="20"/>
        </w:rPr>
        <w:t>Initial guide: “Welcome to Nourishland. The Living Information Mesh is growing into NourishlandXR.”</w:t>
      </w:r>
    </w:p>
    <w:p>
      <w:pPr>
        <w:spacing w:after="120" w:line="259" w:lineRule="auto"/>
      </w:pPr>
      <w:r>
        <w:rPr>
          <w:rFonts w:ascii="Aptos" w:hAnsi="Aptos"/>
          <w:i/>
          <w:color w:val="657069"/>
          <w:sz w:val="20"/>
        </w:rPr>
        <w:t>Ready guide: “Press Continue when ready. Activate learning cells in the Control panel whenever you want to explore Vision.”</w:t>
      </w:r>
    </w:p>
    <w:p>
      <w:pPr>
        <w:spacing w:after="120" w:line="259" w:lineRule="auto"/>
      </w:pPr>
      <w:r>
        <w:rPr>
          <w:rFonts w:ascii="Aptos" w:hAnsi="Aptos"/>
          <w:i/>
          <w:color w:val="657069"/>
          <w:sz w:val="20"/>
        </w:rPr>
        <w:t>Learning-cell control labels: “Hide learning cells” and “Activate learning cells”.</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OPTIONAL EXPLORATION</w:t>
            </w:r>
            <w:r>
              <w:br/>
            </w:r>
            <w:r>
              <w:rPr>
                <w:rFonts w:ascii="Aptos" w:hAnsi="Aptos"/>
                <w:b/>
                <w:color w:val="1D2B23"/>
                <w:sz w:val="24"/>
              </w:rPr>
              <w:t>Learning cells are active</w:t>
            </w:r>
          </w:p>
          <w:p>
            <w:pPr>
              <w:spacing w:after="80" w:line="252" w:lineRule="auto"/>
            </w:pPr>
            <w:r>
              <w:rPr>
                <w:rFonts w:ascii="Aptos" w:hAnsi="Aptos"/>
                <w:color w:val="1D2B23"/>
                <w:sz w:val="19"/>
              </w:rPr>
              <w:t>Select the Vision cell to explore four optional learning paths. You can keep using the demo and return to these cells at any time.</w:t>
            </w:r>
          </w:p>
          <w:p>
            <w:pPr>
              <w:spacing w:before="40" w:after="0"/>
            </w:pPr>
            <w:r>
              <w:rPr>
                <w:rFonts w:ascii="Aptos" w:hAnsi="Aptos"/>
                <w:b/>
                <w:color w:val="657069"/>
                <w:sz w:val="15"/>
              </w:rPr>
              <w:t xml:space="preserve">GUIDE  </w:t>
            </w:r>
            <w:r>
              <w:rPr>
                <w:rFonts w:ascii="Aptos" w:hAnsi="Aptos"/>
                <w:i/>
                <w:color w:val="657069"/>
                <w:sz w:val="18"/>
              </w:rPr>
              <w:t>Vision selected. Read the Place, Understand Life, Design the Forest and Shape the Outcome are now unfolding around the welcome panel.</w:t>
            </w:r>
          </w:p>
        </w:tc>
      </w:tr>
    </w:tbl>
    <w:p>
      <w:pPr>
        <w:spacing w:after="20"/>
      </w:pPr>
    </w:p>
    <w:p>
      <w:r>
        <w:br w:type="page"/>
      </w:r>
    </w:p>
    <w:p>
      <w:pPr>
        <w:pStyle w:val="Heading1"/>
      </w:pPr>
      <w:r>
        <w:t>4. Narrative introduction</w:t>
      </w:r>
    </w:p>
    <w:p>
      <w:pPr>
        <w:spacing w:after="120" w:line="259" w:lineRule="auto"/>
      </w:pPr>
      <w:r>
        <w:rPr>
          <w:rFonts w:ascii="Aptos" w:hAnsi="Aptos"/>
          <w:i w:val="0"/>
          <w:color w:val="1D2B23"/>
          <w:sz w:val="20"/>
        </w:rPr>
        <w:t>These four boards follow the opening. Each remains on the main green instruction surface while the LIM can be explored optionally.</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INTRODUCTION 1 OF 4 · PLACE</w:t>
            </w:r>
            <w:r>
              <w:br/>
            </w:r>
            <w:r>
              <w:rPr>
                <w:rFonts w:ascii="Aptos" w:hAnsi="Aptos"/>
                <w:b/>
                <w:color w:val="1D2B23"/>
                <w:sz w:val="24"/>
              </w:rPr>
              <w:t>A place full of stories</w:t>
            </w:r>
          </w:p>
          <w:p>
            <w:pPr>
              <w:spacing w:after="80" w:line="252" w:lineRule="auto"/>
            </w:pPr>
            <w:r>
              <w:rPr>
                <w:rFonts w:ascii="Aptos" w:hAnsi="Aptos"/>
                <w:color w:val="1D2B23"/>
                <w:sz w:val="19"/>
              </w:rPr>
              <w:t>Imagine standing in a food forest. Some relationships are easy to see; others become clear when we look closer.</w:t>
            </w:r>
          </w:p>
          <w:p>
            <w:pPr>
              <w:spacing w:after="80" w:line="252" w:lineRule="auto"/>
            </w:pPr>
            <w:r>
              <w:rPr>
                <w:rFonts w:ascii="Aptos" w:hAnsi="Aptos"/>
                <w:color w:val="1D2B23"/>
                <w:sz w:val="19"/>
              </w:rPr>
              <w:t>Here, what you learn stays connected to the place it describes.</w:t>
            </w:r>
          </w:p>
          <w:p>
            <w:pPr>
              <w:spacing w:before="60" w:after="20"/>
            </w:pPr>
            <w:r>
              <w:rPr>
                <w:rFonts w:ascii="Aptos" w:hAnsi="Aptos"/>
                <w:b/>
                <w:color w:val="426B4D"/>
                <w:sz w:val="15"/>
              </w:rPr>
              <w:t xml:space="preserve">ACTION  </w:t>
            </w:r>
            <w:r>
              <w:rPr>
                <w:rFonts w:ascii="Aptos" w:hAnsi="Aptos"/>
                <w:b/>
                <w:color w:val="1D2B23"/>
                <w:sz w:val="18"/>
              </w:rPr>
              <w:t>Continue</w:t>
            </w:r>
          </w:p>
          <w:p>
            <w:pPr>
              <w:spacing w:before="40" w:after="0"/>
            </w:pPr>
            <w:r>
              <w:rPr>
                <w:rFonts w:ascii="Aptos" w:hAnsi="Aptos"/>
                <w:b/>
                <w:color w:val="657069"/>
                <w:sz w:val="15"/>
              </w:rPr>
              <w:t xml:space="preserve">GUIDE  </w:t>
            </w:r>
            <w:r>
              <w:rPr>
                <w:rFonts w:ascii="Aptos" w:hAnsi="Aptos"/>
                <w:i/>
                <w:color w:val="657069"/>
                <w:sz w:val="18"/>
              </w:rPr>
              <w:t>Press Continue to see how the stories in this place connect.</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INTRODUCTION 2 OF 4 · CONNECTIONS</w:t>
            </w:r>
            <w:r>
              <w:br/>
            </w:r>
            <w:r>
              <w:rPr>
                <w:rFonts w:ascii="Aptos" w:hAnsi="Aptos"/>
                <w:b/>
                <w:color w:val="1D2B23"/>
                <w:sz w:val="24"/>
              </w:rPr>
              <w:t>Connections begin to appear</w:t>
            </w:r>
          </w:p>
          <w:p>
            <w:pPr>
              <w:spacing w:after="80" w:line="252" w:lineRule="auto"/>
            </w:pPr>
            <w:r>
              <w:rPr>
                <w:rFonts w:ascii="Aptos" w:hAnsi="Aptos"/>
                <w:color w:val="1D2B23"/>
                <w:sz w:val="19"/>
              </w:rPr>
              <w:t>The floating learning cells connect questions about place, plants, life and design.</w:t>
            </w:r>
          </w:p>
          <w:p>
            <w:pPr>
              <w:spacing w:after="80" w:line="252" w:lineRule="auto"/>
            </w:pPr>
            <w:r>
              <w:rPr>
                <w:rFonts w:ascii="Aptos" w:hAnsi="Aptos"/>
                <w:color w:val="1D2B23"/>
                <w:sz w:val="19"/>
              </w:rPr>
              <w:t>They offer ways to explore. You can follow a connection now or return to these cells later.</w:t>
            </w:r>
          </w:p>
          <w:p>
            <w:pPr>
              <w:spacing w:before="60" w:after="20"/>
            </w:pPr>
            <w:r>
              <w:rPr>
                <w:rFonts w:ascii="Aptos" w:hAnsi="Aptos"/>
                <w:b/>
                <w:color w:val="426B4D"/>
                <w:sz w:val="15"/>
              </w:rPr>
              <w:t xml:space="preserve">ACTION  </w:t>
            </w:r>
            <w:r>
              <w:rPr>
                <w:rFonts w:ascii="Aptos" w:hAnsi="Aptos"/>
                <w:b/>
                <w:color w:val="1D2B23"/>
                <w:sz w:val="18"/>
              </w:rPr>
              <w:t>Continue</w:t>
            </w:r>
          </w:p>
          <w:p>
            <w:pPr>
              <w:spacing w:before="40" w:after="0"/>
            </w:pPr>
            <w:r>
              <w:rPr>
                <w:rFonts w:ascii="Aptos" w:hAnsi="Aptos"/>
                <w:b/>
                <w:color w:val="657069"/>
                <w:sz w:val="15"/>
              </w:rPr>
              <w:t xml:space="preserve">GUIDE  </w:t>
            </w:r>
            <w:r>
              <w:rPr>
                <w:rFonts w:ascii="Aptos" w:hAnsi="Aptos"/>
                <w:i/>
                <w:color w:val="657069"/>
                <w:sz w:val="18"/>
              </w:rPr>
              <w:t>Explore a learning cell if you wish, or press Continue to follow the story.</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INTRODUCTION 3 OF 4 · KNOWLEDGE</w:t>
            </w:r>
            <w:r>
              <w:br/>
            </w:r>
            <w:r>
              <w:rPr>
                <w:rFonts w:ascii="Aptos" w:hAnsi="Aptos"/>
                <w:b/>
                <w:color w:val="1D2B23"/>
                <w:sz w:val="24"/>
              </w:rPr>
              <w:t>Knowledge belongs to a place</w:t>
            </w:r>
          </w:p>
          <w:p>
            <w:pPr>
              <w:spacing w:after="80" w:line="252" w:lineRule="auto"/>
            </w:pPr>
            <w:r>
              <w:rPr>
                <w:rFonts w:ascii="Aptos" w:hAnsi="Aptos"/>
                <w:color w:val="1D2B23"/>
                <w:sz w:val="19"/>
              </w:rPr>
              <w:t>An idea becomes more useful when it connects to a particular plant and the place where it grows.</w:t>
            </w:r>
          </w:p>
          <w:p>
            <w:pPr>
              <w:spacing w:after="80" w:line="252" w:lineRule="auto"/>
            </w:pPr>
            <w:r>
              <w:rPr>
                <w:rFonts w:ascii="Aptos" w:hAnsi="Aptos"/>
                <w:color w:val="1D2B23"/>
                <w:sz w:val="19"/>
              </w:rPr>
              <w:t>A Plant orb gives one plant a location in the scene and opens its profile there.</w:t>
            </w:r>
          </w:p>
          <w:p>
            <w:pPr>
              <w:spacing w:before="60" w:after="20"/>
            </w:pPr>
            <w:r>
              <w:rPr>
                <w:rFonts w:ascii="Aptos" w:hAnsi="Aptos"/>
                <w:b/>
                <w:color w:val="426B4D"/>
                <w:sz w:val="15"/>
              </w:rPr>
              <w:t xml:space="preserve">ACTION  </w:t>
            </w:r>
            <w:r>
              <w:rPr>
                <w:rFonts w:ascii="Aptos" w:hAnsi="Aptos"/>
                <w:b/>
                <w:color w:val="1D2B23"/>
                <w:sz w:val="18"/>
              </w:rPr>
              <w:t>Continue</w:t>
            </w:r>
          </w:p>
          <w:p>
            <w:pPr>
              <w:spacing w:before="40" w:after="0"/>
            </w:pPr>
            <w:r>
              <w:rPr>
                <w:rFonts w:ascii="Aptos" w:hAnsi="Aptos"/>
                <w:b/>
                <w:color w:val="657069"/>
                <w:sz w:val="15"/>
              </w:rPr>
              <w:t xml:space="preserve">GUIDE  </w:t>
            </w:r>
            <w:r>
              <w:rPr>
                <w:rFonts w:ascii="Aptos" w:hAnsi="Aptos"/>
                <w:i/>
                <w:color w:val="657069"/>
                <w:sz w:val="18"/>
              </w:rPr>
              <w:t>Press Continue to meet the first plant in this place.</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INTRODUCTION 4 OF 4 · PIGEON PEA</w:t>
            </w:r>
            <w:r>
              <w:br/>
            </w:r>
            <w:r>
              <w:rPr>
                <w:rFonts w:ascii="Aptos" w:hAnsi="Aptos"/>
                <w:b/>
                <w:color w:val="1D2B23"/>
                <w:sz w:val="24"/>
              </w:rPr>
              <w:t>Begin with Pigeon Pea</w:t>
            </w:r>
          </w:p>
          <w:p>
            <w:pPr>
              <w:spacing w:after="80" w:line="252" w:lineRule="auto"/>
            </w:pPr>
            <w:r>
              <w:rPr>
                <w:rFonts w:ascii="Aptos" w:hAnsi="Aptos"/>
                <w:color w:val="1D2B23"/>
                <w:sz w:val="19"/>
              </w:rPr>
              <w:t>Pigeon Pea is our first example. Its profile brings together the plant’s roles, growing needs and uses.</w:t>
            </w:r>
          </w:p>
          <w:p>
            <w:pPr>
              <w:spacing w:after="80" w:line="252" w:lineRule="auto"/>
            </w:pPr>
            <w:r>
              <w:rPr>
                <w:rFonts w:ascii="Aptos" w:hAnsi="Aptos"/>
                <w:color w:val="1D2B23"/>
                <w:sz w:val="19"/>
              </w:rPr>
              <w:t>Giving its orb a place in the scene lets us explore that knowledge where the plant belongs.</w:t>
            </w:r>
          </w:p>
          <w:p>
            <w:pPr>
              <w:spacing w:before="60" w:after="20"/>
            </w:pPr>
            <w:r>
              <w:rPr>
                <w:rFonts w:ascii="Aptos" w:hAnsi="Aptos"/>
                <w:b/>
                <w:color w:val="426B4D"/>
                <w:sz w:val="15"/>
              </w:rPr>
              <w:t xml:space="preserve">ACTION  </w:t>
            </w:r>
            <w:r>
              <w:rPr>
                <w:rFonts w:ascii="Aptos" w:hAnsi="Aptos"/>
                <w:b/>
                <w:color w:val="1D2B23"/>
                <w:sz w:val="18"/>
              </w:rPr>
              <w:t>Place Pigeon Pea</w:t>
            </w:r>
          </w:p>
          <w:p>
            <w:pPr>
              <w:spacing w:before="40" w:after="0"/>
            </w:pPr>
            <w:r>
              <w:rPr>
                <w:rFonts w:ascii="Aptos" w:hAnsi="Aptos"/>
                <w:b/>
                <w:color w:val="657069"/>
                <w:sz w:val="15"/>
              </w:rPr>
              <w:t xml:space="preserve">GUIDE  </w:t>
            </w:r>
            <w:r>
              <w:rPr>
                <w:rFonts w:ascii="Aptos" w:hAnsi="Aptos"/>
                <w:i/>
                <w:color w:val="657069"/>
                <w:sz w:val="18"/>
              </w:rPr>
              <w:t>Press Place Pigeon Pea, then use the visible aiming circle to choose its spot.</w:t>
            </w:r>
          </w:p>
        </w:tc>
      </w:tr>
    </w:tbl>
    <w:p>
      <w:pPr>
        <w:spacing w:after="20"/>
      </w:pPr>
    </w:p>
    <w:p>
      <w:r>
        <w:br w:type="page"/>
      </w:r>
    </w:p>
    <w:p>
      <w:pPr>
        <w:pStyle w:val="Heading1"/>
      </w:pPr>
      <w:r>
        <w:t>5. Pigeon Pea journey</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A plant story in this place</w:t>
            </w:r>
          </w:p>
          <w:p>
            <w:pPr>
              <w:spacing w:after="80" w:line="252" w:lineRule="auto"/>
            </w:pPr>
            <w:r>
              <w:rPr>
                <w:rFonts w:ascii="Aptos" w:hAnsi="Aptos"/>
                <w:color w:val="1D2B23"/>
                <w:sz w:val="19"/>
              </w:rPr>
              <w:t>A Plant orb gives a plant’s profile a location in the scene.</w:t>
            </w:r>
          </w:p>
          <w:p>
            <w:pPr>
              <w:spacing w:after="80" w:line="252" w:lineRule="auto"/>
            </w:pPr>
            <w:r>
              <w:rPr>
                <w:rFonts w:ascii="Aptos" w:hAnsi="Aptos"/>
                <w:color w:val="1D2B23"/>
                <w:sz w:val="19"/>
              </w:rPr>
              <w:t>Pigeon Pea will be our first example.</w:t>
            </w:r>
          </w:p>
          <w:p>
            <w:pPr>
              <w:spacing w:before="60" w:after="20"/>
            </w:pPr>
            <w:r>
              <w:rPr>
                <w:rFonts w:ascii="Aptos" w:hAnsi="Aptos"/>
                <w:b/>
                <w:color w:val="426B4D"/>
                <w:sz w:val="15"/>
              </w:rPr>
              <w:t xml:space="preserve">ACTION  </w:t>
            </w:r>
            <w:r>
              <w:rPr>
                <w:rFonts w:ascii="Aptos" w:hAnsi="Aptos"/>
                <w:b/>
                <w:color w:val="1D2B23"/>
                <w:sz w:val="18"/>
              </w:rPr>
              <w:t>Continue</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Place Pigeon Pea</w:t>
            </w:r>
          </w:p>
          <w:p>
            <w:pPr>
              <w:spacing w:after="80" w:line="252" w:lineRule="auto"/>
            </w:pPr>
            <w:r>
              <w:rPr>
                <w:rFonts w:ascii="Aptos" w:hAnsi="Aptos"/>
                <w:color w:val="1D2B23"/>
                <w:sz w:val="19"/>
              </w:rPr>
              <w:t>This spot will anchor Pigeon Pea’s profile in the scene.</w:t>
            </w:r>
          </w:p>
          <w:p>
            <w:pPr>
              <w:spacing w:before="40" w:after="0"/>
            </w:pPr>
            <w:r>
              <w:rPr>
                <w:rFonts w:ascii="Aptos" w:hAnsi="Aptos"/>
                <w:b/>
                <w:color w:val="657069"/>
                <w:sz w:val="15"/>
              </w:rPr>
              <w:t xml:space="preserve">GUIDE  </w:t>
            </w:r>
            <w:r>
              <w:rPr>
                <w:rFonts w:ascii="Aptos" w:hAnsi="Aptos"/>
                <w:i/>
                <w:color w:val="657069"/>
                <w:sz w:val="18"/>
              </w:rPr>
              <w:t>Press the visible aiming circle to place Pigeon Pea.</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A story anchored here</w:t>
            </w:r>
          </w:p>
          <w:p>
            <w:pPr>
              <w:spacing w:after="80" w:line="252" w:lineRule="auto"/>
            </w:pPr>
            <w:r>
              <w:rPr>
                <w:rFonts w:ascii="Aptos" w:hAnsi="Aptos"/>
                <w:color w:val="1D2B23"/>
                <w:sz w:val="19"/>
              </w:rPr>
              <w:t>Pigeon Pea now has a place in the scene. Its orb opens a profile of the plant’s roles, care and uses.</w:t>
            </w:r>
          </w:p>
          <w:p>
            <w:pPr>
              <w:spacing w:after="80" w:line="252" w:lineRule="auto"/>
            </w:pPr>
            <w:r>
              <w:rPr>
                <w:rFonts w:ascii="Aptos" w:hAnsi="Aptos"/>
                <w:color w:val="1D2B23"/>
                <w:sz w:val="19"/>
              </w:rPr>
              <w:t>The Control panel holds the detail as you explore connected topics.</w:t>
            </w:r>
          </w:p>
          <w:p>
            <w:pPr>
              <w:spacing w:after="80" w:line="252" w:lineRule="auto"/>
            </w:pPr>
            <w:r>
              <w:rPr>
                <w:rFonts w:ascii="Aptos" w:hAnsi="Aptos"/>
                <w:color w:val="1D2B23"/>
                <w:sz w:val="19"/>
              </w:rPr>
              <w:t>The orb can be moved later if its position needs adjusting.</w:t>
            </w:r>
          </w:p>
          <w:p>
            <w:pPr>
              <w:spacing w:before="60" w:after="20"/>
            </w:pPr>
            <w:r>
              <w:rPr>
                <w:rFonts w:ascii="Aptos" w:hAnsi="Aptos"/>
                <w:b/>
                <w:color w:val="426B4D"/>
                <w:sz w:val="15"/>
              </w:rPr>
              <w:t xml:space="preserve">ACTION  </w:t>
            </w:r>
            <w:r>
              <w:rPr>
                <w:rFonts w:ascii="Aptos" w:hAnsi="Aptos"/>
                <w:b/>
                <w:color w:val="1D2B23"/>
                <w:sz w:val="18"/>
              </w:rPr>
              <w:t>Continue</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Plant Information Mesh</w:t>
            </w:r>
          </w:p>
          <w:p>
            <w:pPr>
              <w:spacing w:after="80" w:line="252" w:lineRule="auto"/>
            </w:pPr>
            <w:r>
              <w:rPr>
                <w:rFonts w:ascii="Aptos" w:hAnsi="Aptos"/>
                <w:color w:val="1D2B23"/>
                <w:sz w:val="19"/>
              </w:rPr>
              <w:t>The Pigeon Pea orb is now open. Select a cell to expand its connected knowledge. Use the round Continue trigger at the bottom centre after you have explored the Plant Information Mesh.</w:t>
            </w:r>
          </w:p>
          <w:p>
            <w:pPr>
              <w:spacing w:before="60" w:after="20"/>
            </w:pPr>
            <w:r>
              <w:rPr>
                <w:rFonts w:ascii="Aptos" w:hAnsi="Aptos"/>
                <w:b/>
                <w:color w:val="426B4D"/>
                <w:sz w:val="15"/>
              </w:rPr>
              <w:t xml:space="preserve">ACTION  </w:t>
            </w:r>
            <w:r>
              <w:rPr>
                <w:rFonts w:ascii="Aptos" w:hAnsi="Aptos"/>
                <w:b/>
                <w:color w:val="1D2B23"/>
                <w:sz w:val="18"/>
              </w:rPr>
              <w:t>Continue</w:t>
            </w:r>
          </w:p>
          <w:p>
            <w:pPr>
              <w:spacing w:before="40" w:after="0"/>
            </w:pPr>
            <w:r>
              <w:rPr>
                <w:rFonts w:ascii="Aptos" w:hAnsi="Aptos"/>
                <w:b/>
                <w:color w:val="657069"/>
                <w:sz w:val="15"/>
              </w:rPr>
              <w:t xml:space="preserve">GUIDE  </w:t>
            </w:r>
            <w:r>
              <w:rPr>
                <w:rFonts w:ascii="Aptos" w:hAnsi="Aptos"/>
                <w:i/>
                <w:color w:val="657069"/>
                <w:sz w:val="18"/>
              </w:rPr>
              <w:t>Explore a plant cell, then press the round Continue trigger at the bottom centre.</w:t>
            </w:r>
          </w:p>
        </w:tc>
      </w:tr>
    </w:tbl>
    <w:p>
      <w:pPr>
        <w:spacing w:after="20"/>
      </w:pPr>
    </w:p>
    <w:p>
      <w:pPr>
        <w:keepNext/>
        <w:spacing w:before="200" w:after="60"/>
      </w:pPr>
      <w:r>
        <w:rPr>
          <w:rFonts w:ascii="Aptos" w:hAnsi="Aptos"/>
          <w:b/>
          <w:color w:val="426B4D"/>
          <w:sz w:val="16"/>
        </w:rPr>
        <w:t>PLANT IDENTITY</w:t>
      </w:r>
    </w:p>
    <w:tbl>
      <w:tblPr>
        <w:tblW w:type="auto" w:w="0"/>
        <w:tblLayout w:type="fixed"/>
        <w:tblLook w:firstColumn="1" w:firstRow="1" w:lastColumn="0" w:lastRow="0" w:noHBand="0" w:noVBand="1" w:val="04A0"/>
      </w:tblPr>
      <w:tblGrid>
        <w:gridCol w:w="2880"/>
        <w:gridCol w:w="6264"/>
      </w:tblGrid>
      <w:tr>
        <w:trPr>
          <w:tblHeader w:val="true"/>
        </w:trPr>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Field</w:t>
            </w:r>
          </w:p>
        </w:tc>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Implemented content</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Common name</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Pigeon Pea</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Scientific name</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Cajanus cajan</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Family</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Fabaceae</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Plant type</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Short-lived perennial legume shrub</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Identity statement</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A productive legume shrub used for food, propagation, biomass and support within warm-climate food forests.</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Top-level PIM branches</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Food Forest · Uses · Propagation · Scientific Information · Historical Data · Cultivation</w:t>
            </w:r>
          </w:p>
        </w:tc>
      </w:tr>
    </w:tbl>
    <w:p>
      <w:pPr>
        <w:spacing w:after="20"/>
      </w:pPr>
    </w:p>
    <w:p>
      <w:pPr>
        <w:keepNext/>
        <w:spacing w:before="200" w:after="60"/>
      </w:pPr>
      <w:r>
        <w:rPr>
          <w:rFonts w:ascii="Aptos" w:hAnsi="Aptos"/>
          <w:b/>
          <w:color w:val="426B4D"/>
          <w:sz w:val="16"/>
        </w:rPr>
        <w:t>PLANT LIVE TAG / WEB MODE</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EXAMPLE 1 · COMPLETE PLANT FILE</w:t>
            </w:r>
            <w:r>
              <w:br/>
            </w:r>
            <w:r>
              <w:rPr>
                <w:rFonts w:ascii="Aptos" w:hAnsi="Aptos"/>
                <w:b/>
                <w:color w:val="1D2B23"/>
                <w:sz w:val="24"/>
              </w:rPr>
              <w:t>Pigeon Pea</w:t>
            </w:r>
          </w:p>
          <w:p>
            <w:pPr>
              <w:spacing w:after="80" w:line="252" w:lineRule="auto"/>
            </w:pPr>
            <w:r>
              <w:rPr>
                <w:rFonts w:ascii="Aptos" w:hAnsi="Aptos"/>
                <w:color w:val="1D2B23"/>
                <w:sz w:val="19"/>
              </w:rPr>
              <w:t>WEB MODE · PLANT LIVE TAG</w:t>
            </w:r>
          </w:p>
          <w:p>
            <w:pPr>
              <w:spacing w:after="80" w:line="252" w:lineRule="auto"/>
            </w:pPr>
            <w:r>
              <w:rPr>
                <w:rFonts w:ascii="Aptos" w:hAnsi="Aptos"/>
                <w:color w:val="1D2B23"/>
                <w:sz w:val="19"/>
              </w:rPr>
              <w:t>FULL PLANT PROFILE</w:t>
            </w:r>
          </w:p>
          <w:p>
            <w:pPr>
              <w:spacing w:after="80" w:line="252" w:lineRule="auto"/>
            </w:pPr>
            <w:r>
              <w:rPr>
                <w:rFonts w:ascii="Aptos" w:hAnsi="Aptos"/>
                <w:color w:val="1D2B23"/>
                <w:sz w:val="19"/>
              </w:rPr>
              <w:t>TUTORIAL · WEB MODE</w:t>
            </w:r>
          </w:p>
          <w:p>
            <w:pPr>
              <w:spacing w:after="80" w:line="252" w:lineRule="auto"/>
            </w:pPr>
            <w:r>
              <w:rPr>
                <w:rFonts w:ascii="Aptos" w:hAnsi="Aptos"/>
                <w:color w:val="1D2B23"/>
                <w:sz w:val="19"/>
              </w:rPr>
              <w:t>The same Plant Profile can be read outside AR.</w:t>
            </w:r>
          </w:p>
          <w:p>
            <w:pPr>
              <w:spacing w:after="80" w:line="252" w:lineRule="auto"/>
            </w:pPr>
            <w:r>
              <w:rPr>
                <w:rFonts w:ascii="Aptos" w:hAnsi="Aptos"/>
                <w:color w:val="1D2B23"/>
                <w:sz w:val="19"/>
              </w:rPr>
              <w:t>Pigeon pea is a fast-growing perennial edible legume that is ecological powerhouse. Its edible peas provide a useful crop, while its nitrogen-fixing contribute to the living soil. It can also function as a temporary hedge, shelter plant and source of chop-and-drop biomass.</w:t>
            </w:r>
          </w:p>
          <w:p>
            <w:pPr>
              <w:spacing w:after="80" w:line="252" w:lineRule="auto"/>
            </w:pPr>
            <w:r>
              <w:rPr>
                <w:rFonts w:ascii="Aptos" w:hAnsi="Aptos"/>
                <w:color w:val="1D2B23"/>
                <w:sz w:val="19"/>
              </w:rPr>
              <w:t>A Plant Live Tag can open this full, view-only plant file. Close Web Mode to return to the same AR scene and continue with Moringa.</w:t>
            </w:r>
          </w:p>
          <w:p>
            <w:pPr>
              <w:spacing w:before="60" w:after="20"/>
            </w:pPr>
            <w:r>
              <w:rPr>
                <w:rFonts w:ascii="Aptos" w:hAnsi="Aptos"/>
                <w:b/>
                <w:color w:val="426B4D"/>
                <w:sz w:val="15"/>
              </w:rPr>
              <w:t xml:space="preserve">ACTION  </w:t>
            </w:r>
            <w:r>
              <w:rPr>
                <w:rFonts w:ascii="Aptos" w:hAnsi="Aptos"/>
                <w:b/>
                <w:color w:val="1D2B23"/>
                <w:sz w:val="18"/>
              </w:rPr>
              <w:t>CLOSE WEB MODE · RETURN TO AR</w:t>
            </w:r>
          </w:p>
        </w:tc>
      </w:tr>
    </w:tbl>
    <w:p>
      <w:pPr>
        <w:spacing w:after="20"/>
      </w:pPr>
    </w:p>
    <w:p>
      <w:pPr>
        <w:pStyle w:val="Heading1"/>
      </w:pPr>
      <w:r>
        <w:t>6. Moringa journey</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A second plant story</w:t>
            </w:r>
          </w:p>
          <w:p>
            <w:pPr>
              <w:spacing w:after="80" w:line="252" w:lineRule="auto"/>
            </w:pPr>
            <w:r>
              <w:rPr>
                <w:rFonts w:ascii="Aptos" w:hAnsi="Aptos"/>
                <w:color w:val="1D2B23"/>
                <w:sz w:val="19"/>
              </w:rPr>
              <w:t>Pigeon Pea now has a place and a profile. Moringa will bring a different plant story into the same space.</w:t>
            </w:r>
          </w:p>
          <w:p>
            <w:pPr>
              <w:spacing w:before="60" w:after="20"/>
            </w:pPr>
            <w:r>
              <w:rPr>
                <w:rFonts w:ascii="Aptos" w:hAnsi="Aptos"/>
                <w:b/>
                <w:color w:val="426B4D"/>
                <w:sz w:val="15"/>
              </w:rPr>
              <w:t xml:space="preserve">ACTION  </w:t>
            </w:r>
            <w:r>
              <w:rPr>
                <w:rFonts w:ascii="Aptos" w:hAnsi="Aptos"/>
                <w:b/>
                <w:color w:val="1D2B23"/>
                <w:sz w:val="18"/>
              </w:rPr>
              <w:t>Continue</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A second plant story</w:t>
            </w:r>
          </w:p>
          <w:p>
            <w:pPr>
              <w:spacing w:after="80" w:line="252" w:lineRule="auto"/>
            </w:pPr>
            <w:r>
              <w:rPr>
                <w:rFonts w:ascii="Aptos" w:hAnsi="Aptos"/>
                <w:color w:val="1D2B23"/>
                <w:sz w:val="19"/>
              </w:rPr>
              <w:t>Moringa will have its own orb and profile beside Pigeon Pea. Together, they show how different plants share a place.</w:t>
            </w:r>
          </w:p>
          <w:p>
            <w:pPr>
              <w:spacing w:before="60" w:after="20"/>
            </w:pPr>
            <w:r>
              <w:rPr>
                <w:rFonts w:ascii="Aptos" w:hAnsi="Aptos"/>
                <w:b/>
                <w:color w:val="426B4D"/>
                <w:sz w:val="15"/>
              </w:rPr>
              <w:t xml:space="preserve">ACTION  </w:t>
            </w:r>
            <w:r>
              <w:rPr>
                <w:rFonts w:ascii="Aptos" w:hAnsi="Aptos"/>
                <w:b/>
                <w:color w:val="1D2B23"/>
                <w:sz w:val="18"/>
              </w:rPr>
              <w:t>Continue</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Place Moringa</w:t>
            </w:r>
          </w:p>
          <w:p>
            <w:pPr>
              <w:spacing w:after="80" w:line="252" w:lineRule="auto"/>
            </w:pPr>
            <w:r>
              <w:rPr>
                <w:rFonts w:ascii="Aptos" w:hAnsi="Aptos"/>
                <w:color w:val="1D2B23"/>
                <w:sz w:val="19"/>
              </w:rPr>
              <w:t>This second orb will show how two distinct plant profiles can share a place.</w:t>
            </w:r>
          </w:p>
          <w:p>
            <w:pPr>
              <w:spacing w:before="40" w:after="0"/>
            </w:pPr>
            <w:r>
              <w:rPr>
                <w:rFonts w:ascii="Aptos" w:hAnsi="Aptos"/>
                <w:b/>
                <w:color w:val="657069"/>
                <w:sz w:val="15"/>
              </w:rPr>
              <w:t xml:space="preserve">GUIDE  </w:t>
            </w:r>
            <w:r>
              <w:rPr>
                <w:rFonts w:ascii="Aptos" w:hAnsi="Aptos"/>
                <w:i/>
                <w:color w:val="657069"/>
                <w:sz w:val="18"/>
              </w:rPr>
              <w:t>Press the visible aiming circle to place Moringa.</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Moringa joins the place</w:t>
            </w:r>
          </w:p>
          <w:p>
            <w:pPr>
              <w:spacing w:after="80" w:line="252" w:lineRule="auto"/>
            </w:pPr>
            <w:r>
              <w:rPr>
                <w:rFonts w:ascii="Aptos" w:hAnsi="Aptos"/>
                <w:color w:val="1D2B23"/>
                <w:sz w:val="19"/>
              </w:rPr>
              <w:t>Moringa now has its own Plant Profile. Together, the two orbs show distinct plant stories within one food forest.</w:t>
            </w:r>
          </w:p>
          <w:p>
            <w:pPr>
              <w:spacing w:before="60" w:after="20"/>
            </w:pPr>
            <w:r>
              <w:rPr>
                <w:rFonts w:ascii="Aptos" w:hAnsi="Aptos"/>
                <w:b/>
                <w:color w:val="426B4D"/>
                <w:sz w:val="15"/>
              </w:rPr>
              <w:t xml:space="preserve">ACTION  </w:t>
            </w:r>
            <w:r>
              <w:rPr>
                <w:rFonts w:ascii="Aptos" w:hAnsi="Aptos"/>
                <w:b/>
                <w:color w:val="1D2B23"/>
                <w:sz w:val="18"/>
              </w:rPr>
              <w:t>Continue</w:t>
            </w:r>
          </w:p>
        </w:tc>
      </w:tr>
    </w:tbl>
    <w:p>
      <w:pPr>
        <w:spacing w:after="20"/>
      </w:pPr>
    </w:p>
    <w:p>
      <w:pPr>
        <w:keepNext/>
        <w:spacing w:before="200" w:after="60"/>
      </w:pPr>
      <w:r>
        <w:rPr>
          <w:rFonts w:ascii="Aptos" w:hAnsi="Aptos"/>
          <w:b/>
          <w:color w:val="426B4D"/>
          <w:sz w:val="16"/>
        </w:rPr>
        <w:t>PLANT IDENTITY AND VISIBLE KNOWLEDGE</w:t>
      </w:r>
    </w:p>
    <w:tbl>
      <w:tblPr>
        <w:tblW w:type="auto" w:w="0"/>
        <w:tblLayout w:type="fixed"/>
        <w:tblLook w:firstColumn="1" w:firstRow="1" w:lastColumn="0" w:lastRow="0" w:noHBand="0" w:noVBand="1" w:val="04A0"/>
      </w:tblPr>
      <w:tblGrid>
        <w:gridCol w:w="2880"/>
        <w:gridCol w:w="6264"/>
      </w:tblGrid>
      <w:tr>
        <w:trPr>
          <w:tblHeader w:val="true"/>
        </w:trPr>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Field</w:t>
            </w:r>
          </w:p>
        </w:tc>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Implemented content</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Common name</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Moringa Tree</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Scientific name</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Moringa oleifera</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Identity statement</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A fast-growing food and support tree for tropical and subtropical gardens.</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Food forest</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Canopy / low tree layer; Garden relationships</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Uses</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Culinary; Medicinal; Craft</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Propagation</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Seed; Cuttings</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Scientific information</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Botanical name; Family; Growth form</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Historical data</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Origin; Food cultures</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Cultivation</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Climate; Growing care</w:t>
            </w:r>
          </w:p>
        </w:tc>
      </w:tr>
    </w:tbl>
    <w:p>
      <w:pPr>
        <w:spacing w:after="20"/>
      </w:pPr>
    </w:p>
    <w:p>
      <w:pPr>
        <w:spacing w:after="120" w:line="259" w:lineRule="auto"/>
      </w:pPr>
      <w:r>
        <w:rPr>
          <w:rFonts w:ascii="Aptos" w:hAnsi="Aptos"/>
          <w:i/>
          <w:color w:val="657069"/>
          <w:sz w:val="20"/>
        </w:rPr>
        <w:t>Safety boundary: the Medicinal node is identified as attributed tradition and includes “Traditional knowledge only; not medical advice.”</w:t>
      </w:r>
    </w:p>
    <w:p>
      <w:pPr>
        <w:pStyle w:val="Heading1"/>
      </w:pPr>
      <w:r>
        <w:t>7. Observation Note</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Add one observation</w:t>
            </w:r>
          </w:p>
          <w:p>
            <w:pPr>
              <w:spacing w:after="80" w:line="252" w:lineRule="auto"/>
            </w:pPr>
            <w:r>
              <w:rPr>
                <w:rFonts w:ascii="Aptos" w:hAnsi="Aptos"/>
                <w:color w:val="1D2B23"/>
                <w:sz w:val="19"/>
              </w:rPr>
              <w:t>The two plants share this place but hold different knowledge. A Note can keep a local observation alongside them.</w:t>
            </w:r>
          </w:p>
          <w:p>
            <w:pPr>
              <w:spacing w:before="60" w:after="20"/>
            </w:pPr>
            <w:r>
              <w:rPr>
                <w:rFonts w:ascii="Aptos" w:hAnsi="Aptos"/>
                <w:b/>
                <w:color w:val="426B4D"/>
                <w:sz w:val="15"/>
              </w:rPr>
              <w:t xml:space="preserve">ACTION  </w:t>
            </w:r>
            <w:r>
              <w:rPr>
                <w:rFonts w:ascii="Aptos" w:hAnsi="Aptos"/>
                <w:b/>
                <w:color w:val="1D2B23"/>
                <w:sz w:val="18"/>
              </w:rPr>
              <w:t>Continue</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Place an observation</w:t>
            </w:r>
          </w:p>
          <w:p>
            <w:pPr>
              <w:spacing w:after="80" w:line="252" w:lineRule="auto"/>
            </w:pPr>
            <w:r>
              <w:rPr>
                <w:rFonts w:ascii="Aptos" w:hAnsi="Aptos"/>
                <w:color w:val="1D2B23"/>
                <w:sz w:val="19"/>
              </w:rPr>
              <w:t>A Note gives an observation a location beside the plants.</w:t>
            </w:r>
          </w:p>
          <w:p>
            <w:pPr>
              <w:spacing w:before="40" w:after="0"/>
            </w:pPr>
            <w:r>
              <w:rPr>
                <w:rFonts w:ascii="Aptos" w:hAnsi="Aptos"/>
                <w:b/>
                <w:color w:val="657069"/>
                <w:sz w:val="15"/>
              </w:rPr>
              <w:t xml:space="preserve">GUIDE  </w:t>
            </w:r>
            <w:r>
              <w:rPr>
                <w:rFonts w:ascii="Aptos" w:hAnsi="Aptos"/>
                <w:i/>
                <w:color w:val="657069"/>
                <w:sz w:val="18"/>
              </w:rPr>
              <w:t>Press the visible aiming circle to place the Note.</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Your Note is in place</w:t>
            </w:r>
          </w:p>
          <w:p>
            <w:pPr>
              <w:spacing w:after="80" w:line="252" w:lineRule="auto"/>
            </w:pPr>
            <w:r>
              <w:rPr>
                <w:rFonts w:ascii="Aptos" w:hAnsi="Aptos"/>
                <w:color w:val="1D2B23"/>
                <w:sz w:val="19"/>
              </w:rPr>
              <w:t>This Note records a seasonal change beside the plants. A Note can also hold an image, memory or task that someone may return to here.</w:t>
            </w:r>
          </w:p>
          <w:p>
            <w:pPr>
              <w:spacing w:before="60" w:after="20"/>
            </w:pPr>
            <w:r>
              <w:rPr>
                <w:rFonts w:ascii="Aptos" w:hAnsi="Aptos"/>
                <w:b/>
                <w:color w:val="426B4D"/>
                <w:sz w:val="15"/>
              </w:rPr>
              <w:t xml:space="preserve">ACTION  </w:t>
            </w:r>
            <w:r>
              <w:rPr>
                <w:rFonts w:ascii="Aptos" w:hAnsi="Aptos"/>
                <w:b/>
                <w:color w:val="1D2B23"/>
                <w:sz w:val="18"/>
              </w:rPr>
              <w:t>Continue to Areas</w:t>
            </w:r>
          </w:p>
        </w:tc>
      </w:tr>
    </w:tbl>
    <w:p>
      <w:pPr>
        <w:spacing w:after="20"/>
      </w:pPr>
    </w:p>
    <w:p>
      <w:pPr>
        <w:keepNext/>
        <w:spacing w:before="200" w:after="60"/>
      </w:pPr>
      <w:r>
        <w:rPr>
          <w:rFonts w:ascii="Aptos" w:hAnsi="Aptos"/>
          <w:b/>
          <w:color w:val="426B4D"/>
          <w:sz w:val="16"/>
        </w:rPr>
        <w:t>AVAILABLE NOTE TEMPLATES</w:t>
      </w:r>
    </w:p>
    <w:tbl>
      <w:tblPr>
        <w:tblW w:type="auto" w:w="0"/>
        <w:tblLayout w:type="fixed"/>
        <w:tblLook w:firstColumn="1" w:firstRow="1" w:lastColumn="0" w:lastRow="0" w:noHBand="0" w:noVBand="1" w:val="04A0"/>
      </w:tblPr>
      <w:tblGrid>
        <w:gridCol w:w="2880"/>
        <w:gridCol w:w="6264"/>
      </w:tblGrid>
      <w:tr>
        <w:trPr>
          <w:tblHeader w:val="true"/>
        </w:trPr>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Template</w:t>
            </w:r>
          </w:p>
        </w:tc>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Anchored content</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Point of Interest · Seasonal observation</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PURPOSE  Draw attention to this place</w:t>
              <w:br/>
              <w:t>MEDIA  Sound · animation · images</w:t>
              <w:br/>
              <w:t>ACTION  Revisit · compare · update</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Garden plaque · Grow gently</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“A garden teaches us to care for what comes next.”</w:t>
              <w:br/>
              <w:t>Pause · notice · return</w:t>
              <w:br/>
              <w:t>A small thought anchored to this living place</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Warning Note · DON’T GO HERE</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WARNING  Do not enter this place</w:t>
              <w:br/>
              <w:t>GUIDANCE  Explain the risk or boundary</w:t>
              <w:br/>
              <w:t>FUTURE  Sound · alerts · animation</w:t>
            </w:r>
          </w:p>
        </w:tc>
      </w:tr>
    </w:tbl>
    <w:p>
      <w:pPr>
        <w:spacing w:after="20"/>
      </w:pPr>
    </w:p>
    <w:p>
      <w:pPr>
        <w:pStyle w:val="Heading1"/>
      </w:pPr>
      <w:r>
        <w:t>8. Area Totems</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Your place is becoming connected</w:t>
            </w:r>
          </w:p>
          <w:p>
            <w:pPr>
              <w:spacing w:after="80" w:line="252" w:lineRule="auto"/>
            </w:pPr>
            <w:r>
              <w:rPr>
                <w:rFonts w:ascii="Aptos" w:hAnsi="Aptos"/>
                <w:color w:val="1D2B23"/>
                <w:sz w:val="19"/>
              </w:rPr>
              <w:t>This place now holds two plant profiles and one observation. Area Totems show how those pieces belong to larger parts of the landscape.</w:t>
            </w:r>
          </w:p>
          <w:p>
            <w:pPr>
              <w:spacing w:before="60" w:after="20"/>
            </w:pPr>
            <w:r>
              <w:rPr>
                <w:rFonts w:ascii="Aptos" w:hAnsi="Aptos"/>
                <w:b/>
                <w:color w:val="426B4D"/>
                <w:sz w:val="15"/>
              </w:rPr>
              <w:t xml:space="preserve">ACTION  </w:t>
            </w:r>
            <w:r>
              <w:rPr>
                <w:rFonts w:ascii="Aptos" w:hAnsi="Aptos"/>
                <w:b/>
                <w:color w:val="1D2B23"/>
                <w:sz w:val="18"/>
              </w:rPr>
              <w:t>See Area Totems</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Area Totems</w:t>
            </w:r>
          </w:p>
          <w:p>
            <w:pPr>
              <w:spacing w:after="80" w:line="252" w:lineRule="auto"/>
            </w:pPr>
            <w:r>
              <w:rPr>
                <w:rFonts w:ascii="Aptos" w:hAnsi="Aptos"/>
                <w:color w:val="1D2B23"/>
                <w:sz w:val="19"/>
              </w:rPr>
              <w:t>A Totem is an Area’s home marker. It gathers the plants, Notes and local knowledge that belong to that part of a project.</w:t>
            </w:r>
          </w:p>
          <w:p>
            <w:pPr>
              <w:spacing w:after="80" w:line="252" w:lineRule="auto"/>
            </w:pPr>
            <w:r>
              <w:rPr>
                <w:rFonts w:ascii="Aptos" w:hAnsi="Aptos"/>
                <w:color w:val="1D2B23"/>
                <w:sz w:val="19"/>
              </w:rPr>
              <w:t>This example reveals a Food Forest Area and a Kitchen Garden Area, then shows the route between them.</w:t>
            </w:r>
          </w:p>
          <w:p>
            <w:pPr>
              <w:spacing w:before="60" w:after="20"/>
            </w:pPr>
            <w:r>
              <w:rPr>
                <w:rFonts w:ascii="Aptos" w:hAnsi="Aptos"/>
                <w:b/>
                <w:color w:val="426B4D"/>
                <w:sz w:val="15"/>
              </w:rPr>
              <w:t xml:space="preserve">ACTION  </w:t>
            </w:r>
            <w:r>
              <w:rPr>
                <w:rFonts w:ascii="Aptos" w:hAnsi="Aptos"/>
                <w:b/>
                <w:color w:val="1D2B23"/>
                <w:sz w:val="18"/>
              </w:rPr>
              <w:t>Show Food Forest Totem</w:t>
            </w:r>
          </w:p>
        </w:tc>
      </w:tr>
    </w:tbl>
    <w:p>
      <w:pPr>
        <w:spacing w:after="20"/>
      </w:pPr>
    </w:p>
    <w:p>
      <w:pPr>
        <w:keepNext/>
        <w:spacing w:before="200" w:after="60"/>
      </w:pPr>
      <w:r>
        <w:rPr>
          <w:rFonts w:ascii="Aptos" w:hAnsi="Aptos"/>
          <w:b/>
          <w:color w:val="426B4D"/>
          <w:sz w:val="16"/>
        </w:rPr>
        <w:t>FOOD FOREST TOTEM</w:t>
      </w:r>
    </w:p>
    <w:p>
      <w:pPr>
        <w:pStyle w:val="ListBullet"/>
        <w:spacing w:after="60"/>
        <w:ind w:left="317" w:hanging="173"/>
      </w:pPr>
      <w:r>
        <w:rPr>
          <w:rFonts w:ascii="Aptos" w:hAnsi="Aptos"/>
          <w:color w:val="1D2B23"/>
          <w:sz w:val="19"/>
        </w:rPr>
        <w:t>FOOD FOREST AREA</w:t>
      </w:r>
    </w:p>
    <w:p>
      <w:pPr>
        <w:pStyle w:val="ListBullet"/>
        <w:spacing w:after="60"/>
        <w:ind w:left="317" w:hanging="173"/>
      </w:pPr>
      <w:r>
        <w:rPr>
          <w:rFonts w:ascii="Aptos" w:hAnsi="Aptos"/>
          <w:color w:val="1D2B23"/>
          <w:sz w:val="19"/>
        </w:rPr>
        <w:t>Pigeon Pea + Moringa guild</w:t>
      </w:r>
    </w:p>
    <w:p>
      <w:pPr>
        <w:pStyle w:val="ListBullet"/>
        <w:spacing w:after="60"/>
        <w:ind w:left="317" w:hanging="173"/>
      </w:pPr>
      <w:r>
        <w:rPr>
          <w:rFonts w:ascii="Aptos" w:hAnsi="Aptos"/>
          <w:color w:val="1D2B23"/>
          <w:sz w:val="19"/>
        </w:rPr>
        <w:t>Warm sheltered microclimate</w:t>
      </w:r>
    </w:p>
    <w:p>
      <w:pPr>
        <w:pStyle w:val="ListBullet"/>
        <w:spacing w:after="60"/>
        <w:ind w:left="317" w:hanging="173"/>
      </w:pPr>
      <w:r>
        <w:rPr>
          <w:rFonts w:ascii="Aptos" w:hAnsi="Aptos"/>
          <w:color w:val="1D2B23"/>
          <w:sz w:val="19"/>
        </w:rPr>
        <w:t>Pollinator activity</w:t>
      </w:r>
    </w:p>
    <w:p>
      <w:pPr>
        <w:pStyle w:val="ListBullet"/>
        <w:spacing w:after="60"/>
        <w:ind w:left="317" w:hanging="173"/>
      </w:pPr>
      <w:r>
        <w:rPr>
          <w:rFonts w:ascii="Aptos" w:hAnsi="Aptos"/>
          <w:color w:val="1D2B23"/>
          <w:sz w:val="19"/>
        </w:rPr>
        <w:t>Seasonal garden observations</w:t>
      </w:r>
    </w:p>
    <w:p>
      <w:pPr>
        <w:spacing w:after="120" w:line="259" w:lineRule="auto"/>
      </w:pPr>
      <w:r>
        <w:rPr>
          <w:rFonts w:ascii="Aptos" w:hAnsi="Aptos"/>
          <w:i/>
          <w:color w:val="657069"/>
          <w:sz w:val="20"/>
        </w:rPr>
        <w:t>Guide: “The Food Forest Totem marks one Area. Show the Kitchen Garden Totem to see a route between Areas.”</w:t>
      </w:r>
    </w:p>
    <w:p>
      <w:pPr>
        <w:spacing w:after="120" w:line="259" w:lineRule="auto"/>
      </w:pPr>
      <w:r>
        <w:rPr>
          <w:rFonts w:ascii="Aptos" w:hAnsi="Aptos"/>
          <w:b/>
          <w:color w:val="1D2B23"/>
          <w:sz w:val="20"/>
        </w:rPr>
        <w:t>Action:</w:t>
      </w:r>
      <w:r>
        <w:rPr>
          <w:rFonts w:ascii="Aptos" w:hAnsi="Aptos"/>
          <w:i w:val="0"/>
          <w:color w:val="1D2B23"/>
          <w:sz w:val="20"/>
        </w:rPr>
        <w:t xml:space="preserve"> “Show Kitchen Garden Totem”</w:t>
      </w:r>
    </w:p>
    <w:p>
      <w:pPr>
        <w:keepNext/>
        <w:spacing w:before="200" w:after="60"/>
      </w:pPr>
      <w:r>
        <w:rPr>
          <w:rFonts w:ascii="Aptos" w:hAnsi="Aptos"/>
          <w:b/>
          <w:color w:val="426B4D"/>
          <w:sz w:val="16"/>
        </w:rPr>
        <w:t>KITCHEN GARDEN TOTEM</w:t>
      </w:r>
    </w:p>
    <w:p>
      <w:pPr>
        <w:pStyle w:val="ListBullet"/>
        <w:spacing w:after="60"/>
        <w:ind w:left="317" w:hanging="173"/>
      </w:pPr>
      <w:r>
        <w:rPr>
          <w:rFonts w:ascii="Aptos" w:hAnsi="Aptos"/>
          <w:color w:val="1D2B23"/>
          <w:sz w:val="19"/>
        </w:rPr>
        <w:t>KITCHEN GARDEN AREA</w:t>
      </w:r>
    </w:p>
    <w:p>
      <w:pPr>
        <w:pStyle w:val="ListBullet"/>
        <w:spacing w:after="60"/>
        <w:ind w:left="317" w:hanging="173"/>
      </w:pPr>
      <w:r>
        <w:rPr>
          <w:rFonts w:ascii="Aptos" w:hAnsi="Aptos"/>
          <w:color w:val="1D2B23"/>
          <w:sz w:val="19"/>
        </w:rPr>
        <w:t>Seed-to-table plants</w:t>
      </w:r>
    </w:p>
    <w:p>
      <w:pPr>
        <w:pStyle w:val="ListBullet"/>
        <w:spacing w:after="60"/>
        <w:ind w:left="317" w:hanging="173"/>
      </w:pPr>
      <w:r>
        <w:rPr>
          <w:rFonts w:ascii="Aptos" w:hAnsi="Aptos"/>
          <w:color w:val="1D2B23"/>
          <w:sz w:val="19"/>
        </w:rPr>
        <w:t>Warm growing space</w:t>
      </w:r>
    </w:p>
    <w:p>
      <w:pPr>
        <w:pStyle w:val="ListBullet"/>
        <w:spacing w:after="60"/>
        <w:ind w:left="317" w:hanging="173"/>
      </w:pPr>
      <w:r>
        <w:rPr>
          <w:rFonts w:ascii="Aptos" w:hAnsi="Aptos"/>
          <w:color w:val="1D2B23"/>
          <w:sz w:val="19"/>
        </w:rPr>
        <w:t>Kitchen observations</w:t>
      </w:r>
    </w:p>
    <w:p>
      <w:pPr>
        <w:pStyle w:val="ListBullet"/>
        <w:spacing w:after="60"/>
        <w:ind w:left="317" w:hanging="173"/>
      </w:pPr>
      <w:r>
        <w:rPr>
          <w:rFonts w:ascii="Aptos" w:hAnsi="Aptos"/>
          <w:color w:val="1D2B23"/>
          <w:sz w:val="19"/>
        </w:rPr>
        <w:t>LINKED TO FOOD FOREST</w:t>
      </w:r>
    </w:p>
    <w:p>
      <w:pPr>
        <w:spacing w:after="120" w:line="259" w:lineRule="auto"/>
      </w:pPr>
      <w:r>
        <w:rPr>
          <w:rFonts w:ascii="Aptos" w:hAnsi="Aptos"/>
          <w:i/>
          <w:color w:val="657069"/>
          <w:sz w:val="20"/>
        </w:rPr>
        <w:t>Guide: “Each Totem keeps its own Area information. The link is a route between them; it does not merge their content.”</w:t>
      </w:r>
    </w:p>
    <w:p>
      <w:pPr>
        <w:spacing w:after="120" w:line="259" w:lineRule="auto"/>
      </w:pPr>
      <w:r>
        <w:rPr>
          <w:rFonts w:ascii="Aptos" w:hAnsi="Aptos"/>
          <w:b/>
          <w:color w:val="1D2B23"/>
          <w:sz w:val="20"/>
        </w:rPr>
        <w:t>Action:</w:t>
      </w:r>
      <w:r>
        <w:rPr>
          <w:rFonts w:ascii="Aptos" w:hAnsi="Aptos"/>
          <w:i w:val="0"/>
          <w:color w:val="1D2B23"/>
          <w:sz w:val="20"/>
        </w:rPr>
        <w:t xml:space="preserve"> “Why link Areas?”</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Why link Areas?</w:t>
            </w:r>
          </w:p>
          <w:p>
            <w:pPr>
              <w:spacing w:after="80" w:line="252" w:lineRule="auto"/>
            </w:pPr>
            <w:r>
              <w:rPr>
                <w:rFonts w:ascii="Aptos" w:hAnsi="Aptos"/>
                <w:color w:val="1D2B23"/>
                <w:sz w:val="19"/>
              </w:rPr>
              <w:t>Each Totem is the home marker for one Area. Its plants, Notes and local information remain attached to that Area.</w:t>
            </w:r>
          </w:p>
          <w:p>
            <w:pPr>
              <w:spacing w:after="80" w:line="252" w:lineRule="auto"/>
            </w:pPr>
            <w:r>
              <w:rPr>
                <w:rFonts w:ascii="Aptos" w:hAnsi="Aptos"/>
                <w:color w:val="1D2B23"/>
                <w:sz w:val="19"/>
              </w:rPr>
              <w:t>A link creates a visitor route between Areas. Here it connects the Food Forest with the Kitchen Garden without mixing their information.</w:t>
            </w:r>
          </w:p>
          <w:p>
            <w:pPr>
              <w:spacing w:after="80" w:line="252" w:lineRule="auto"/>
            </w:pPr>
            <w:r>
              <w:rPr>
                <w:rFonts w:ascii="Aptos" w:hAnsi="Aptos"/>
                <w:color w:val="1D2B23"/>
                <w:sz w:val="19"/>
              </w:rPr>
              <w:t>In a project, the destination sign helps visitors understand where the route leads before they move to the next Area.</w:t>
            </w:r>
          </w:p>
          <w:p>
            <w:pPr>
              <w:spacing w:before="60" w:after="20"/>
            </w:pPr>
            <w:r>
              <w:rPr>
                <w:rFonts w:ascii="Aptos" w:hAnsi="Aptos"/>
                <w:b/>
                <w:color w:val="426B4D"/>
                <w:sz w:val="15"/>
              </w:rPr>
              <w:t xml:space="preserve">ACTION  </w:t>
            </w:r>
            <w:r>
              <w:rPr>
                <w:rFonts w:ascii="Aptos" w:hAnsi="Aptos"/>
                <w:b/>
                <w:color w:val="1D2B23"/>
                <w:sz w:val="18"/>
              </w:rPr>
              <w:t>Continue</w:t>
            </w:r>
          </w:p>
        </w:tc>
      </w:tr>
    </w:tbl>
    <w:p>
      <w:pPr>
        <w:spacing w:after="20"/>
      </w:pPr>
    </w:p>
    <w:p>
      <w:pPr>
        <w:pStyle w:val="Heading1"/>
      </w:pPr>
      <w:r>
        <w:t>9. Closing</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NourishlandXR</w:t>
            </w:r>
          </w:p>
          <w:p>
            <w:pPr>
              <w:spacing w:after="80" w:line="252" w:lineRule="auto"/>
            </w:pPr>
            <w:r>
              <w:rPr>
                <w:rFonts w:ascii="Aptos" w:hAnsi="Aptos"/>
                <w:color w:val="1D2B23"/>
                <w:sz w:val="19"/>
              </w:rPr>
              <w:t>From one Pigeon Pea, we followed knowledge through two plants, an observation and connected Areas.</w:t>
            </w:r>
          </w:p>
          <w:p>
            <w:pPr>
              <w:spacing w:after="80" w:line="252" w:lineRule="auto"/>
            </w:pPr>
            <w:r>
              <w:rPr>
                <w:rFonts w:ascii="Aptos" w:hAnsi="Aptos"/>
                <w:color w:val="1D2B23"/>
                <w:sz w:val="19"/>
              </w:rPr>
              <w:t>NourishlandXR helps people explore living places, share what they learn and care for them together. Back at the welcome screen, you can explore a place or begin creating your own.</w:t>
            </w:r>
          </w:p>
          <w:p>
            <w:pPr>
              <w:spacing w:before="60" w:after="20"/>
            </w:pPr>
            <w:r>
              <w:rPr>
                <w:rFonts w:ascii="Aptos" w:hAnsi="Aptos"/>
                <w:b/>
                <w:color w:val="426B4D"/>
                <w:sz w:val="15"/>
              </w:rPr>
              <w:t xml:space="preserve">ACTION  </w:t>
            </w:r>
            <w:r>
              <w:rPr>
                <w:rFonts w:ascii="Aptos" w:hAnsi="Aptos"/>
                <w:b/>
                <w:color w:val="1D2B23"/>
                <w:sz w:val="18"/>
              </w:rPr>
              <w:t>Finish demo</w:t>
            </w:r>
          </w:p>
        </w:tc>
      </w:tr>
    </w:tbl>
    <w:p>
      <w:pPr>
        <w:spacing w:after="20"/>
      </w:pPr>
    </w:p>
    <w:p>
      <w:pPr>
        <w:pStyle w:val="Heading1"/>
      </w:pPr>
      <w:r>
        <w:t>10. Optional LIM exploration</w:t>
      </w:r>
    </w:p>
    <w:p>
      <w:pPr>
        <w:spacing w:after="120" w:line="259" w:lineRule="auto"/>
      </w:pPr>
      <w:r>
        <w:rPr>
          <w:rFonts w:ascii="Aptos" w:hAnsi="Aptos"/>
          <w:i w:val="0"/>
          <w:color w:val="1D2B23"/>
          <w:sz w:val="20"/>
        </w:rPr>
        <w:t>Learning cells remain optional throughout the principal demo. They can be hidden or activated from the Control panel, and the visitor can return to them without losing the main journey.</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OPTIONAL GUIDED EXPLORATION</w:t>
            </w:r>
            <w:r>
              <w:br/>
            </w:r>
            <w:r>
              <w:rPr>
                <w:rFonts w:ascii="Aptos" w:hAnsi="Aptos"/>
                <w:b/>
                <w:color w:val="1D2B23"/>
                <w:sz w:val="24"/>
              </w:rPr>
              <w:t>Learning Paths</w:t>
            </w:r>
          </w:p>
          <w:p>
            <w:pPr>
              <w:spacing w:after="80" w:line="252" w:lineRule="auto"/>
            </w:pPr>
            <w:r>
              <w:rPr>
                <w:rFonts w:ascii="Aptos" w:hAnsi="Aptos"/>
                <w:color w:val="1D2B23"/>
                <w:sz w:val="19"/>
              </w:rPr>
              <w:t>Follow a gentle sequence of connected topics, or continue exploring freely. More paths are being developed.</w:t>
            </w:r>
          </w:p>
          <w:p>
            <w:pPr>
              <w:spacing w:before="60" w:after="20"/>
            </w:pPr>
            <w:r>
              <w:rPr>
                <w:rFonts w:ascii="Aptos" w:hAnsi="Aptos"/>
                <w:b/>
                <w:color w:val="426B4D"/>
                <w:sz w:val="15"/>
              </w:rPr>
              <w:t xml:space="preserve">ACTION  </w:t>
            </w:r>
            <w:r>
              <w:rPr>
                <w:rFonts w:ascii="Aptos" w:hAnsi="Aptos"/>
                <w:b/>
                <w:color w:val="1D2B23"/>
                <w:sz w:val="18"/>
              </w:rPr>
              <w:t>Explore freely · Try Understand This Place</w:t>
            </w:r>
          </w:p>
        </w:tc>
      </w:tr>
    </w:tbl>
    <w:p>
      <w:pPr>
        <w:spacing w:after="20"/>
      </w:pP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426B4D"/>
                <w:sz w:val="15"/>
              </w:rPr>
              <w:t>OPTIONAL GUIDED EXPLORATION</w:t>
            </w:r>
            <w:r>
              <w:br/>
            </w:r>
            <w:r>
              <w:rPr>
                <w:rFonts w:ascii="Aptos" w:hAnsi="Aptos"/>
                <w:b/>
                <w:color w:val="1D2B23"/>
                <w:sz w:val="24"/>
              </w:rPr>
              <w:t>Understand This Place</w:t>
            </w:r>
          </w:p>
          <w:p>
            <w:pPr>
              <w:spacing w:after="80" w:line="252" w:lineRule="auto"/>
            </w:pPr>
            <w:r>
              <w:rPr>
                <w:rFonts w:ascii="Aptos" w:hAnsi="Aptos"/>
                <w:color w:val="1D2B23"/>
                <w:sz w:val="19"/>
              </w:rPr>
              <w:t>Understand This Place offers an optional route through seven connected LIM topics. You can leave the path, explore any other cell and return whenever you choose.</w:t>
            </w:r>
          </w:p>
          <w:p>
            <w:pPr>
              <w:spacing w:before="60" w:after="20"/>
            </w:pPr>
            <w:r>
              <w:rPr>
                <w:rFonts w:ascii="Aptos" w:hAnsi="Aptos"/>
                <w:b/>
                <w:color w:val="426B4D"/>
                <w:sz w:val="15"/>
              </w:rPr>
              <w:t xml:space="preserve">ACTION  </w:t>
            </w:r>
            <w:r>
              <w:rPr>
                <w:rFonts w:ascii="Aptos" w:hAnsi="Aptos"/>
                <w:b/>
                <w:color w:val="1D2B23"/>
                <w:sz w:val="18"/>
              </w:rPr>
              <w:t>Begin path · Explore freely</w:t>
            </w:r>
          </w:p>
        </w:tc>
      </w:tr>
    </w:tbl>
    <w:p>
      <w:pPr>
        <w:spacing w:after="20"/>
      </w:pPr>
    </w:p>
    <w:p>
      <w:pPr>
        <w:keepNext/>
        <w:spacing w:before="200" w:after="60"/>
      </w:pPr>
      <w:r>
        <w:rPr>
          <w:rFonts w:ascii="Aptos" w:hAnsi="Aptos"/>
          <w:b/>
          <w:color w:val="426B4D"/>
          <w:sz w:val="16"/>
        </w:rPr>
        <w:t>UNDERSTAND THIS PLACE SEQUENCE</w:t>
      </w:r>
    </w:p>
    <w:tbl>
      <w:tblPr>
        <w:tblW w:type="auto" w:w="0"/>
        <w:tblLayout w:type="fixed"/>
        <w:tblLook w:firstColumn="1" w:firstRow="1" w:lastColumn="0" w:lastRow="0" w:noHBand="0" w:noVBand="1" w:val="04A0"/>
      </w:tblPr>
      <w:tblGrid>
        <w:gridCol w:w="2880"/>
        <w:gridCol w:w="6264"/>
      </w:tblGrid>
      <w:tr>
        <w:trPr>
          <w:tblHeader w:val="true"/>
        </w:trPr>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Step</w:t>
            </w:r>
          </w:p>
        </w:tc>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Suggested branch</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1 · Pin — Place</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Begin with what can be directly located and observed.</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2 · Climate</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Notice the climate and local conditions acting on the place.</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3 · Food Forest</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Read the place as a connected living structure.</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4 · Plant</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Choose one plant and connect identity with its position and role.</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5 · Wildlife Relationships</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Notice who else uses the place and how those relationships change.</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6 · Pin — Observation</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Record something specific enough to be revisited.</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7 · Observation — Action</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Turn the observation into a question, care task or next visit.</w:t>
            </w:r>
          </w:p>
        </w:tc>
      </w:tr>
    </w:tbl>
    <w:p>
      <w:pPr>
        <w:spacing w:after="20"/>
      </w:pPr>
    </w:p>
    <w:p>
      <w:pPr>
        <w:spacing w:after="120" w:line="259" w:lineRule="auto"/>
      </w:pPr>
      <w:r>
        <w:rPr>
          <w:rFonts w:ascii="Aptos" w:hAnsi="Aptos"/>
          <w:i/>
          <w:color w:val="657069"/>
          <w:sz w:val="20"/>
        </w:rPr>
        <w:t>Path completion invites the visitor to place an observation Note or complete without a Note. Paused progress is saved and can be resumed or restarted.</w:t>
      </w:r>
    </w:p>
    <w:p>
      <w:r>
        <w:br w:type="page"/>
      </w:r>
    </w:p>
    <w:p>
      <w:pPr>
        <w:pStyle w:val="Heading1"/>
      </w:pPr>
      <w:r>
        <w:t>11. Optional learning modules</w:t>
      </w:r>
    </w:p>
    <w:tbl>
      <w:tblPr>
        <w:tblW w:type="auto" w:w="0"/>
        <w:tblLayout w:type="fixed"/>
        <w:tblLook w:firstColumn="1" w:firstRow="1" w:lastColumn="0" w:lastRow="0" w:noHBand="0" w:noVBand="1" w:val="04A0"/>
      </w:tblPr>
      <w:tblGrid>
        <w:gridCol w:w="9144"/>
      </w:tblGrid>
      <w:tr>
        <w:tc>
          <w:tcPr>
            <w:tcW w:type="dxa" w:w="9663"/>
            <w:vAlign w:val="center"/>
            <w:shd w:fill="F5F7F4"/>
            <w:tcBorders>
              <w:top w:val="single" w:sz="8" w:space="0" w:color="C8D1C9"/>
              <w:left w:val="single" w:sz="8" w:space="0" w:color="C8D1C9"/>
              <w:bottom w:val="single" w:sz="8" w:space="0" w:color="C8D1C9"/>
              <w:right w:val="single" w:sz="8" w:space="0" w:color="C8D1C9"/>
            </w:tcBorders>
          </w:tcPr>
          <w:p>
            <w:pPr>
              <w:spacing w:after="40"/>
            </w:pPr>
            <w:r>
              <w:rPr>
                <w:rFonts w:ascii="Aptos" w:hAnsi="Aptos"/>
                <w:b/>
                <w:color w:val="1D2B23"/>
                <w:sz w:val="24"/>
              </w:rPr>
              <w:t>Learning modules</w:t>
            </w:r>
          </w:p>
          <w:p>
            <w:pPr>
              <w:spacing w:after="80" w:line="252" w:lineRule="auto"/>
            </w:pPr>
            <w:r>
              <w:rPr>
                <w:rFonts w:ascii="Aptos" w:hAnsi="Aptos"/>
                <w:color w:val="1D2B23"/>
                <w:sz w:val="19"/>
              </w:rPr>
              <w:t>Choose a brief demonstration package. It runs separately from the main tutorial.</w:t>
            </w:r>
          </w:p>
          <w:p>
            <w:pPr>
              <w:spacing w:before="60" w:after="20"/>
            </w:pPr>
            <w:r>
              <w:rPr>
                <w:rFonts w:ascii="Aptos" w:hAnsi="Aptos"/>
                <w:b/>
                <w:color w:val="426B4D"/>
                <w:sz w:val="15"/>
              </w:rPr>
              <w:t xml:space="preserve">ACTION  </w:t>
            </w:r>
            <w:r>
              <w:rPr>
                <w:rFonts w:ascii="Aptos" w:hAnsi="Aptos"/>
                <w:b/>
                <w:color w:val="1D2B23"/>
                <w:sz w:val="18"/>
              </w:rPr>
              <w:t>Create a food forest · Identify a native forest</w:t>
            </w:r>
          </w:p>
        </w:tc>
      </w:tr>
    </w:tbl>
    <w:p>
      <w:pPr>
        <w:spacing w:after="20"/>
      </w:pPr>
    </w:p>
    <w:p>
      <w:pPr>
        <w:keepNext/>
        <w:spacing w:before="200" w:after="60"/>
      </w:pPr>
      <w:r>
        <w:rPr>
          <w:rFonts w:ascii="Aptos" w:hAnsi="Aptos"/>
          <w:b/>
          <w:color w:val="426B4D"/>
          <w:sz w:val="16"/>
        </w:rPr>
        <w:t>CREATE A FOOD FOREST</w:t>
      </w:r>
    </w:p>
    <w:p>
      <w:pPr>
        <w:spacing w:after="120" w:line="259" w:lineRule="auto"/>
      </w:pPr>
      <w:r>
        <w:rPr>
          <w:rFonts w:ascii="Aptos" w:hAnsi="Aptos"/>
          <w:i w:val="0"/>
          <w:color w:val="1D2B23"/>
          <w:sz w:val="20"/>
        </w:rPr>
        <w:t>A short demonstration of how a learning package can guide exploration without taking over the main demo.</w:t>
      </w:r>
    </w:p>
    <w:tbl>
      <w:tblPr>
        <w:tblW w:type="auto" w:w="0"/>
        <w:tblLayout w:type="fixed"/>
        <w:tblLook w:firstColumn="1" w:firstRow="1" w:lastColumn="0" w:lastRow="0" w:noHBand="0" w:noVBand="1" w:val="04A0"/>
      </w:tblPr>
      <w:tblGrid>
        <w:gridCol w:w="2880"/>
        <w:gridCol w:w="6264"/>
      </w:tblGrid>
      <w:tr>
        <w:trPr>
          <w:tblHeader w:val="true"/>
        </w:trPr>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Micro step</w:t>
            </w:r>
          </w:p>
        </w:tc>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Guidance</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1 · Read the place</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Begin with the landscape. Notice sun, slope, water, access and what already grows here.</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2 · Choose functions</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Decide which functions matter: food, shade, habitat, shelter, access or soil care.</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3 · Design for change</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Arrange the first stages with succession in mind. Leave room for plants and relationships to change.</w:t>
            </w:r>
          </w:p>
        </w:tc>
      </w:tr>
    </w:tbl>
    <w:p>
      <w:pPr>
        <w:spacing w:after="20"/>
      </w:pPr>
    </w:p>
    <w:p>
      <w:pPr>
        <w:keepNext/>
        <w:spacing w:before="200" w:after="60"/>
      </w:pPr>
      <w:r>
        <w:rPr>
          <w:rFonts w:ascii="Aptos" w:hAnsi="Aptos"/>
          <w:b/>
          <w:color w:val="426B4D"/>
          <w:sz w:val="16"/>
        </w:rPr>
        <w:t>IDENTIFY A NATIVE FOREST</w:t>
      </w:r>
    </w:p>
    <w:p>
      <w:pPr>
        <w:spacing w:after="120" w:line="259" w:lineRule="auto"/>
      </w:pPr>
      <w:r>
        <w:rPr>
          <w:rFonts w:ascii="Aptos" w:hAnsi="Aptos"/>
          <w:i w:val="0"/>
          <w:color w:val="1D2B23"/>
          <w:sz w:val="20"/>
        </w:rPr>
        <w:t>A brief field-learning package for reading a forest through place, plants and relationships.</w:t>
      </w:r>
    </w:p>
    <w:tbl>
      <w:tblPr>
        <w:tblW w:type="auto" w:w="0"/>
        <w:tblLayout w:type="fixed"/>
        <w:tblLook w:firstColumn="1" w:firstRow="1" w:lastColumn="0" w:lastRow="0" w:noHBand="0" w:noVBand="1" w:val="04A0"/>
      </w:tblPr>
      <w:tblGrid>
        <w:gridCol w:w="2880"/>
        <w:gridCol w:w="6264"/>
      </w:tblGrid>
      <w:tr>
        <w:trPr>
          <w:tblHeader w:val="true"/>
        </w:trPr>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Micro step</w:t>
            </w:r>
          </w:p>
        </w:tc>
        <w:tc>
          <w:tcPr>
            <w:tcW w:type="dxa" w:w="4831"/>
            <w:shd w:fill="426B4D"/>
            <w:tcBorders>
              <w:top w:val="single" w:sz="5" w:space="0" w:color="C8D1C9"/>
              <w:left w:val="single" w:sz="5" w:space="0" w:color="C8D1C9"/>
              <w:bottom w:val="single" w:sz="5" w:space="0" w:color="C8D1C9"/>
              <w:right w:val="single" w:sz="5" w:space="0" w:color="C8D1C9"/>
            </w:tcBorders>
            <w:vAlign w:val="center"/>
          </w:tcPr>
          <w:p>
            <w:r>
              <w:rPr>
                <w:rFonts w:ascii="Aptos" w:hAnsi="Aptos"/>
                <w:b/>
                <w:color w:val="FFFFFF"/>
                <w:sz w:val="17"/>
              </w:rPr>
              <w:t>Guidance</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1 · Read the landscape</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Start with landform, water, exposure and the broad structure of the forest.</w:t>
            </w:r>
          </w:p>
        </w:tc>
      </w:tr>
      <w:tr>
        <w:trPr>
          <w:cantSplit/>
        </w:trPr>
        <w:tc>
          <w:tcPr>
            <w:tcW w:type="dxa" w:w="2880"/>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2 · Notice plant identity</w:t>
            </w:r>
          </w:p>
        </w:tc>
        <w:tc>
          <w:tcPr>
            <w:tcW w:type="dxa" w:w="6264"/>
            <w:shd w:fill="FFFFFF"/>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Observe plant form, leaves, bark and growth habit. Keep uncertain identification marked as uncertain.</w:t>
            </w:r>
          </w:p>
        </w:tc>
      </w:tr>
      <w:tr>
        <w:trPr>
          <w:cantSplit/>
        </w:trPr>
        <w:tc>
          <w:tcPr>
            <w:tcW w:type="dxa" w:w="2880"/>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color w:val="1D2B23"/>
                <w:sz w:val="17"/>
              </w:rPr>
              <w:t>3 · Follow relationships</w:t>
            </w:r>
          </w:p>
        </w:tc>
        <w:tc>
          <w:tcPr>
            <w:tcW w:type="dxa" w:w="6264"/>
            <w:shd w:fill="F5F7F4"/>
            <w:tcBorders>
              <w:top w:val="single" w:sz="5" w:space="0" w:color="C8D1C9"/>
              <w:left w:val="single" w:sz="5" w:space="0" w:color="C8D1C9"/>
              <w:bottom w:val="single" w:sz="5" w:space="0" w:color="C8D1C9"/>
              <w:right w:val="single" w:sz="5" w:space="0" w:color="C8D1C9"/>
            </w:tcBorders>
            <w:vAlign w:val="center"/>
          </w:tcPr>
          <w:p>
            <w:pPr>
              <w:spacing w:after="0"/>
            </w:pPr>
            <w:r>
              <w:rPr>
                <w:rFonts w:ascii="Aptos" w:hAnsi="Aptos"/>
                <w:b w:val="0"/>
                <w:color w:val="1D2B23"/>
                <w:sz w:val="17"/>
              </w:rPr>
              <w:t>Look for habitat, pollinators, fungi, litter and other connections before describing the forest.</w:t>
            </w:r>
          </w:p>
        </w:tc>
      </w:tr>
    </w:tbl>
    <w:p>
      <w:pPr>
        <w:spacing w:after="20"/>
      </w:pPr>
    </w:p>
    <w:p>
      <w:pPr>
        <w:spacing w:after="120" w:line="259" w:lineRule="auto"/>
      </w:pPr>
      <w:r>
        <w:rPr>
          <w:rFonts w:ascii="Aptos" w:hAnsi="Aptos"/>
          <w:i/>
          <w:color w:val="657069"/>
          <w:sz w:val="20"/>
        </w:rPr>
        <w:t>Completion copy: “Package complete. This short cycle connected a goal, a few learning cells and guidance in the Control panel.”</w:t>
      </w:r>
    </w:p>
    <w:p>
      <w:r>
        <w:br w:type="page"/>
      </w:r>
    </w:p>
    <w:p>
      <w:pPr>
        <w:pStyle w:val="Heading1"/>
      </w:pPr>
      <w:r>
        <w:t>12. Controls, accessibility and localization</w:t>
      </w:r>
    </w:p>
    <w:p>
      <w:pPr>
        <w:keepNext/>
        <w:spacing w:before="200" w:after="60"/>
      </w:pPr>
      <w:r>
        <w:rPr>
          <w:rFonts w:ascii="Aptos" w:hAnsi="Aptos"/>
          <w:b/>
          <w:color w:val="426B4D"/>
          <w:sz w:val="16"/>
        </w:rPr>
        <w:t>PERSISTENT CONTROLS</w:t>
      </w:r>
    </w:p>
    <w:p>
      <w:pPr>
        <w:pStyle w:val="ListBullet"/>
        <w:spacing w:after="60"/>
        <w:ind w:left="317" w:hanging="173"/>
      </w:pPr>
      <w:r>
        <w:rPr>
          <w:rFonts w:ascii="Aptos" w:hAnsi="Aptos"/>
          <w:color w:val="1D2B23"/>
          <w:sz w:val="19"/>
        </w:rPr>
        <w:t>Continue is the explicit step advance; the visitor is not advanced by animation timing alone.</w:t>
      </w:r>
    </w:p>
    <w:p>
      <w:pPr>
        <w:pStyle w:val="ListBullet"/>
        <w:spacing w:after="60"/>
        <w:ind w:left="317" w:hanging="173"/>
      </w:pPr>
      <w:r>
        <w:rPr>
          <w:rFonts w:ascii="Aptos" w:hAnsi="Aptos"/>
          <w:color w:val="1D2B23"/>
          <w:sz w:val="19"/>
        </w:rPr>
        <w:t>Skip narration completes the current typed copy without skipping the visitor’s next choice.</w:t>
      </w:r>
    </w:p>
    <w:p>
      <w:pPr>
        <w:pStyle w:val="ListBullet"/>
        <w:spacing w:after="60"/>
        <w:ind w:left="317" w:hanging="173"/>
      </w:pPr>
      <w:r>
        <w:rPr>
          <w:rFonts w:ascii="Aptos" w:hAnsi="Aptos"/>
          <w:color w:val="1D2B23"/>
          <w:sz w:val="19"/>
        </w:rPr>
        <w:t>Close demo remains available outside Web Mode and the hidden state.</w:t>
      </w:r>
    </w:p>
    <w:p>
      <w:pPr>
        <w:pStyle w:val="ListBullet"/>
        <w:spacing w:after="60"/>
        <w:ind w:left="317" w:hanging="173"/>
      </w:pPr>
      <w:r>
        <w:rPr>
          <w:rFonts w:ascii="Aptos" w:hAnsi="Aptos"/>
          <w:color w:val="1D2B23"/>
          <w:sz w:val="19"/>
        </w:rPr>
        <w:t>Open Plant Live Tag is shown only at the Live Tag tutorial step.</w:t>
      </w:r>
    </w:p>
    <w:p>
      <w:pPr>
        <w:pStyle w:val="ListBullet"/>
        <w:spacing w:after="60"/>
        <w:ind w:left="317" w:hanging="173"/>
      </w:pPr>
      <w:r>
        <w:rPr>
          <w:rFonts w:ascii="Aptos" w:hAnsi="Aptos"/>
          <w:color w:val="1D2B23"/>
          <w:sz w:val="19"/>
        </w:rPr>
        <w:t>Learning cells can be activated or hidden from the Control panel.</w:t>
      </w:r>
    </w:p>
    <w:p>
      <w:pPr>
        <w:pStyle w:val="ListBullet"/>
        <w:spacing w:after="60"/>
        <w:ind w:left="317" w:hanging="173"/>
      </w:pPr>
      <w:r>
        <w:rPr>
          <w:rFonts w:ascii="Aptos" w:hAnsi="Aptos"/>
          <w:color w:val="1D2B23"/>
          <w:sz w:val="19"/>
        </w:rPr>
        <w:t>Placed Plant orbs remain alive and interactive as later objects are added.</w:t>
      </w:r>
    </w:p>
    <w:p>
      <w:pPr>
        <w:keepNext/>
        <w:spacing w:before="200" w:after="60"/>
      </w:pPr>
      <w:r>
        <w:rPr>
          <w:rFonts w:ascii="Aptos" w:hAnsi="Aptos"/>
          <w:b/>
          <w:color w:val="426B4D"/>
          <w:sz w:val="16"/>
        </w:rPr>
        <w:t>ACCESS MODES</w:t>
      </w:r>
    </w:p>
    <w:p>
      <w:pPr>
        <w:pStyle w:val="ListBullet"/>
        <w:spacing w:after="60"/>
        <w:ind w:left="317" w:hanging="173"/>
      </w:pPr>
      <w:r>
        <w:rPr>
          <w:rFonts w:ascii="Aptos" w:hAnsi="Aptos"/>
          <w:color w:val="1D2B23"/>
          <w:sz w:val="19"/>
        </w:rPr>
        <w:t>The same sequence supports simulated browser preview and immersive AR; the simulated mode keeps readable DOM copy on narrow screens.</w:t>
      </w:r>
    </w:p>
    <w:p>
      <w:pPr>
        <w:pStyle w:val="ListBullet"/>
        <w:spacing w:after="60"/>
        <w:ind w:left="317" w:hanging="173"/>
      </w:pPr>
      <w:r>
        <w:rPr>
          <w:rFonts w:ascii="Aptos" w:hAnsi="Aptos"/>
          <w:color w:val="1D2B23"/>
          <w:sz w:val="19"/>
        </w:rPr>
        <w:t>Native cell buttons provide touch, keyboard and screen-reader targets with labels and progress states.</w:t>
      </w:r>
    </w:p>
    <w:p>
      <w:pPr>
        <w:pStyle w:val="ListBullet"/>
        <w:spacing w:after="60"/>
        <w:ind w:left="317" w:hanging="173"/>
      </w:pPr>
      <w:r>
        <w:rPr>
          <w:rFonts w:ascii="Aptos" w:hAnsi="Aptos"/>
          <w:color w:val="1D2B23"/>
          <w:sz w:val="19"/>
        </w:rPr>
        <w:t>Reduced-motion preference removes the extended reveal while retaining the complete LIM hierarchy and transition into narrative copy.</w:t>
      </w:r>
    </w:p>
    <w:p>
      <w:pPr>
        <w:pStyle w:val="ListBullet"/>
        <w:spacing w:after="60"/>
        <w:ind w:left="317" w:hanging="173"/>
      </w:pPr>
      <w:r>
        <w:rPr>
          <w:rFonts w:ascii="Aptos" w:hAnsi="Aptos"/>
          <w:color w:val="1D2B23"/>
          <w:sz w:val="19"/>
        </w:rPr>
        <w:t>The main copy is English. Portuguese and Dutch localized welcome strings are available through the application’s language layer; English remains the canonical wording in this reference.</w:t>
      </w:r>
    </w:p>
    <w:p>
      <w:pPr>
        <w:pStyle w:val="Heading1"/>
      </w:pPr>
      <w:r>
        <w:t>13. Synchronization protocol</w:t>
      </w:r>
    </w:p>
    <w:p>
      <w:pPr>
        <w:keepNext/>
        <w:spacing w:before="200" w:after="60"/>
      </w:pPr>
      <w:r>
        <w:rPr>
          <w:rFonts w:ascii="Aptos" w:hAnsi="Aptos"/>
          <w:b/>
          <w:color w:val="426B4D"/>
          <w:sz w:val="16"/>
        </w:rPr>
        <w:t>WHEN THE DOCUMENT IS EDITED MANUALLY</w:t>
      </w:r>
    </w:p>
    <w:p>
      <w:pPr>
        <w:spacing w:after="80"/>
        <w:ind w:left="403" w:hanging="403"/>
      </w:pPr>
      <w:r>
        <w:rPr>
          <w:rFonts w:ascii="Aptos" w:hAnsi="Aptos"/>
          <w:b/>
          <w:color w:val="426B4D"/>
          <w:sz w:val="18"/>
        </w:rPr>
        <w:t>1.</w:t>
      </w:r>
      <w:r>
        <w:rPr>
          <w:rFonts w:ascii="Aptos" w:hAnsi="Aptos"/>
          <w:color w:val="1D2B23"/>
          <w:sz w:val="19"/>
        </w:rPr>
        <w:t xml:space="preserve">  Treat this file as the requested copy-and-sequence reference for the next demo content change.</w:t>
      </w:r>
    </w:p>
    <w:p>
      <w:pPr>
        <w:spacing w:after="80"/>
        <w:ind w:left="403" w:hanging="403"/>
      </w:pPr>
      <w:r>
        <w:rPr>
          <w:rFonts w:ascii="Aptos" w:hAnsi="Aptos"/>
          <w:b/>
          <w:color w:val="426B4D"/>
          <w:sz w:val="18"/>
        </w:rPr>
        <w:t>2.</w:t>
      </w:r>
      <w:r>
        <w:rPr>
          <w:rFonts w:ascii="Aptos" w:hAnsi="Aptos"/>
          <w:color w:val="1D2B23"/>
          <w:sz w:val="19"/>
        </w:rPr>
        <w:t xml:space="preserve">  Before implementation, compare the document with the current source and identify the user-authored differences.</w:t>
      </w:r>
    </w:p>
    <w:p>
      <w:pPr>
        <w:spacing w:after="80"/>
        <w:ind w:left="403" w:hanging="403"/>
      </w:pPr>
      <w:r>
        <w:rPr>
          <w:rFonts w:ascii="Aptos" w:hAnsi="Aptos"/>
          <w:b/>
          <w:color w:val="426B4D"/>
          <w:sz w:val="18"/>
        </w:rPr>
        <w:t>3.</w:t>
      </w:r>
      <w:r>
        <w:rPr>
          <w:rFonts w:ascii="Aptos" w:hAnsi="Aptos"/>
          <w:color w:val="1D2B23"/>
          <w:sz w:val="19"/>
        </w:rPr>
        <w:t xml:space="preserve">  Apply approved differences to the application without silently replacing unrelated current behavior.</w:t>
      </w:r>
    </w:p>
    <w:p>
      <w:pPr>
        <w:spacing w:after="80"/>
        <w:ind w:left="403" w:hanging="403"/>
      </w:pPr>
      <w:r>
        <w:rPr>
          <w:rFonts w:ascii="Aptos" w:hAnsi="Aptos"/>
          <w:b/>
          <w:color w:val="426B4D"/>
          <w:sz w:val="18"/>
        </w:rPr>
        <w:t>4.</w:t>
      </w:r>
      <w:r>
        <w:rPr>
          <w:rFonts w:ascii="Aptos" w:hAnsi="Aptos"/>
          <w:color w:val="1D2B23"/>
          <w:sz w:val="19"/>
        </w:rPr>
        <w:t xml:space="preserve">  Update the application version, build, test and confirm that this document and the implemented flow agree.</w:t>
      </w:r>
    </w:p>
    <w:p>
      <w:pPr>
        <w:keepNext/>
        <w:spacing w:before="200" w:after="60"/>
      </w:pPr>
      <w:r>
        <w:rPr>
          <w:rFonts w:ascii="Aptos" w:hAnsi="Aptos"/>
          <w:b/>
          <w:color w:val="426B4D"/>
          <w:sz w:val="16"/>
        </w:rPr>
        <w:t>WHEN THE IMPLEMENTATION IS EDITED BY CODEX</w:t>
      </w:r>
    </w:p>
    <w:p>
      <w:pPr>
        <w:spacing w:after="80"/>
        <w:ind w:left="403" w:hanging="403"/>
      </w:pPr>
      <w:r>
        <w:rPr>
          <w:rFonts w:ascii="Aptos" w:hAnsi="Aptos"/>
          <w:b/>
          <w:color w:val="426B4D"/>
          <w:sz w:val="18"/>
        </w:rPr>
        <w:t>1.</w:t>
      </w:r>
      <w:r>
        <w:rPr>
          <w:rFonts w:ascii="Aptos" w:hAnsi="Aptos"/>
          <w:color w:val="1D2B23"/>
          <w:sz w:val="19"/>
        </w:rPr>
        <w:t xml:space="preserve">  Update this document in the same change whenever visitor-facing demo wording, sequence, content, or opening-animation intent changes.</w:t>
      </w:r>
    </w:p>
    <w:p>
      <w:pPr>
        <w:spacing w:after="80"/>
        <w:ind w:left="403" w:hanging="403"/>
      </w:pPr>
      <w:r>
        <w:rPr>
          <w:rFonts w:ascii="Aptos" w:hAnsi="Aptos"/>
          <w:b/>
          <w:color w:val="426B4D"/>
          <w:sz w:val="18"/>
        </w:rPr>
        <w:t>2.</w:t>
      </w:r>
      <w:r>
        <w:rPr>
          <w:rFonts w:ascii="Aptos" w:hAnsi="Aptos"/>
          <w:color w:val="1D2B23"/>
          <w:sz w:val="19"/>
        </w:rPr>
        <w:t xml:space="preserve">  Preserve exact implemented wording in copy blocks. Editorial comments must be clearly separated from implemented copy.</w:t>
      </w:r>
    </w:p>
    <w:p>
      <w:pPr>
        <w:spacing w:after="80"/>
        <w:ind w:left="403" w:hanging="403"/>
      </w:pPr>
      <w:r>
        <w:rPr>
          <w:rFonts w:ascii="Aptos" w:hAnsi="Aptos"/>
          <w:b/>
          <w:color w:val="426B4D"/>
          <w:sz w:val="18"/>
        </w:rPr>
        <w:t>3.</w:t>
      </w:r>
      <w:r>
        <w:rPr>
          <w:rFonts w:ascii="Aptos" w:hAnsi="Aptos"/>
          <w:color w:val="1D2B23"/>
          <w:sz w:val="19"/>
        </w:rPr>
        <w:t xml:space="preserve">  Refresh the application version and synchronization date shown on the cover.</w:t>
      </w:r>
    </w:p>
    <w:p>
      <w:pPr>
        <w:spacing w:after="80"/>
        <w:ind w:left="403" w:hanging="403"/>
      </w:pPr>
      <w:r>
        <w:rPr>
          <w:rFonts w:ascii="Aptos" w:hAnsi="Aptos"/>
          <w:b/>
          <w:color w:val="426B4D"/>
          <w:sz w:val="18"/>
        </w:rPr>
        <w:t>4.</w:t>
      </w:r>
      <w:r>
        <w:rPr>
          <w:rFonts w:ascii="Aptos" w:hAnsi="Aptos"/>
          <w:color w:val="1D2B23"/>
          <w:sz w:val="19"/>
        </w:rPr>
        <w:t xml:space="preserve">  Render and inspect the document before handoff, then confirm its current status to the user.</w:t>
      </w:r>
    </w:p>
    <w:p>
      <w:pPr>
        <w:keepNext/>
        <w:spacing w:before="200" w:after="60"/>
      </w:pPr>
      <w:r>
        <w:rPr>
          <w:rFonts w:ascii="Aptos" w:hAnsi="Aptos"/>
          <w:b/>
          <w:color w:val="426B4D"/>
          <w:sz w:val="16"/>
        </w:rPr>
        <w:t>DEFINITION OF SYNCHRONIZED</w:t>
      </w:r>
    </w:p>
    <w:p>
      <w:pPr>
        <w:spacing w:after="120" w:line="259" w:lineRule="auto"/>
      </w:pPr>
      <w:r>
        <w:rPr>
          <w:rFonts w:ascii="Aptos" w:hAnsi="Aptos"/>
          <w:i w:val="0"/>
          <w:color w:val="1D2B23"/>
          <w:sz w:val="20"/>
        </w:rPr>
        <w:t>The document is synchronized when its sequence, titles, body copy, action labels, principal guide text, optional pathways and stated visual intent match the current shipped implementation. Interaction internals and data that are not visitor-facing remain documented in source code and tests.</w:t>
      </w:r>
    </w:p>
    <w:sectPr w:rsidR="00FC693F" w:rsidRPr="0006063C" w:rsidSect="00034616">
      <w:footerReference w:type="default" r:id="rId9"/>
      <w:pgSz w:w="11909" w:h="16834"/>
      <w:pgMar w:top="936" w:right="1123" w:bottom="893" w:left="1123"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57069"/>
        <w:sz w:val="16"/>
      </w:rPr>
      <w:t xml:space="preserve">NourishlandXR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pPr>
    <w:rPr>
      <w:rFonts w:ascii="Aptos" w:hAnsi="Aptos"/>
      <w:color w:val="1D2B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426B4D"/>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1D2B23"/>
      <w:sz w:val="27"/>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w:hAnsi="Aptos"/>
      <w:b/>
      <w:bCs/>
      <w:color w:val="426B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D2B2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6570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Demo Content Reference</dc:title>
  <dc:subject>Canonical demo sequence and visitor-facing content</dc:subject>
  <dc:creator>NourishlandXR</dc:creator>
  <cp:keywords>NourishlandXR, demo, LIM, Plant Information Mesh, content reference</cp:keywords>
  <dc:description>Synchronized with application version 0.9101 on 22 September 2026.</dc:description>
  <cp:lastModifiedBy/>
  <cp:revision>1</cp:revision>
  <dcterms:created xsi:type="dcterms:W3CDTF">2013-12-23T23:15:00Z</dcterms:created>
  <dcterms:modified xsi:type="dcterms:W3CDTF">2013-12-23T23:15:00Z</dcterms:modified>
  <cp:category/>
</cp:coreProperties>
</file>