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</w:pPr>
      <w:r>
        <w:t xml:space="preserve">Aviso de privacidade — inscrição beta e programa Cliente Beta</w:t>
      </w:r>
    </w:p>
    <w:p>
      <w:pPr>
        <w:spacing w:after="140" w:line="270"/>
      </w:pPr>
      <w:r>
        <w:rPr>
          <w:b/>
          <w:bCs/>
          <w:color w:val="8B422F"/>
        </w:rPr>
        <w:t xml:space="preserve">MINUTA PARA REVISÃO · 13 de setembro de 2026 · Não substitui o aviso publicado</w:t>
      </w:r>
    </w:p>
    <w:p>
      <w:pPr>
        <w:pStyle w:val="Heading1"/>
        <w:keepNext/>
        <w:spacing w:after="100" w:before="220"/>
      </w:pPr>
      <w:r>
        <w:t xml:space="preserve">Responsável e contacto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Sintonia dos Temperos Lda, NIF 519521463, gere a inscrição beta e o programa Cliente Beta do 100PRESSÃO. Morada: Praceta Eugénio de Castro, Loja 6 e 7, 2790-063 Carnaxide. Contacto para proteção de dados: geral@100pressao.pt.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Esta minuta prevê a promotora como responsável pela gestão do programa. Antes da inclusão de unidades exploradas por outras entidades, serão identificados os intervenientes, as responsabilidades e os dados necessários à validação nessa rede.</w:t>
      </w:r>
    </w:p>
    <w:p>
      <w:pPr>
        <w:pStyle w:val="Heading1"/>
        <w:keepNext/>
        <w:spacing w:after="100" w:before="220"/>
      </w:pPr>
      <w:r>
        <w:t xml:space="preserve">Inscrição e adesão ao programa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Tratamos nome, telefone, unidade/campanha de origem, número de membro, data da inscrição, declaração de maioridade e registos de leitura e aceitação para gerir a participação solicitada e, se aderir, atribuir e prestar os benefícios contratados. O fundamento proposto é a necessidade de diligências solicitadas pelo titular e de execução do programa, nos termos do artigo 6.º, n.º 1, alínea b), do RGPD.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A inscrição anterior não equivale a aceitar este regulamento. Não conservamos todos os dados da campanha apenas porque o cliente aderiu ao programa: são transferidos para essa finalidade apenas os dados necessários à prestação e prova do benefício. A confirmação de leitura deste aviso não é consentimento para os tratamentos necessários à adesão; a aceitação do regulamento é uma manifestação contratual distinta.</w:t>
      </w:r>
    </w:p>
    <w:p>
      <w:pPr>
        <w:pStyle w:val="Heading1"/>
        <w:keepNext/>
        <w:spacing w:after="100" w:before="220"/>
      </w:pPr>
      <w:r>
        <w:t xml:space="preserve">Utilização e segurança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Para confirmar o acesso à conta, recuperar o telefone e impedir a reutilização de um benefício no mesmo pagamento, tratamos os registos de verificação e os identificadores técnicos necessários. Propõe-se conservar, no programa, apenas a referência do pagamento, unidade, instante, montante elegível e desconto, sem duplicar a descrição detalhada do consumo. Os documentos de faturação têm tratamento próprio.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As medidas de segurança e investigação de utilização abusiva baseiam-se, quando aplicável, no interesse legítimo de proteger o programa e os seus titulares. A avaliação de necessidade, proporcionalidade e impacto deve estar documentada. Não recolhemos cópias de documentos de identificação nem NIF para esta finalidade.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O telefone confirma acesso ao meio de contacto; não constitui prova absoluta de identidade. Pode pedir revisão humana de uma recusa de validação ou suspensão. A solução proposta não inclui decisões exclusivamente automatizadas com efeitos jurídicos ou igualmente significativos sobre o titular.</w:t>
      </w:r>
    </w:p>
    <w:p>
      <w:pPr>
        <w:pStyle w:val="Heading1"/>
        <w:keepNext/>
        <w:spacing w:after="100" w:before="220"/>
      </w:pPr>
      <w:r>
        <w:t xml:space="preserve">Medição da campanha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A origem da visita e a resposta sobre como conheceu a campanha servem para avaliar a divulgação, não para decidir o direito aos benefícios. Não são necessárias ao programa de fidelização.</w:t>
      </w:r>
    </w:p>
    <w:p>
      <w:pPr>
        <w:spacing w:after="140" w:line="270"/>
      </w:pPr>
      <w:r>
        <w:rPr>
          <w:b/>
          <w:bCs/>
          <w:color w:val="8B422F"/>
        </w:rPr>
        <w:t xml:space="preserve">PROPOSTA: tornar opcional a resposta de origem declarada; limitar a atribuição técnica ao mínimo necessário, com avaliação de interesse legítimo quando aplicável e agregação posterior. Cookies ou ferramentas analíticas não essenciais seguem as suas regras próprias de consentimento. Este tratamento não deve ser apresentado genericamente como necessário à execução do programa.</w:t>
      </w:r>
    </w:p>
    <w:p>
      <w:pPr>
        <w:pStyle w:val="Heading1"/>
        <w:keepNext/>
        <w:spacing w:after="100" w:before="220"/>
      </w:pPr>
      <w:r>
        <w:t xml:space="preserve">Mensagens e marketing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Mensagens estritamente necessárias à inscrição, segurança e execução do programa são distintas de publicidade. Uma convocatória só é tratada como mensagem de serviço quando o seu conteúdo for necessário à participação solicitada; a inclusão de ofertas ou apelos ao consumo exige avaliar a natureza promocional da mensagem. A adesão não inscreve o cliente numa lista promocional.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O contacto publicitário depende de opção separada, livre e não pré-marcada, nos termos aplicáveis. Retirar essa opção não remove o estatuto nem os benefícios. A retirada pode ser pedida no contacto acima e pelos meios indicados em cada mensagem. Não presumimos que uma autorização antiga cobre canais ou finalidades novos.</w:t>
      </w:r>
    </w:p>
    <w:p>
      <w:pPr>
        <w:pStyle w:val="Heading1"/>
        <w:keepNext/>
        <w:spacing w:after="100" w:before="220"/>
      </w:pPr>
      <w:r>
        <w:t xml:space="preserve">Conservação proposta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Os prazos abaixo são propostas de funcionamento a validar e implementar; não são apresentados como prazos legais obrigatórios.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Campanha sem adesão ao programa: manter os limites já comunicados na versão aceite pelo titular. Para a campanha atual, o fim da beta e as situações de contacto posterior seguem o aviso respetivo. Não usar a nova finalidade para adiar um apagamento devido.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Conta e elegibilidade de Cliente Beta: durante a adesão e enquanto o programa de benefícios puder ser prestado; até 30 dias após o encerramento efetivo da conta para concluir a eliminação operacional. A verificação anual da necessidade de conservação não faz caducar o estatuto por falta de consumo.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Registos de utilização e segurança do programa: proposta de 90 dias, seguida de eliminação ou agregação irreversível. O identificador de utilização permanece pelo tempo necessário para impedir repetição do mesmo pagamento; a arquitetura deve impedir que o apagamento do registo permita reaplicar o desconto. Códigos temporários expiram rapidamente e não são guardados em claro.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Identificador derivado de IP usado no limite de inscrições: até 24 horas, seguindo a finalidade de prevenção de submissões abusivas. Não guardar IP em claro como dado da inscrição. Os registos dos fornecedores de infraestrutura exigem avaliação própria.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Prova mínima de adesão e encerramento: proposta operacional de três anos após o encerramento, em acesso restrito, ainda sujeita a justificação documentada segundo os direitos concretos a defender. Este prazo não representa o prazo geral da prescrição contratual nem assegura cobertura de todas as reclamações. Não adotar automaticamente o prazo ordinário de prescrição como prazo de conservação de todo o perfil. Um identificador pseudónimo continua a ser dado pessoal se permitir ligação ao titular; não o tratar como anónimo. Não reconstruir nome ou telefone em registos de apagamento.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Litígio ou obrigação legal concreta: conservar apenas os dados necessários, pelo período aplicável e em acesso restrito. Documentos fiscais seguem a política de faturação, sem alargar automaticamente a conservação do perfil de Cliente Beta.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Marketing: conservação nos limites do aviso específico e até retirada da autorização, sem prejuízo de prova mínima da opção e de evitar novos envios indevidos.</w:t>
      </w:r>
    </w:p>
    <w:p>
      <w:pPr>
        <w:pStyle w:val="Heading1"/>
        <w:keepNext/>
        <w:spacing w:after="100" w:before="220"/>
      </w:pPr>
      <w:r>
        <w:t xml:space="preserve">Quem pode aceder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A administração acede aos dados necessários à gestão. A equipa de atendimento recebe apenas a confirmação de validade e os elementos mínimos para aplicar o benefício, sem acesso à lista completa, às opções de marketing ou ao histórico de outras unidades.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Prestadores técnicos de alojamento, autenticação e envio de mensagens podem tratar dados por conta da promotora, com contratos e acessos adequados. Antes da publicação devem ser identificados os fornecedores efetivamente usados, as localizações e eventuais transferências internacionais e respetivas garantias. Não se afirma que todos os tratamentos ocorrem exclusivamente na União Europeia sem essa verificação.</w:t>
      </w:r>
    </w:p>
    <w:p>
      <w:pPr>
        <w:pStyle w:val="Heading1"/>
        <w:keepNext/>
        <w:spacing w:after="100" w:before="220"/>
      </w:pPr>
      <w:r>
        <w:t xml:space="preserve">Direitos e informação adicional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Pode solicitar acesso, retificação, apagamento, limitação e, quando aplicável, portabilidade e oposição, e retirar o consentimento de marketing. Pode reclamar à Comissão Nacional de Proteção de Dados, em www.cnpd.pt. Os pedidos são tratados nos prazos do RGPD; eventuais prorrogações são justificadas e comunicadas.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O fornecimento dos dados mínimos de conta e elegibilidade é necessário para prestar o benefício personalizado. Se pedir a eliminação desses elementos essenciais, será explicado o efeito no funcionamento da conta, sem condicionar direitos à manutenção de marketing. Recusar dados facultativos de medição não impede a adesão.</w:t>
      </w:r>
    </w:p>
    <w:p>
      <w:pPr>
        <w:pStyle w:val="Heading1"/>
        <w:keepNext/>
        <w:spacing w:after="100" w:before="220"/>
      </w:pPr>
      <w:r>
        <w:t xml:space="preserve">Revisão antes de publicação</w:t>
      </w:r>
    </w:p>
    <w:p>
      <w:pPr>
        <w:spacing w:after="140" w:line="270"/>
      </w:pPr>
      <w:r>
        <w:rPr>
          <w:b w:val="false"/>
          <w:bCs w:val="false"/>
          <w:color w:val="222222"/>
        </w:rPr>
        <w:t xml:space="preserve">Fechar a morada, fornecedores, transferências, avaliação de interesses legítimos e calendário de conservação. Publicar como nova versão e manter intactos os avisos históricos. Confirmar que todos os comportamentos descritos existem no sistema antes de apresentar este aviso ao público. Se nesta fase só for publicada a inscrição na campanha, usar aviso limitado aos tratamentos existentes; não anunciar conta, SMS, códigos ou partilhas de rede ainda não implementados. A revisão interna com apoio de IA não substitui parecer profissional; recomenda-se revisão jurídica profissional, sem criar nova etapa de autorização contrária à publicação já autorizada pelo utilizador.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MINUTA · 13/09/2026 ·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aviso-privacidade-cliente-beta-2026-09-13</dc:title>
  <dc:creator>100PRESSÃO — preparação assistida por IA</dc:creator>
  <dc:description>Minuta para revisão. Não publicada.</dc:description>
  <cp:lastModifiedBy>Un-named</cp:lastModifiedBy>
  <cp:revision>1</cp:revision>
  <dcterms:created xsi:type="dcterms:W3CDTF">2026-09-13T14:59:50.651Z</dcterms:created>
  <dcterms:modified xsi:type="dcterms:W3CDTF">2026-09-13T14:59:50.651Z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