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rFonts w:ascii="Georgia" w:hAnsi="Georgia"/>
          <w:b/>
          <w:color w:val="2C1A10"/>
          <w:sz w:val="108"/>
        </w:rPr>
        <w:t>H I M A</w:t>
      </w:r>
    </w:p>
    <w:p>
      <w:pPr>
        <w:jc w:val="center"/>
      </w:pPr>
      <w:r>
        <w:rPr>
          <w:rFonts w:ascii="Calibri" w:hAnsi="Calibri"/>
          <w:color w:val="A58F7A"/>
          <w:sz w:val="28"/>
          <w:spacing w:val="120"/>
        </w:rPr>
        <w:t>THE BRAND ASSET STRATEGY</w:t>
      </w:r>
    </w:p>
    <w:p>
      <w:pPr>
        <w:jc w:val="center"/>
      </w:pPr>
      <w:r>
        <w:rPr>
          <w:i/>
          <w:color w:val="232323"/>
          <w:sz w:val="22"/>
        </w:rPr>
        <w:t>Identity Direction for the Premium Modest Fashion House</w:t>
      </w:r>
    </w:p>
    <w:p/>
    <w:p/>
    <w:p/>
    <w:p/>
    <w:p/>
    <w:p/>
    <w:p/>
    <w:p/>
    <w:p/>
    <w:p/>
    <w:p>
      <w:pPr>
        <w:jc w:val="center"/>
      </w:pPr>
      <w:r>
        <w:rPr>
          <w:color w:val="A58F7A"/>
          <w:sz w:val="20"/>
        </w:rPr>
        <w:t>Competitive Analysis  ·  30 Concepts  ·  Ranking  ·  Final Recommendation</w:t>
      </w:r>
    </w:p>
    <w:p>
      <w:pPr>
        <w:jc w:val="center"/>
      </w:pPr>
      <w:r>
        <w:rPr>
          <w:color w:val="A58F7A"/>
          <w:sz w:val="19"/>
        </w:rPr>
        <w:t>Prepared for Nour  ·  Creative Direction  ·  June 2026</w:t>
      </w:r>
    </w:p>
    <w:p>
      <w:r>
        <w:br w:type="page"/>
      </w:r>
    </w:p>
    <w:p>
      <w:pPr>
        <w:spacing w:before="360" w:after="160"/>
        <w:pBdr>
          <w:bottom w:val="single" w:sz="6" w:space="4" w:color="A58F7A"/>
        </w:pBdr>
      </w:pPr>
      <w:r>
        <w:rPr>
          <w:rFonts w:ascii="Georgia" w:hAnsi="Georgia"/>
          <w:b/>
          <w:color w:val="2C1A10"/>
          <w:sz w:val="36"/>
        </w:rPr>
        <w:t>Executive Summary</w:t>
      </w:r>
    </w:p>
    <w:p>
      <w:pPr>
        <w:spacing w:after="120"/>
      </w:pPr>
      <w:r>
        <w:rPr>
          <w:i w:val="0"/>
          <w:color w:val="232323"/>
          <w:sz w:val="21"/>
        </w:rPr>
        <w:t>HIMA is not entering the hijab market. It is entering the luxury fashion category through the door of modest wear — the same way The Row entered through minimalism and Tothéme entered through Scandinavian restraint. That distinction governs every decision in this document.</w:t>
      </w:r>
    </w:p>
    <w:p>
      <w:pPr>
        <w:spacing w:after="120"/>
      </w:pPr>
      <w:r>
        <w:rPr>
          <w:i w:val="0"/>
          <w:color w:val="232323"/>
          <w:sz w:val="21"/>
        </w:rPr>
        <w:t>The single most valuable asset HIMA can build is a typographic wordmark of editorial calibre, carrying one subtle, ownable detail that customers discover only after repeated exposure. The recommended direction — “The Shelter Line” — is a proprietary high-contrast Didone wordmark in which the crossbar of the H extends into a fine horizontal line that shelters the word and detaches to become a standalone brand signature. It encodes the meaning of HIMA (protection, sanctuary, something valuable worth guarding) without a single literal symbol, survives twenty years of category expansion, scales from a 6mm foil seal to a building, and cannot be copied without copying the idea rather than the shape.</w:t>
      </w:r>
    </w:p>
    <w:p>
      <w:pPr>
        <w:spacing w:after="120"/>
      </w:pPr>
      <w:r>
        <w:rPr>
          <w:i w:val="0"/>
          <w:color w:val="232323"/>
          <w:sz w:val="21"/>
        </w:rPr>
        <w:t>This report analyses the market, explains why almost every hijab brand fails visually, generates thirty fundamentally different directions with scoring, eliminates twenty-seven of them, and defends the winner against the field.</w:t>
      </w:r>
    </w:p>
    <w:p>
      <w:pPr>
        <w:spacing w:before="360" w:after="160"/>
        <w:pBdr>
          <w:bottom w:val="single" w:sz="6" w:space="4" w:color="A58F7A"/>
        </w:pBdr>
      </w:pPr>
      <w:r>
        <w:rPr>
          <w:rFonts w:ascii="Georgia" w:hAnsi="Georgia"/>
          <w:b/>
          <w:color w:val="2C1A10"/>
          <w:sz w:val="36"/>
        </w:rPr>
        <w:t>1. The Premium Modest Fashion Market</w:t>
      </w:r>
    </w:p>
    <w:p>
      <w:pPr>
        <w:spacing w:after="120"/>
      </w:pPr>
      <w:r>
        <w:rPr>
          <w:i w:val="0"/>
          <w:color w:val="232323"/>
          <w:sz w:val="21"/>
        </w:rPr>
        <w:t>The global modest-wear market is approaching a $300 billion valuation, with the fastest premiumisation occurring across the Gulf, Western Europe (notably the DACH region HIMA targets first), and Southeast Asia. The decisive shift in 2026 is the move from “commodity” to “couture” — buyers now pay for drape, fibre quality, small-batch production and brand heritage rather than coverage alone.</w:t>
      </w:r>
    </w:p>
    <w:p>
      <w:pPr>
        <w:spacing w:after="120"/>
      </w:pPr>
      <w:r>
        <w:rPr>
          <w:i w:val="0"/>
          <w:color w:val="232323"/>
          <w:sz w:val="21"/>
        </w:rPr>
        <w:t>Yet the market is structurally bifurcated. At one end sit influencer-born and fast-fashion modest labels competing on volume, discounting and social-media volume. At the other sit a handful of artisanal houses (Maison-positioned abaya and silk-hijab makers, plus occasional capsule collaborations from European luxury houses). The middle — a true, design-led modest fashion house with the visual discipline of The Row and the cultural fluency of an insider — is almost entirely empty. That gap is HIMA’s opportunity.</w:t>
      </w:r>
    </w:p>
    <w:p>
      <w:pPr>
        <w:spacing w:before="240" w:after="80"/>
      </w:pPr>
      <w:r>
        <w:rPr>
          <w:rFonts w:ascii="Georgia" w:hAnsi="Georgia"/>
          <w:b/>
          <w:color w:val="2C1A10"/>
          <w:sz w:val="26"/>
        </w:rPr>
        <w:t>What the luxury reference set teaches</w:t>
      </w:r>
    </w:p>
    <w:p>
      <w:pPr>
        <w:spacing w:after="120"/>
      </w:pPr>
      <w:r>
        <w:rPr>
          <w:i w:val="0"/>
          <w:color w:val="232323"/>
          <w:sz w:val="21"/>
        </w:rPr>
        <w:t>The brands HIMA aspires to — The Row, Tothéme, Loro Piana, Celine, Khaite — share a visual grammar: a single typographic wordmark, no icon crutch, no gradient, no ornament, generous spacing, and a monochrome palette. “Quiet luxury” signals value through restraint; the logo is a name set with authority, not a picture. Crucially, the current luxury rebrand wave splits into two camps — cold geometric sans-serif (Saint Laurent, Burberry’s reversal, Balenciaga) and warm high-contrast serif (Celine’s heritage, the enduring Vogue/Dior Didone lineage). HIMA’s warmth, femininity and timelessness point decisively to the serif camp, where it can also differentiate from the sans-serif crowd.</w:t>
      </w:r>
    </w:p>
    <w:p>
      <w:pPr>
        <w:spacing w:before="360" w:after="160"/>
        <w:pBdr>
          <w:bottom w:val="single" w:sz="6" w:space="4" w:color="A58F7A"/>
        </w:pBdr>
      </w:pPr>
      <w:r>
        <w:rPr>
          <w:rFonts w:ascii="Georgia" w:hAnsi="Georgia"/>
          <w:b/>
          <w:color w:val="2C1A10"/>
          <w:sz w:val="36"/>
        </w:rPr>
        <w:t>2. Why Most Hijab Brands Fail Visually</w:t>
      </w:r>
    </w:p>
    <w:p>
      <w:pPr>
        <w:spacing w:after="120"/>
      </w:pPr>
      <w:r>
        <w:rPr>
          <w:i w:val="0"/>
          <w:color w:val="232323"/>
          <w:sz w:val="21"/>
        </w:rPr>
        <w:t>The failure is rarely craft. It is positioning expressed through the wrong visual codes. Six recurring mistakes:</w:t>
      </w:r>
    </w:p>
    <w:p>
      <w:pPr>
        <w:pStyle w:val="ListBullet"/>
        <w:spacing w:after="60"/>
      </w:pPr>
      <w:r>
        <w:rPr>
          <w:b/>
          <w:color w:val="2C1A10"/>
        </w:rPr>
        <w:t xml:space="preserve">They </w:t>
      </w:r>
      <w:r>
        <w:rPr>
          <w:color w:val="232323"/>
        </w:rPr>
        <w:t>treat religion as the brand. Crescents, domes, mosque silhouettes and Arabic ornament announce a category, not a house. They cap the brand at ‘religious merchandise’ and forbid expansion into beauty, ready-to-wear or home.</w:t>
      </w:r>
    </w:p>
    <w:p>
      <w:pPr>
        <w:pStyle w:val="ListBullet"/>
        <w:spacing w:after="60"/>
      </w:pPr>
      <w:r>
        <w:rPr>
          <w:b/>
          <w:color w:val="2C1A10"/>
        </w:rPr>
        <w:t xml:space="preserve">They </w:t>
      </w:r>
      <w:r>
        <w:rPr>
          <w:color w:val="232323"/>
        </w:rPr>
        <w:t>borrow fast-fashion energy. Bright palettes, busy gradients, rose-gold and script fonts read as trend and discount — the opposite of permanence.</w:t>
      </w:r>
    </w:p>
    <w:p>
      <w:pPr>
        <w:pStyle w:val="ListBullet"/>
        <w:spacing w:after="60"/>
      </w:pPr>
      <w:r>
        <w:rPr>
          <w:b/>
          <w:color w:val="2C1A10"/>
        </w:rPr>
        <w:t xml:space="preserve">They </w:t>
      </w:r>
      <w:r>
        <w:rPr>
          <w:color w:val="232323"/>
        </w:rPr>
        <w:t>over-illustrate. A literal flowing-fabric mark or a veiled-woman icon dates instantly and shrinks badly.</w:t>
      </w:r>
    </w:p>
    <w:p>
      <w:pPr>
        <w:pStyle w:val="ListBullet"/>
        <w:spacing w:after="60"/>
      </w:pPr>
      <w:r>
        <w:rPr>
          <w:b/>
          <w:color w:val="2C1A10"/>
        </w:rPr>
        <w:t xml:space="preserve">They </w:t>
      </w:r>
      <w:r>
        <w:rPr>
          <w:color w:val="232323"/>
        </w:rPr>
        <w:t>lean on social-media aesthetics. Logos built for a 2026 Instagram grid look expired by 2028. Luxury is built to ignore the feed, not chase it.</w:t>
      </w:r>
    </w:p>
    <w:p>
      <w:pPr>
        <w:pStyle w:val="ListBullet"/>
        <w:spacing w:after="60"/>
      </w:pPr>
      <w:r>
        <w:rPr>
          <w:b/>
          <w:color w:val="2C1A10"/>
        </w:rPr>
        <w:t xml:space="preserve">They </w:t>
      </w:r>
      <w:r>
        <w:rPr>
          <w:color w:val="232323"/>
        </w:rPr>
        <w:t>use generic luxury fonts. Default Didone and free serifs make a brand feel rented, not owned — indistinguishable from a thousand boutiques.</w:t>
      </w:r>
    </w:p>
    <w:p>
      <w:pPr>
        <w:pStyle w:val="ListBullet"/>
        <w:spacing w:after="60"/>
      </w:pPr>
      <w:r>
        <w:rPr>
          <w:b/>
          <w:color w:val="2C1A10"/>
        </w:rPr>
        <w:t xml:space="preserve">They </w:t>
      </w:r>
      <w:r>
        <w:rPr>
          <w:color w:val="232323"/>
        </w:rPr>
        <w:t>confuse loud with premium. Big monograms, foil everything, decorative frames. Real luxury withholds; it makes the customer lean in.</w:t>
      </w:r>
    </w:p>
    <w:p>
      <w:pPr>
        <w:spacing w:before="240" w:after="80"/>
      </w:pPr>
      <w:r>
        <w:rPr>
          <w:rFonts w:ascii="Georgia" w:hAnsi="Georgia"/>
          <w:b/>
          <w:color w:val="2C1A10"/>
          <w:sz w:val="26"/>
        </w:rPr>
        <w:t>The cliché map (what to avoid on sight)</w:t>
      </w:r>
    </w:p>
    <w:p>
      <w:pPr>
        <w:spacing w:after="120"/>
      </w:pPr>
      <w:r>
        <w:rPr>
          <w:i w:val="0"/>
          <w:color w:val="232323"/>
          <w:sz w:val="21"/>
        </w:rPr>
        <w:t>Crescent moons and stars; mosque domes and arches used literally; Arabic geometric ornament as border; the ‘flowing scarf’ swoosh; the faceless veiled-woman silhouette; gold gradient fills; rose-gold and blush; calligraphic English script; mandala and henna motifs; the heart-shaped or infinity ‘modesty’ device. Every one of these is a tell that the brand is selling an identity category rather than a fashion product.</w:t>
      </w:r>
    </w:p>
    <w:p>
      <w:pPr>
        <w:spacing w:before="360" w:after="160"/>
        <w:pBdr>
          <w:bottom w:val="single" w:sz="6" w:space="4" w:color="A58F7A"/>
        </w:pBdr>
      </w:pPr>
      <w:r>
        <w:rPr>
          <w:rFonts w:ascii="Georgia" w:hAnsi="Georgia"/>
          <w:b/>
          <w:color w:val="2C1A10"/>
          <w:sz w:val="36"/>
        </w:rPr>
        <w:t>3. The Opportunity Competitors Are Missing</w:t>
      </w:r>
    </w:p>
    <w:p>
      <w:pPr>
        <w:spacing w:after="120"/>
      </w:pPr>
      <w:r>
        <w:rPr>
          <w:i w:val="0"/>
          <w:color w:val="232323"/>
          <w:sz w:val="21"/>
        </w:rPr>
        <w:t>No modest-fashion brand has yet claimed editorial typographic luxury as its territory — the Celine/Vogue register — combined with a name that already means protection. HIMA can own three things at once that competitors cannot easily assemble:</w:t>
      </w:r>
    </w:p>
    <w:p>
      <w:pPr>
        <w:pStyle w:val="ListBullet"/>
        <w:spacing w:after="60"/>
      </w:pPr>
      <w:r>
        <w:rPr>
          <w:b/>
          <w:color w:val="2C1A10"/>
        </w:rPr>
        <w:t xml:space="preserve">Meaning — </w:t>
      </w:r>
      <w:r>
        <w:rPr>
          <w:color w:val="232323"/>
        </w:rPr>
        <w:t>a real word with a noble meaning (sanctuary / protected ground), giving the brand a story that is cultural rather than religious and therefore globally portable.</w:t>
      </w:r>
    </w:p>
    <w:p>
      <w:pPr>
        <w:pStyle w:val="ListBullet"/>
        <w:spacing w:after="60"/>
      </w:pPr>
      <w:r>
        <w:rPr>
          <w:b/>
          <w:color w:val="2C1A10"/>
        </w:rPr>
        <w:t xml:space="preserve">Restraint — </w:t>
      </w:r>
      <w:r>
        <w:rPr>
          <w:color w:val="232323"/>
        </w:rPr>
        <w:t>a typographic system disciplined enough to sit beside The Row, which instantly separates HIMA from every crescent-and-script competitor.</w:t>
      </w:r>
    </w:p>
    <w:p>
      <w:pPr>
        <w:pStyle w:val="ListBullet"/>
        <w:spacing w:after="60"/>
      </w:pPr>
      <w:r>
        <w:rPr>
          <w:b/>
          <w:color w:val="2C1A10"/>
        </w:rPr>
        <w:t xml:space="preserve">A secret — </w:t>
      </w:r>
      <w:r>
        <w:rPr>
          <w:color w:val="232323"/>
        </w:rPr>
        <w:t>one subtle, proprietary detail — a discoverable symbol that rewards loyalty and resists imitation, because copying it means copying an idea, not tracing a shape.</w:t>
      </w:r>
    </w:p>
    <w:p>
      <w:pPr>
        <w:spacing w:after="120"/>
      </w:pPr>
      <w:r>
        <w:rPr>
          <w:i w:val="0"/>
          <w:color w:val="232323"/>
          <w:sz w:val="21"/>
        </w:rPr>
        <w:t>The highest-probability path to category leadership is therefore: win on typography first, encode meaning subtly inside the letterforms, and refuse every religious and trend signal. This is the direction the concept work below pursues.</w:t>
      </w:r>
    </w:p>
    <w:p>
      <w:r>
        <w:br w:type="page"/>
      </w:r>
    </w:p>
    <w:p>
      <w:pPr>
        <w:spacing w:before="360" w:after="160"/>
        <w:pBdr>
          <w:bottom w:val="single" w:sz="6" w:space="4" w:color="A58F7A"/>
        </w:pBdr>
      </w:pPr>
      <w:r>
        <w:rPr>
          <w:rFonts w:ascii="Georgia" w:hAnsi="Georgia"/>
          <w:b/>
          <w:color w:val="2C1A10"/>
          <w:sz w:val="36"/>
        </w:rPr>
        <w:t>4. Thirty Logo Directions</w:t>
      </w:r>
    </w:p>
    <w:p>
      <w:pPr>
        <w:spacing w:after="120"/>
      </w:pPr>
      <w:r>
        <w:rPr>
          <w:i/>
          <w:color w:val="A58F7A"/>
          <w:sz w:val="19"/>
        </w:rPr>
        <w:t>Each direction is scored 1–10 on four axes — Luxury (L), Memorability (M), Scalability (S) and Ownership potential (O) — with strategic rationale, psychological effect and risk. Scores feed the ranking in Section 5.</w:t>
      </w:r>
    </w:p>
    <w:tbl>
      <w:tblPr>
        <w:tblStyle w:val="TableGrid"/>
        <w:tblW w:type="auto" w:w="0"/>
        <w:jc w:val="center"/>
        <w:tblLook w:firstColumn="1" w:firstRow="1" w:lastColumn="0" w:lastRow="0" w:noHBand="0" w:noVBand="1" w:val="04A0"/>
      </w:tblPr>
      <w:tblGrid>
        <w:gridCol w:w="1234"/>
        <w:gridCol w:w="1234"/>
        <w:gridCol w:w="1234"/>
        <w:gridCol w:w="1234"/>
        <w:gridCol w:w="1234"/>
        <w:gridCol w:w="1234"/>
        <w:gridCol w:w="1234"/>
      </w:tblGrid>
      <w:tr>
        <w:tc>
          <w:tcPr>
            <w:tcW w:type="dxa" w:w="2448"/>
            <w:shd w:val="clear" w:fill="2C1A10"/>
          </w:tcPr>
          <w:p>
            <w:r/>
            <w:r>
              <w:rPr>
                <w:rFonts w:ascii="Calibri" w:hAnsi="Calibri"/>
                <w:b/>
                <w:color w:val="FFFFFF"/>
                <w:sz w:val="18"/>
              </w:rPr>
              <w:t>Concept</w:t>
            </w:r>
          </w:p>
        </w:tc>
        <w:tc>
          <w:tcPr>
            <w:tcW w:type="dxa" w:w="504"/>
            <w:shd w:val="clear" w:fill="2C1A10"/>
          </w:tcPr>
          <w:p>
            <w:pPr>
              <w:jc w:val="center"/>
            </w:pPr>
            <w:r/>
            <w:r>
              <w:rPr>
                <w:rFonts w:ascii="Calibri" w:hAnsi="Calibri"/>
                <w:b/>
                <w:color w:val="FFFFFF"/>
                <w:sz w:val="18"/>
              </w:rPr>
              <w:t>L</w:t>
            </w:r>
          </w:p>
        </w:tc>
        <w:tc>
          <w:tcPr>
            <w:tcW w:type="dxa" w:w="504"/>
            <w:shd w:val="clear" w:fill="2C1A10"/>
          </w:tcPr>
          <w:p>
            <w:pPr>
              <w:jc w:val="center"/>
            </w:pPr>
            <w:r/>
            <w:r>
              <w:rPr>
                <w:rFonts w:ascii="Calibri" w:hAnsi="Calibri"/>
                <w:b/>
                <w:color w:val="FFFFFF"/>
                <w:sz w:val="18"/>
              </w:rPr>
              <w:t>M</w:t>
            </w:r>
          </w:p>
        </w:tc>
        <w:tc>
          <w:tcPr>
            <w:tcW w:type="dxa" w:w="504"/>
            <w:shd w:val="clear" w:fill="2C1A10"/>
          </w:tcPr>
          <w:p>
            <w:pPr>
              <w:jc w:val="center"/>
            </w:pPr>
            <w:r/>
            <w:r>
              <w:rPr>
                <w:rFonts w:ascii="Calibri" w:hAnsi="Calibri"/>
                <w:b/>
                <w:color w:val="FFFFFF"/>
                <w:sz w:val="18"/>
              </w:rPr>
              <w:t>S</w:t>
            </w:r>
          </w:p>
        </w:tc>
        <w:tc>
          <w:tcPr>
            <w:tcW w:type="dxa" w:w="504"/>
            <w:shd w:val="clear" w:fill="2C1A10"/>
          </w:tcPr>
          <w:p>
            <w:pPr>
              <w:jc w:val="center"/>
            </w:pPr>
            <w:r/>
            <w:r>
              <w:rPr>
                <w:rFonts w:ascii="Calibri" w:hAnsi="Calibri"/>
                <w:b/>
                <w:color w:val="FFFFFF"/>
                <w:sz w:val="18"/>
              </w:rPr>
              <w:t>O</w:t>
            </w:r>
          </w:p>
        </w:tc>
        <w:tc>
          <w:tcPr>
            <w:tcW w:type="dxa" w:w="792"/>
            <w:shd w:val="clear" w:fill="2C1A10"/>
          </w:tcPr>
          <w:p>
            <w:pPr>
              <w:jc w:val="center"/>
            </w:pPr>
            <w:r/>
            <w:r>
              <w:rPr>
                <w:rFonts w:ascii="Calibri" w:hAnsi="Calibri"/>
                <w:b/>
                <w:color w:val="FFFFFF"/>
                <w:sz w:val="18"/>
              </w:rPr>
              <w:t>Total</w:t>
            </w:r>
          </w:p>
        </w:tc>
        <w:tc>
          <w:tcPr>
            <w:tcW w:type="dxa" w:w="3888"/>
            <w:shd w:val="clear" w:fill="2C1A10"/>
          </w:tcPr>
          <w:p>
            <w:pPr>
              <w:jc w:val="center"/>
            </w:pPr>
            <w:r/>
            <w:r>
              <w:rPr>
                <w:rFonts w:ascii="Calibri" w:hAnsi="Calibri"/>
                <w:b/>
                <w:color w:val="FFFFFF"/>
                <w:sz w:val="18"/>
              </w:rPr>
              <w:t>Primary risk</w:t>
            </w:r>
          </w:p>
        </w:tc>
      </w:tr>
      <w:tr>
        <w:tc>
          <w:tcPr>
            <w:tcW w:type="dxa" w:w="2448"/>
            <w:shd w:val="clear" w:fill="DCCCB6"/>
          </w:tcPr>
          <w:p>
            <w:r/>
            <w:r>
              <w:rPr>
                <w:rFonts w:ascii="Calibri" w:hAnsi="Calibri"/>
                <w:b/>
                <w:color w:val="2C1A10"/>
                <w:sz w:val="17"/>
              </w:rPr>
              <w:t>The Shelter Line</w:t>
            </w:r>
          </w:p>
        </w:tc>
        <w:tc>
          <w:tcPr>
            <w:tcW w:type="dxa" w:w="504"/>
            <w:shd w:val="clear" w:fill="DCCCB6"/>
          </w:tcPr>
          <w:p>
            <w:pPr>
              <w:jc w:val="center"/>
            </w:pPr>
            <w:r/>
            <w:r>
              <w:rPr>
                <w:rFonts w:ascii="Calibri" w:hAnsi="Calibri"/>
                <w:b w:val="0"/>
                <w:color w:val="232323"/>
                <w:sz w:val="17"/>
              </w:rPr>
              <w:t>10</w:t>
            </w:r>
          </w:p>
        </w:tc>
        <w:tc>
          <w:tcPr>
            <w:tcW w:type="dxa" w:w="504"/>
            <w:shd w:val="clear" w:fill="DCCCB6"/>
          </w:tcPr>
          <w:p>
            <w:pPr>
              <w:jc w:val="center"/>
            </w:pPr>
            <w:r/>
            <w:r>
              <w:rPr>
                <w:rFonts w:ascii="Calibri" w:hAnsi="Calibri"/>
                <w:b w:val="0"/>
                <w:color w:val="232323"/>
                <w:sz w:val="17"/>
              </w:rPr>
              <w:t>9</w:t>
            </w:r>
          </w:p>
        </w:tc>
        <w:tc>
          <w:tcPr>
            <w:tcW w:type="dxa" w:w="504"/>
            <w:shd w:val="clear" w:fill="DCCCB6"/>
          </w:tcPr>
          <w:p>
            <w:pPr>
              <w:jc w:val="center"/>
            </w:pPr>
            <w:r/>
            <w:r>
              <w:rPr>
                <w:rFonts w:ascii="Calibri" w:hAnsi="Calibri"/>
                <w:b w:val="0"/>
                <w:color w:val="232323"/>
                <w:sz w:val="17"/>
              </w:rPr>
              <w:t>10</w:t>
            </w:r>
          </w:p>
        </w:tc>
        <w:tc>
          <w:tcPr>
            <w:tcW w:type="dxa" w:w="504"/>
            <w:shd w:val="clear" w:fill="DCCCB6"/>
          </w:tcPr>
          <w:p>
            <w:pPr>
              <w:jc w:val="center"/>
            </w:pPr>
            <w:r/>
            <w:r>
              <w:rPr>
                <w:rFonts w:ascii="Calibri" w:hAnsi="Calibri"/>
                <w:b w:val="0"/>
                <w:color w:val="232323"/>
                <w:sz w:val="17"/>
              </w:rPr>
              <w:t>10</w:t>
            </w:r>
          </w:p>
        </w:tc>
        <w:tc>
          <w:tcPr>
            <w:tcW w:type="dxa" w:w="792"/>
            <w:shd w:val="clear" w:fill="DCCCB6"/>
          </w:tcPr>
          <w:p>
            <w:pPr>
              <w:jc w:val="center"/>
            </w:pPr>
            <w:r/>
            <w:r>
              <w:rPr>
                <w:rFonts w:ascii="Calibri" w:hAnsi="Calibri"/>
                <w:b/>
                <w:color w:val="2C1A10"/>
                <w:sz w:val="18"/>
              </w:rPr>
              <w:t>39</w:t>
            </w:r>
          </w:p>
        </w:tc>
        <w:tc>
          <w:tcPr>
            <w:tcW w:type="dxa" w:w="3888"/>
            <w:shd w:val="clear" w:fill="DCCCB6"/>
          </w:tcPr>
          <w:p>
            <w:r/>
            <w:r>
              <w:rPr>
                <w:rFonts w:ascii="Calibri" w:hAnsi="Calibri"/>
                <w:b w:val="0"/>
                <w:color w:val="232323"/>
                <w:sz w:val="15"/>
              </w:rPr>
              <w:t>The crossbar extension must be engineered precisely or it looks like an error at small sizes.</w:t>
            </w:r>
          </w:p>
        </w:tc>
      </w:tr>
      <w:tr>
        <w:tc>
          <w:tcPr>
            <w:tcW w:type="dxa" w:w="2448"/>
            <w:shd w:val="clear" w:fill="DCCCB6"/>
          </w:tcPr>
          <w:p>
            <w:r/>
            <w:r>
              <w:rPr>
                <w:rFonts w:ascii="Calibri" w:hAnsi="Calibri"/>
                <w:b/>
                <w:color w:val="2C1A10"/>
                <w:sz w:val="17"/>
              </w:rPr>
              <w:t>Sculpted H Monogram</w:t>
            </w:r>
          </w:p>
        </w:tc>
        <w:tc>
          <w:tcPr>
            <w:tcW w:type="dxa" w:w="504"/>
            <w:shd w:val="clear" w:fill="DCCCB6"/>
          </w:tcPr>
          <w:p>
            <w:pPr>
              <w:jc w:val="center"/>
            </w:pPr>
            <w:r/>
            <w:r>
              <w:rPr>
                <w:rFonts w:ascii="Calibri" w:hAnsi="Calibri"/>
                <w:b w:val="0"/>
                <w:color w:val="232323"/>
                <w:sz w:val="17"/>
              </w:rPr>
              <w:t>9</w:t>
            </w:r>
          </w:p>
        </w:tc>
        <w:tc>
          <w:tcPr>
            <w:tcW w:type="dxa" w:w="504"/>
            <w:shd w:val="clear" w:fill="DCCCB6"/>
          </w:tcPr>
          <w:p>
            <w:pPr>
              <w:jc w:val="center"/>
            </w:pPr>
            <w:r/>
            <w:r>
              <w:rPr>
                <w:rFonts w:ascii="Calibri" w:hAnsi="Calibri"/>
                <w:b w:val="0"/>
                <w:color w:val="232323"/>
                <w:sz w:val="17"/>
              </w:rPr>
              <w:t>8</w:t>
            </w:r>
          </w:p>
        </w:tc>
        <w:tc>
          <w:tcPr>
            <w:tcW w:type="dxa" w:w="504"/>
            <w:shd w:val="clear" w:fill="DCCCB6"/>
          </w:tcPr>
          <w:p>
            <w:pPr>
              <w:jc w:val="center"/>
            </w:pPr>
            <w:r/>
            <w:r>
              <w:rPr>
                <w:rFonts w:ascii="Calibri" w:hAnsi="Calibri"/>
                <w:b w:val="0"/>
                <w:color w:val="232323"/>
                <w:sz w:val="17"/>
              </w:rPr>
              <w:t>10</w:t>
            </w:r>
          </w:p>
        </w:tc>
        <w:tc>
          <w:tcPr>
            <w:tcW w:type="dxa" w:w="504"/>
            <w:shd w:val="clear" w:fill="DCCCB6"/>
          </w:tcPr>
          <w:p>
            <w:pPr>
              <w:jc w:val="center"/>
            </w:pPr>
            <w:r/>
            <w:r>
              <w:rPr>
                <w:rFonts w:ascii="Calibri" w:hAnsi="Calibri"/>
                <w:b w:val="0"/>
                <w:color w:val="232323"/>
                <w:sz w:val="17"/>
              </w:rPr>
              <w:t>9</w:t>
            </w:r>
          </w:p>
        </w:tc>
        <w:tc>
          <w:tcPr>
            <w:tcW w:type="dxa" w:w="792"/>
            <w:shd w:val="clear" w:fill="DCCCB6"/>
          </w:tcPr>
          <w:p>
            <w:pPr>
              <w:jc w:val="center"/>
            </w:pPr>
            <w:r/>
            <w:r>
              <w:rPr>
                <w:rFonts w:ascii="Calibri" w:hAnsi="Calibri"/>
                <w:b/>
                <w:color w:val="2C1A10"/>
                <w:sz w:val="18"/>
              </w:rPr>
              <w:t>36</w:t>
            </w:r>
          </w:p>
        </w:tc>
        <w:tc>
          <w:tcPr>
            <w:tcW w:type="dxa" w:w="3888"/>
            <w:shd w:val="clear" w:fill="DCCCB6"/>
          </w:tcPr>
          <w:p>
            <w:r/>
            <w:r>
              <w:rPr>
                <w:rFonts w:ascii="Calibri" w:hAnsi="Calibri"/>
                <w:b w:val="0"/>
                <w:color w:val="232323"/>
                <w:sz w:val="15"/>
              </w:rPr>
              <w:t>Must avoid literally resembling a doorway/mosque arch.</w:t>
            </w:r>
          </w:p>
        </w:tc>
      </w:tr>
      <w:tr>
        <w:tc>
          <w:tcPr>
            <w:tcW w:type="dxa" w:w="2448"/>
          </w:tcPr>
          <w:p>
            <w:r/>
            <w:r>
              <w:rPr>
                <w:rFonts w:ascii="Calibri" w:hAnsi="Calibri"/>
                <w:b/>
                <w:color w:val="2C1A10"/>
                <w:sz w:val="17"/>
              </w:rPr>
              <w:t>Contemporary Contrast Cut</w:t>
            </w:r>
          </w:p>
        </w:tc>
        <w:tc>
          <w:tcPr>
            <w:tcW w:type="dxa" w:w="504"/>
          </w:tcPr>
          <w:p>
            <w:pPr>
              <w:jc w:val="center"/>
            </w:pPr>
            <w:r/>
            <w:r>
              <w:rPr>
                <w:rFonts w:ascii="Calibri" w:hAnsi="Calibri"/>
                <w:b w:val="0"/>
                <w:color w:val="232323"/>
                <w:sz w:val="17"/>
              </w:rPr>
              <w:t>9</w:t>
            </w:r>
          </w:p>
        </w:tc>
        <w:tc>
          <w:tcPr>
            <w:tcW w:type="dxa" w:w="504"/>
          </w:tcPr>
          <w:p>
            <w:pPr>
              <w:jc w:val="center"/>
            </w:pPr>
            <w:r/>
            <w:r>
              <w:rPr>
                <w:rFonts w:ascii="Calibri" w:hAnsi="Calibri"/>
                <w:b w:val="0"/>
                <w:color w:val="232323"/>
                <w:sz w:val="17"/>
              </w:rPr>
              <w:t>8</w:t>
            </w:r>
          </w:p>
        </w:tc>
        <w:tc>
          <w:tcPr>
            <w:tcW w:type="dxa" w:w="504"/>
          </w:tcPr>
          <w:p>
            <w:pPr>
              <w:jc w:val="center"/>
            </w:pPr>
            <w:r/>
            <w:r>
              <w:rPr>
                <w:rFonts w:ascii="Calibri" w:hAnsi="Calibri"/>
                <w:b w:val="0"/>
                <w:color w:val="232323"/>
                <w:sz w:val="17"/>
              </w:rPr>
              <w:t>9</w:t>
            </w:r>
          </w:p>
        </w:tc>
        <w:tc>
          <w:tcPr>
            <w:tcW w:type="dxa" w:w="504"/>
          </w:tcPr>
          <w:p>
            <w:pPr>
              <w:jc w:val="center"/>
            </w:pPr>
            <w:r/>
            <w:r>
              <w:rPr>
                <w:rFonts w:ascii="Calibri" w:hAnsi="Calibri"/>
                <w:b w:val="0"/>
                <w:color w:val="232323"/>
                <w:sz w:val="17"/>
              </w:rPr>
              <w:t>9</w:t>
            </w:r>
          </w:p>
        </w:tc>
        <w:tc>
          <w:tcPr>
            <w:tcW w:type="dxa" w:w="792"/>
          </w:tcPr>
          <w:p>
            <w:pPr>
              <w:jc w:val="center"/>
            </w:pPr>
            <w:r/>
            <w:r>
              <w:rPr>
                <w:rFonts w:ascii="Calibri" w:hAnsi="Calibri"/>
                <w:b/>
                <w:color w:val="2C1A10"/>
                <w:sz w:val="18"/>
              </w:rPr>
              <w:t>35</w:t>
            </w:r>
          </w:p>
        </w:tc>
        <w:tc>
          <w:tcPr>
            <w:tcW w:type="dxa" w:w="3888"/>
          </w:tcPr>
          <w:p>
            <w:r/>
            <w:r>
              <w:rPr>
                <w:rFonts w:ascii="Calibri" w:hAnsi="Calibri"/>
                <w:b w:val="0"/>
                <w:color w:val="232323"/>
                <w:sz w:val="15"/>
              </w:rPr>
              <w:t>Requires custom drawing to stay ownable rather than a licensed face.</w:t>
            </w:r>
          </w:p>
        </w:tc>
      </w:tr>
      <w:tr>
        <w:tc>
          <w:tcPr>
            <w:tcW w:type="dxa" w:w="2448"/>
          </w:tcPr>
          <w:p>
            <w:r/>
            <w:r>
              <w:rPr>
                <w:rFonts w:ascii="Calibri" w:hAnsi="Calibri"/>
                <w:b/>
                <w:color w:val="2C1A10"/>
                <w:sz w:val="17"/>
              </w:rPr>
              <w:t>Single-Stroke Embrace Icon</w:t>
            </w:r>
          </w:p>
        </w:tc>
        <w:tc>
          <w:tcPr>
            <w:tcW w:type="dxa" w:w="504"/>
          </w:tcPr>
          <w:p>
            <w:pPr>
              <w:jc w:val="center"/>
            </w:pPr>
            <w:r/>
            <w:r>
              <w:rPr>
                <w:rFonts w:ascii="Calibri" w:hAnsi="Calibri"/>
                <w:b w:val="0"/>
                <w:color w:val="232323"/>
                <w:sz w:val="17"/>
              </w:rPr>
              <w:t>8</w:t>
            </w:r>
          </w:p>
        </w:tc>
        <w:tc>
          <w:tcPr>
            <w:tcW w:type="dxa" w:w="504"/>
          </w:tcPr>
          <w:p>
            <w:pPr>
              <w:jc w:val="center"/>
            </w:pPr>
            <w:r/>
            <w:r>
              <w:rPr>
                <w:rFonts w:ascii="Calibri" w:hAnsi="Calibri"/>
                <w:b w:val="0"/>
                <w:color w:val="232323"/>
                <w:sz w:val="17"/>
              </w:rPr>
              <w:t>8</w:t>
            </w:r>
          </w:p>
        </w:tc>
        <w:tc>
          <w:tcPr>
            <w:tcW w:type="dxa" w:w="504"/>
          </w:tcPr>
          <w:p>
            <w:pPr>
              <w:jc w:val="center"/>
            </w:pPr>
            <w:r/>
            <w:r>
              <w:rPr>
                <w:rFonts w:ascii="Calibri" w:hAnsi="Calibri"/>
                <w:b w:val="0"/>
                <w:color w:val="232323"/>
                <w:sz w:val="17"/>
              </w:rPr>
              <w:t>10</w:t>
            </w:r>
          </w:p>
        </w:tc>
        <w:tc>
          <w:tcPr>
            <w:tcW w:type="dxa" w:w="504"/>
          </w:tcPr>
          <w:p>
            <w:pPr>
              <w:jc w:val="center"/>
            </w:pPr>
            <w:r/>
            <w:r>
              <w:rPr>
                <w:rFonts w:ascii="Calibri" w:hAnsi="Calibri"/>
                <w:b w:val="0"/>
                <w:color w:val="232323"/>
                <w:sz w:val="17"/>
              </w:rPr>
              <w:t>8</w:t>
            </w:r>
          </w:p>
        </w:tc>
        <w:tc>
          <w:tcPr>
            <w:tcW w:type="dxa" w:w="792"/>
          </w:tcPr>
          <w:p>
            <w:pPr>
              <w:jc w:val="center"/>
            </w:pPr>
            <w:r/>
            <w:r>
              <w:rPr>
                <w:rFonts w:ascii="Calibri" w:hAnsi="Calibri"/>
                <w:b/>
                <w:color w:val="2C1A10"/>
                <w:sz w:val="18"/>
              </w:rPr>
              <w:t>34</w:t>
            </w:r>
          </w:p>
        </w:tc>
        <w:tc>
          <w:tcPr>
            <w:tcW w:type="dxa" w:w="3888"/>
          </w:tcPr>
          <w:p>
            <w:r/>
            <w:r>
              <w:rPr>
                <w:rFonts w:ascii="Calibri" w:hAnsi="Calibri"/>
                <w:b w:val="0"/>
                <w:color w:val="232323"/>
                <w:sz w:val="15"/>
              </w:rPr>
              <w:t>Could read as a generic app glyph if not tied tightly to the wordmark.</w:t>
            </w:r>
          </w:p>
        </w:tc>
      </w:tr>
      <w:tr>
        <w:tc>
          <w:tcPr>
            <w:tcW w:type="dxa" w:w="2448"/>
          </w:tcPr>
          <w:p>
            <w:r/>
            <w:r>
              <w:rPr>
                <w:rFonts w:ascii="Calibri" w:hAnsi="Calibri"/>
                <w:b/>
                <w:color w:val="2C1A10"/>
                <w:sz w:val="17"/>
              </w:rPr>
              <w:t>Sanctuary Counter</w:t>
            </w:r>
          </w:p>
        </w:tc>
        <w:tc>
          <w:tcPr>
            <w:tcW w:type="dxa" w:w="504"/>
          </w:tcPr>
          <w:p>
            <w:pPr>
              <w:jc w:val="center"/>
            </w:pPr>
            <w:r/>
            <w:r>
              <w:rPr>
                <w:rFonts w:ascii="Calibri" w:hAnsi="Calibri"/>
                <w:b w:val="0"/>
                <w:color w:val="232323"/>
                <w:sz w:val="17"/>
              </w:rPr>
              <w:t>9</w:t>
            </w:r>
          </w:p>
        </w:tc>
        <w:tc>
          <w:tcPr>
            <w:tcW w:type="dxa" w:w="504"/>
          </w:tcPr>
          <w:p>
            <w:pPr>
              <w:jc w:val="center"/>
            </w:pPr>
            <w:r/>
            <w:r>
              <w:rPr>
                <w:rFonts w:ascii="Calibri" w:hAnsi="Calibri"/>
                <w:b w:val="0"/>
                <w:color w:val="232323"/>
                <w:sz w:val="17"/>
              </w:rPr>
              <w:t>7</w:t>
            </w:r>
          </w:p>
        </w:tc>
        <w:tc>
          <w:tcPr>
            <w:tcW w:type="dxa" w:w="504"/>
          </w:tcPr>
          <w:p>
            <w:pPr>
              <w:jc w:val="center"/>
            </w:pPr>
            <w:r/>
            <w:r>
              <w:rPr>
                <w:rFonts w:ascii="Calibri" w:hAnsi="Calibri"/>
                <w:b w:val="0"/>
                <w:color w:val="232323"/>
                <w:sz w:val="17"/>
              </w:rPr>
              <w:t>8</w:t>
            </w:r>
          </w:p>
        </w:tc>
        <w:tc>
          <w:tcPr>
            <w:tcW w:type="dxa" w:w="504"/>
          </w:tcPr>
          <w:p>
            <w:pPr>
              <w:jc w:val="center"/>
            </w:pPr>
            <w:r/>
            <w:r>
              <w:rPr>
                <w:rFonts w:ascii="Calibri" w:hAnsi="Calibri"/>
                <w:b w:val="0"/>
                <w:color w:val="232323"/>
                <w:sz w:val="17"/>
              </w:rPr>
              <w:t>9</w:t>
            </w:r>
          </w:p>
        </w:tc>
        <w:tc>
          <w:tcPr>
            <w:tcW w:type="dxa" w:w="792"/>
          </w:tcPr>
          <w:p>
            <w:pPr>
              <w:jc w:val="center"/>
            </w:pPr>
            <w:r/>
            <w:r>
              <w:rPr>
                <w:rFonts w:ascii="Calibri" w:hAnsi="Calibri"/>
                <w:b/>
                <w:color w:val="2C1A10"/>
                <w:sz w:val="18"/>
              </w:rPr>
              <w:t>33</w:t>
            </w:r>
          </w:p>
        </w:tc>
        <w:tc>
          <w:tcPr>
            <w:tcW w:type="dxa" w:w="3888"/>
          </w:tcPr>
          <w:p>
            <w:r/>
            <w:r>
              <w:rPr>
                <w:rFonts w:ascii="Calibri" w:hAnsi="Calibri"/>
                <w:b w:val="0"/>
                <w:color w:val="232323"/>
                <w:sz w:val="15"/>
              </w:rPr>
              <w:t>Counters can fill in and muddy at very small print or embroidery sizes.</w:t>
            </w:r>
          </w:p>
        </w:tc>
      </w:tr>
      <w:tr>
        <w:tc>
          <w:tcPr>
            <w:tcW w:type="dxa" w:w="2448"/>
          </w:tcPr>
          <w:p>
            <w:r/>
            <w:r>
              <w:rPr>
                <w:rFonts w:ascii="Calibri" w:hAnsi="Calibri"/>
                <w:b/>
                <w:color w:val="2C1A10"/>
                <w:sz w:val="17"/>
              </w:rPr>
              <w:t>The Ligature Embrace (HI)</w:t>
            </w:r>
          </w:p>
        </w:tc>
        <w:tc>
          <w:tcPr>
            <w:tcW w:type="dxa" w:w="504"/>
          </w:tcPr>
          <w:p>
            <w:pPr>
              <w:jc w:val="center"/>
            </w:pPr>
            <w:r/>
            <w:r>
              <w:rPr>
                <w:rFonts w:ascii="Calibri" w:hAnsi="Calibri"/>
                <w:b w:val="0"/>
                <w:color w:val="232323"/>
                <w:sz w:val="17"/>
              </w:rPr>
              <w:t>8</w:t>
            </w:r>
          </w:p>
        </w:tc>
        <w:tc>
          <w:tcPr>
            <w:tcW w:type="dxa" w:w="504"/>
          </w:tcPr>
          <w:p>
            <w:pPr>
              <w:jc w:val="center"/>
            </w:pPr>
            <w:r/>
            <w:r>
              <w:rPr>
                <w:rFonts w:ascii="Calibri" w:hAnsi="Calibri"/>
                <w:b w:val="0"/>
                <w:color w:val="232323"/>
                <w:sz w:val="17"/>
              </w:rPr>
              <w:t>8</w:t>
            </w:r>
          </w:p>
        </w:tc>
        <w:tc>
          <w:tcPr>
            <w:tcW w:type="dxa" w:w="504"/>
          </w:tcPr>
          <w:p>
            <w:pPr>
              <w:jc w:val="center"/>
            </w:pPr>
            <w:r/>
            <w:r>
              <w:rPr>
                <w:rFonts w:ascii="Calibri" w:hAnsi="Calibri"/>
                <w:b w:val="0"/>
                <w:color w:val="232323"/>
                <w:sz w:val="17"/>
              </w:rPr>
              <w:t>8</w:t>
            </w:r>
          </w:p>
        </w:tc>
        <w:tc>
          <w:tcPr>
            <w:tcW w:type="dxa" w:w="504"/>
          </w:tcPr>
          <w:p>
            <w:pPr>
              <w:jc w:val="center"/>
            </w:pPr>
            <w:r/>
            <w:r>
              <w:rPr>
                <w:rFonts w:ascii="Calibri" w:hAnsi="Calibri"/>
                <w:b w:val="0"/>
                <w:color w:val="232323"/>
                <w:sz w:val="17"/>
              </w:rPr>
              <w:t>9</w:t>
            </w:r>
          </w:p>
        </w:tc>
        <w:tc>
          <w:tcPr>
            <w:tcW w:type="dxa" w:w="792"/>
          </w:tcPr>
          <w:p>
            <w:pPr>
              <w:jc w:val="center"/>
            </w:pPr>
            <w:r/>
            <w:r>
              <w:rPr>
                <w:rFonts w:ascii="Calibri" w:hAnsi="Calibri"/>
                <w:b/>
                <w:color w:val="2C1A10"/>
                <w:sz w:val="18"/>
              </w:rPr>
              <w:t>33</w:t>
            </w:r>
          </w:p>
        </w:tc>
        <w:tc>
          <w:tcPr>
            <w:tcW w:type="dxa" w:w="3888"/>
          </w:tcPr>
          <w:p>
            <w:r/>
            <w:r>
              <w:rPr>
                <w:rFonts w:ascii="Calibri" w:hAnsi="Calibri"/>
                <w:b w:val="0"/>
                <w:color w:val="232323"/>
                <w:sz w:val="15"/>
              </w:rPr>
              <w:t>Ligature must stay legible as H-I and not read as a new glyph.</w:t>
            </w:r>
          </w:p>
        </w:tc>
      </w:tr>
      <w:tr>
        <w:tc>
          <w:tcPr>
            <w:tcW w:type="dxa" w:w="2448"/>
          </w:tcPr>
          <w:p>
            <w:r/>
            <w:r>
              <w:rPr>
                <w:rFonts w:ascii="Calibri" w:hAnsi="Calibri"/>
                <w:b/>
                <w:color w:val="2C1A10"/>
                <w:sz w:val="17"/>
              </w:rPr>
              <w:t>Architectural Stack</w:t>
            </w:r>
          </w:p>
        </w:tc>
        <w:tc>
          <w:tcPr>
            <w:tcW w:type="dxa" w:w="504"/>
          </w:tcPr>
          <w:p>
            <w:pPr>
              <w:jc w:val="center"/>
            </w:pPr>
            <w:r/>
            <w:r>
              <w:rPr>
                <w:rFonts w:ascii="Calibri" w:hAnsi="Calibri"/>
                <w:b w:val="0"/>
                <w:color w:val="232323"/>
                <w:sz w:val="17"/>
              </w:rPr>
              <w:t>9</w:t>
            </w:r>
          </w:p>
        </w:tc>
        <w:tc>
          <w:tcPr>
            <w:tcW w:type="dxa" w:w="504"/>
          </w:tcPr>
          <w:p>
            <w:pPr>
              <w:jc w:val="center"/>
            </w:pPr>
            <w:r/>
            <w:r>
              <w:rPr>
                <w:rFonts w:ascii="Calibri" w:hAnsi="Calibri"/>
                <w:b w:val="0"/>
                <w:color w:val="232323"/>
                <w:sz w:val="17"/>
              </w:rPr>
              <w:t>7</w:t>
            </w:r>
          </w:p>
        </w:tc>
        <w:tc>
          <w:tcPr>
            <w:tcW w:type="dxa" w:w="504"/>
          </w:tcPr>
          <w:p>
            <w:pPr>
              <w:jc w:val="center"/>
            </w:pPr>
            <w:r/>
            <w:r>
              <w:rPr>
                <w:rFonts w:ascii="Calibri" w:hAnsi="Calibri"/>
                <w:b w:val="0"/>
                <w:color w:val="232323"/>
                <w:sz w:val="17"/>
              </w:rPr>
              <w:t>9</w:t>
            </w:r>
          </w:p>
        </w:tc>
        <w:tc>
          <w:tcPr>
            <w:tcW w:type="dxa" w:w="504"/>
          </w:tcPr>
          <w:p>
            <w:pPr>
              <w:jc w:val="center"/>
            </w:pPr>
            <w:r/>
            <w:r>
              <w:rPr>
                <w:rFonts w:ascii="Calibri" w:hAnsi="Calibri"/>
                <w:b w:val="0"/>
                <w:color w:val="232323"/>
                <w:sz w:val="17"/>
              </w:rPr>
              <w:t>8</w:t>
            </w:r>
          </w:p>
        </w:tc>
        <w:tc>
          <w:tcPr>
            <w:tcW w:type="dxa" w:w="792"/>
          </w:tcPr>
          <w:p>
            <w:pPr>
              <w:jc w:val="center"/>
            </w:pPr>
            <w:r/>
            <w:r>
              <w:rPr>
                <w:rFonts w:ascii="Calibri" w:hAnsi="Calibri"/>
                <w:b/>
                <w:color w:val="2C1A10"/>
                <w:sz w:val="18"/>
              </w:rPr>
              <w:t>33</w:t>
            </w:r>
          </w:p>
        </w:tc>
        <w:tc>
          <w:tcPr>
            <w:tcW w:type="dxa" w:w="3888"/>
          </w:tcPr>
          <w:p>
            <w:r/>
            <w:r>
              <w:rPr>
                <w:rFonts w:ascii="Calibri" w:hAnsi="Calibri"/>
                <w:b w:val="0"/>
                <w:color w:val="232323"/>
                <w:sz w:val="15"/>
              </w:rPr>
              <w:t>Can read cold; needs the warm palette to avoid feeling like an art institution.</w:t>
            </w:r>
          </w:p>
        </w:tc>
      </w:tr>
      <w:tr>
        <w:tc>
          <w:tcPr>
            <w:tcW w:type="dxa" w:w="2448"/>
          </w:tcPr>
          <w:p>
            <w:r/>
            <w:r>
              <w:rPr>
                <w:rFonts w:ascii="Calibri" w:hAnsi="Calibri"/>
                <w:b/>
                <w:color w:val="2C1A10"/>
                <w:sz w:val="17"/>
              </w:rPr>
              <w:t>The Veil Crossbar</w:t>
            </w:r>
          </w:p>
        </w:tc>
        <w:tc>
          <w:tcPr>
            <w:tcW w:type="dxa" w:w="504"/>
          </w:tcPr>
          <w:p>
            <w:pPr>
              <w:jc w:val="center"/>
            </w:pPr>
            <w:r/>
            <w:r>
              <w:rPr>
                <w:rFonts w:ascii="Calibri" w:hAnsi="Calibri"/>
                <w:b w:val="0"/>
                <w:color w:val="232323"/>
                <w:sz w:val="17"/>
              </w:rPr>
              <w:t>8</w:t>
            </w:r>
          </w:p>
        </w:tc>
        <w:tc>
          <w:tcPr>
            <w:tcW w:type="dxa" w:w="504"/>
          </w:tcPr>
          <w:p>
            <w:pPr>
              <w:jc w:val="center"/>
            </w:pPr>
            <w:r/>
            <w:r>
              <w:rPr>
                <w:rFonts w:ascii="Calibri" w:hAnsi="Calibri"/>
                <w:b w:val="0"/>
                <w:color w:val="232323"/>
                <w:sz w:val="17"/>
              </w:rPr>
              <w:t>8</w:t>
            </w:r>
          </w:p>
        </w:tc>
        <w:tc>
          <w:tcPr>
            <w:tcW w:type="dxa" w:w="504"/>
          </w:tcPr>
          <w:p>
            <w:pPr>
              <w:jc w:val="center"/>
            </w:pPr>
            <w:r/>
            <w:r>
              <w:rPr>
                <w:rFonts w:ascii="Calibri" w:hAnsi="Calibri"/>
                <w:b w:val="0"/>
                <w:color w:val="232323"/>
                <w:sz w:val="17"/>
              </w:rPr>
              <w:t>7</w:t>
            </w:r>
          </w:p>
        </w:tc>
        <w:tc>
          <w:tcPr>
            <w:tcW w:type="dxa" w:w="504"/>
          </w:tcPr>
          <w:p>
            <w:pPr>
              <w:jc w:val="center"/>
            </w:pPr>
            <w:r/>
            <w:r>
              <w:rPr>
                <w:rFonts w:ascii="Calibri" w:hAnsi="Calibri"/>
                <w:b w:val="0"/>
                <w:color w:val="232323"/>
                <w:sz w:val="17"/>
              </w:rPr>
              <w:t>9</w:t>
            </w:r>
          </w:p>
        </w:tc>
        <w:tc>
          <w:tcPr>
            <w:tcW w:type="dxa" w:w="792"/>
          </w:tcPr>
          <w:p>
            <w:pPr>
              <w:jc w:val="center"/>
            </w:pPr>
            <w:r/>
            <w:r>
              <w:rPr>
                <w:rFonts w:ascii="Calibri" w:hAnsi="Calibri"/>
                <w:b/>
                <w:color w:val="2C1A10"/>
                <w:sz w:val="18"/>
              </w:rPr>
              <w:t>32</w:t>
            </w:r>
          </w:p>
        </w:tc>
        <w:tc>
          <w:tcPr>
            <w:tcW w:type="dxa" w:w="3888"/>
          </w:tcPr>
          <w:p>
            <w:r/>
            <w:r>
              <w:rPr>
                <w:rFonts w:ascii="Calibri" w:hAnsi="Calibri"/>
                <w:b w:val="0"/>
                <w:color w:val="232323"/>
                <w:sz w:val="15"/>
              </w:rPr>
              <w:t>Can look like an underline gimmick if weight/length is wrong; overlaps with Concept 01.</w:t>
            </w:r>
          </w:p>
        </w:tc>
      </w:tr>
      <w:tr>
        <w:tc>
          <w:tcPr>
            <w:tcW w:type="dxa" w:w="2448"/>
          </w:tcPr>
          <w:p>
            <w:r/>
            <w:r>
              <w:rPr>
                <w:rFonts w:ascii="Calibri" w:hAnsi="Calibri"/>
                <w:b/>
                <w:color w:val="2C1A10"/>
                <w:sz w:val="17"/>
              </w:rPr>
              <w:t>Asymmetric Editorial</w:t>
            </w:r>
          </w:p>
        </w:tc>
        <w:tc>
          <w:tcPr>
            <w:tcW w:type="dxa" w:w="504"/>
          </w:tcPr>
          <w:p>
            <w:pPr>
              <w:jc w:val="center"/>
            </w:pPr>
            <w:r/>
            <w:r>
              <w:rPr>
                <w:rFonts w:ascii="Calibri" w:hAnsi="Calibri"/>
                <w:b w:val="0"/>
                <w:color w:val="232323"/>
                <w:sz w:val="17"/>
              </w:rPr>
              <w:t>8</w:t>
            </w:r>
          </w:p>
        </w:tc>
        <w:tc>
          <w:tcPr>
            <w:tcW w:type="dxa" w:w="504"/>
          </w:tcPr>
          <w:p>
            <w:pPr>
              <w:jc w:val="center"/>
            </w:pPr>
            <w:r/>
            <w:r>
              <w:rPr>
                <w:rFonts w:ascii="Calibri" w:hAnsi="Calibri"/>
                <w:b w:val="0"/>
                <w:color w:val="232323"/>
                <w:sz w:val="17"/>
              </w:rPr>
              <w:t>8</w:t>
            </w:r>
          </w:p>
        </w:tc>
        <w:tc>
          <w:tcPr>
            <w:tcW w:type="dxa" w:w="504"/>
          </w:tcPr>
          <w:p>
            <w:pPr>
              <w:jc w:val="center"/>
            </w:pPr>
            <w:r/>
            <w:r>
              <w:rPr>
                <w:rFonts w:ascii="Calibri" w:hAnsi="Calibri"/>
                <w:b w:val="0"/>
                <w:color w:val="232323"/>
                <w:sz w:val="17"/>
              </w:rPr>
              <w:t>8</w:t>
            </w:r>
          </w:p>
        </w:tc>
        <w:tc>
          <w:tcPr>
            <w:tcW w:type="dxa" w:w="504"/>
          </w:tcPr>
          <w:p>
            <w:pPr>
              <w:jc w:val="center"/>
            </w:pPr>
            <w:r/>
            <w:r>
              <w:rPr>
                <w:rFonts w:ascii="Calibri" w:hAnsi="Calibri"/>
                <w:b w:val="0"/>
                <w:color w:val="232323"/>
                <w:sz w:val="17"/>
              </w:rPr>
              <w:t>8</w:t>
            </w:r>
          </w:p>
        </w:tc>
        <w:tc>
          <w:tcPr>
            <w:tcW w:type="dxa" w:w="792"/>
          </w:tcPr>
          <w:p>
            <w:pPr>
              <w:jc w:val="center"/>
            </w:pPr>
            <w:r/>
            <w:r>
              <w:rPr>
                <w:rFonts w:ascii="Calibri" w:hAnsi="Calibri"/>
                <w:b/>
                <w:color w:val="2C1A10"/>
                <w:sz w:val="18"/>
              </w:rPr>
              <w:t>32</w:t>
            </w:r>
          </w:p>
        </w:tc>
        <w:tc>
          <w:tcPr>
            <w:tcW w:type="dxa" w:w="3888"/>
          </w:tcPr>
          <w:p>
            <w:r/>
            <w:r>
              <w:rPr>
                <w:rFonts w:ascii="Calibri" w:hAnsi="Calibri"/>
                <w:b w:val="0"/>
                <w:color w:val="232323"/>
                <w:sz w:val="15"/>
              </w:rPr>
              <w:t>Subtle asymmetry can be mistaken for misalignment by some viewers.</w:t>
            </w:r>
          </w:p>
        </w:tc>
      </w:tr>
      <w:tr>
        <w:tc>
          <w:tcPr>
            <w:tcW w:type="dxa" w:w="2448"/>
          </w:tcPr>
          <w:p>
            <w:r/>
            <w:r>
              <w:rPr>
                <w:rFonts w:ascii="Calibri" w:hAnsi="Calibri"/>
                <w:b/>
                <w:color w:val="2C1A10"/>
                <w:sz w:val="17"/>
              </w:rPr>
              <w:t>The Aperture H</w:t>
            </w:r>
          </w:p>
        </w:tc>
        <w:tc>
          <w:tcPr>
            <w:tcW w:type="dxa" w:w="504"/>
          </w:tcPr>
          <w:p>
            <w:pPr>
              <w:jc w:val="center"/>
            </w:pPr>
            <w:r/>
            <w:r>
              <w:rPr>
                <w:rFonts w:ascii="Calibri" w:hAnsi="Calibri"/>
                <w:b w:val="0"/>
                <w:color w:val="232323"/>
                <w:sz w:val="17"/>
              </w:rPr>
              <w:t>8</w:t>
            </w:r>
          </w:p>
        </w:tc>
        <w:tc>
          <w:tcPr>
            <w:tcW w:type="dxa" w:w="504"/>
          </w:tcPr>
          <w:p>
            <w:pPr>
              <w:jc w:val="center"/>
            </w:pPr>
            <w:r/>
            <w:r>
              <w:rPr>
                <w:rFonts w:ascii="Calibri" w:hAnsi="Calibri"/>
                <w:b w:val="0"/>
                <w:color w:val="232323"/>
                <w:sz w:val="17"/>
              </w:rPr>
              <w:t>7</w:t>
            </w:r>
          </w:p>
        </w:tc>
        <w:tc>
          <w:tcPr>
            <w:tcW w:type="dxa" w:w="504"/>
          </w:tcPr>
          <w:p>
            <w:pPr>
              <w:jc w:val="center"/>
            </w:pPr>
            <w:r/>
            <w:r>
              <w:rPr>
                <w:rFonts w:ascii="Calibri" w:hAnsi="Calibri"/>
                <w:b w:val="0"/>
                <w:color w:val="232323"/>
                <w:sz w:val="17"/>
              </w:rPr>
              <w:t>9</w:t>
            </w:r>
          </w:p>
        </w:tc>
        <w:tc>
          <w:tcPr>
            <w:tcW w:type="dxa" w:w="504"/>
          </w:tcPr>
          <w:p>
            <w:pPr>
              <w:jc w:val="center"/>
            </w:pPr>
            <w:r/>
            <w:r>
              <w:rPr>
                <w:rFonts w:ascii="Calibri" w:hAnsi="Calibri"/>
                <w:b w:val="0"/>
                <w:color w:val="232323"/>
                <w:sz w:val="17"/>
              </w:rPr>
              <w:t>8</w:t>
            </w:r>
          </w:p>
        </w:tc>
        <w:tc>
          <w:tcPr>
            <w:tcW w:type="dxa" w:w="792"/>
          </w:tcPr>
          <w:p>
            <w:pPr>
              <w:jc w:val="center"/>
            </w:pPr>
            <w:r/>
            <w:r>
              <w:rPr>
                <w:rFonts w:ascii="Calibri" w:hAnsi="Calibri"/>
                <w:b/>
                <w:color w:val="2C1A10"/>
                <w:sz w:val="18"/>
              </w:rPr>
              <w:t>32</w:t>
            </w:r>
          </w:p>
        </w:tc>
        <w:tc>
          <w:tcPr>
            <w:tcW w:type="dxa" w:w="3888"/>
          </w:tcPr>
          <w:p>
            <w:r/>
            <w:r>
              <w:rPr>
                <w:rFonts w:ascii="Calibri" w:hAnsi="Calibri"/>
                <w:b w:val="0"/>
                <w:color w:val="232323"/>
                <w:sz w:val="15"/>
              </w:rPr>
              <w:t>Aperture must not become a literal arch/door (cliché risk).</w:t>
            </w:r>
          </w:p>
        </w:tc>
      </w:tr>
      <w:tr>
        <w:tc>
          <w:tcPr>
            <w:tcW w:type="dxa" w:w="2448"/>
          </w:tcPr>
          <w:p>
            <w:r/>
            <w:r>
              <w:rPr>
                <w:rFonts w:ascii="Calibri" w:hAnsi="Calibri"/>
                <w:b/>
                <w:color w:val="2C1A10"/>
                <w:sz w:val="17"/>
              </w:rPr>
              <w:t>The Macron Seal</w:t>
            </w:r>
          </w:p>
        </w:tc>
        <w:tc>
          <w:tcPr>
            <w:tcW w:type="dxa" w:w="504"/>
          </w:tcPr>
          <w:p>
            <w:pPr>
              <w:jc w:val="center"/>
            </w:pPr>
            <w:r/>
            <w:r>
              <w:rPr>
                <w:rFonts w:ascii="Calibri" w:hAnsi="Calibri"/>
                <w:b w:val="0"/>
                <w:color w:val="232323"/>
                <w:sz w:val="17"/>
              </w:rPr>
              <w:t>8</w:t>
            </w:r>
          </w:p>
        </w:tc>
        <w:tc>
          <w:tcPr>
            <w:tcW w:type="dxa" w:w="504"/>
          </w:tcPr>
          <w:p>
            <w:pPr>
              <w:jc w:val="center"/>
            </w:pPr>
            <w:r/>
            <w:r>
              <w:rPr>
                <w:rFonts w:ascii="Calibri" w:hAnsi="Calibri"/>
                <w:b w:val="0"/>
                <w:color w:val="232323"/>
                <w:sz w:val="17"/>
              </w:rPr>
              <w:t>7</w:t>
            </w:r>
          </w:p>
        </w:tc>
        <w:tc>
          <w:tcPr>
            <w:tcW w:type="dxa" w:w="504"/>
          </w:tcPr>
          <w:p>
            <w:pPr>
              <w:jc w:val="center"/>
            </w:pPr>
            <w:r/>
            <w:r>
              <w:rPr>
                <w:rFonts w:ascii="Calibri" w:hAnsi="Calibri"/>
                <w:b w:val="0"/>
                <w:color w:val="232323"/>
                <w:sz w:val="17"/>
              </w:rPr>
              <w:t>8</w:t>
            </w:r>
          </w:p>
        </w:tc>
        <w:tc>
          <w:tcPr>
            <w:tcW w:type="dxa" w:w="504"/>
          </w:tcPr>
          <w:p>
            <w:pPr>
              <w:jc w:val="center"/>
            </w:pPr>
            <w:r/>
            <w:r>
              <w:rPr>
                <w:rFonts w:ascii="Calibri" w:hAnsi="Calibri"/>
                <w:b w:val="0"/>
                <w:color w:val="232323"/>
                <w:sz w:val="17"/>
              </w:rPr>
              <w:t>8</w:t>
            </w:r>
          </w:p>
        </w:tc>
        <w:tc>
          <w:tcPr>
            <w:tcW w:type="dxa" w:w="792"/>
          </w:tcPr>
          <w:p>
            <w:pPr>
              <w:jc w:val="center"/>
            </w:pPr>
            <w:r/>
            <w:r>
              <w:rPr>
                <w:rFonts w:ascii="Calibri" w:hAnsi="Calibri"/>
                <w:b/>
                <w:color w:val="2C1A10"/>
                <w:sz w:val="18"/>
              </w:rPr>
              <w:t>31</w:t>
            </w:r>
          </w:p>
        </w:tc>
        <w:tc>
          <w:tcPr>
            <w:tcW w:type="dxa" w:w="3888"/>
          </w:tcPr>
          <w:p>
            <w:r/>
            <w:r>
              <w:rPr>
                <w:rFonts w:ascii="Calibri" w:hAnsi="Calibri"/>
                <w:b w:val="0"/>
                <w:color w:val="232323"/>
                <w:sz w:val="15"/>
              </w:rPr>
              <w:t>Risk of reading as a random rule; needs consistent application to gain meaning.</w:t>
            </w:r>
          </w:p>
        </w:tc>
      </w:tr>
      <w:tr>
        <w:tc>
          <w:tcPr>
            <w:tcW w:type="dxa" w:w="2448"/>
          </w:tcPr>
          <w:p>
            <w:r/>
            <w:r>
              <w:rPr>
                <w:rFonts w:ascii="Calibri" w:hAnsi="Calibri"/>
                <w:b/>
                <w:color w:val="2C1A10"/>
                <w:sz w:val="17"/>
              </w:rPr>
              <w:t>Tonal Blind Emboss</w:t>
            </w:r>
          </w:p>
        </w:tc>
        <w:tc>
          <w:tcPr>
            <w:tcW w:type="dxa" w:w="504"/>
          </w:tcPr>
          <w:p>
            <w:pPr>
              <w:jc w:val="center"/>
            </w:pPr>
            <w:r/>
            <w:r>
              <w:rPr>
                <w:rFonts w:ascii="Calibri" w:hAnsi="Calibri"/>
                <w:b w:val="0"/>
                <w:color w:val="232323"/>
                <w:sz w:val="17"/>
              </w:rPr>
              <w:t>9</w:t>
            </w:r>
          </w:p>
        </w:tc>
        <w:tc>
          <w:tcPr>
            <w:tcW w:type="dxa" w:w="504"/>
          </w:tcPr>
          <w:p>
            <w:pPr>
              <w:jc w:val="center"/>
            </w:pPr>
            <w:r/>
            <w:r>
              <w:rPr>
                <w:rFonts w:ascii="Calibri" w:hAnsi="Calibri"/>
                <w:b w:val="0"/>
                <w:color w:val="232323"/>
                <w:sz w:val="17"/>
              </w:rPr>
              <w:t>6</w:t>
            </w:r>
          </w:p>
        </w:tc>
        <w:tc>
          <w:tcPr>
            <w:tcW w:type="dxa" w:w="504"/>
          </w:tcPr>
          <w:p>
            <w:pPr>
              <w:jc w:val="center"/>
            </w:pPr>
            <w:r/>
            <w:r>
              <w:rPr>
                <w:rFonts w:ascii="Calibri" w:hAnsi="Calibri"/>
                <w:b w:val="0"/>
                <w:color w:val="232323"/>
                <w:sz w:val="17"/>
              </w:rPr>
              <w:t>7</w:t>
            </w:r>
          </w:p>
        </w:tc>
        <w:tc>
          <w:tcPr>
            <w:tcW w:type="dxa" w:w="504"/>
          </w:tcPr>
          <w:p>
            <w:pPr>
              <w:jc w:val="center"/>
            </w:pPr>
            <w:r/>
            <w:r>
              <w:rPr>
                <w:rFonts w:ascii="Calibri" w:hAnsi="Calibri"/>
                <w:b w:val="0"/>
                <w:color w:val="232323"/>
                <w:sz w:val="17"/>
              </w:rPr>
              <w:t>8</w:t>
            </w:r>
          </w:p>
        </w:tc>
        <w:tc>
          <w:tcPr>
            <w:tcW w:type="dxa" w:w="792"/>
          </w:tcPr>
          <w:p>
            <w:pPr>
              <w:jc w:val="center"/>
            </w:pPr>
            <w:r/>
            <w:r>
              <w:rPr>
                <w:rFonts w:ascii="Calibri" w:hAnsi="Calibri"/>
                <w:b/>
                <w:color w:val="2C1A10"/>
                <w:sz w:val="18"/>
              </w:rPr>
              <w:t>30</w:t>
            </w:r>
          </w:p>
        </w:tc>
        <w:tc>
          <w:tcPr>
            <w:tcW w:type="dxa" w:w="3888"/>
          </w:tcPr>
          <w:p>
            <w:r/>
            <w:r>
              <w:rPr>
                <w:rFonts w:ascii="Calibri" w:hAnsi="Calibri"/>
                <w:b w:val="0"/>
                <w:color w:val="232323"/>
                <w:sz w:val="15"/>
              </w:rPr>
              <w:t>An application technique more than a logo; needs an underlying mark to emboss.</w:t>
            </w:r>
          </w:p>
        </w:tc>
      </w:tr>
      <w:tr>
        <w:tc>
          <w:tcPr>
            <w:tcW w:type="dxa" w:w="2448"/>
          </w:tcPr>
          <w:p>
            <w:r/>
            <w:r>
              <w:rPr>
                <w:rFonts w:ascii="Calibri" w:hAnsi="Calibri"/>
                <w:b/>
                <w:color w:val="2C1A10"/>
                <w:sz w:val="17"/>
              </w:rPr>
              <w:t>Tall Condensed Masthead</w:t>
            </w:r>
          </w:p>
        </w:tc>
        <w:tc>
          <w:tcPr>
            <w:tcW w:type="dxa" w:w="504"/>
          </w:tcPr>
          <w:p>
            <w:pPr>
              <w:jc w:val="center"/>
            </w:pPr>
            <w:r/>
            <w:r>
              <w:rPr>
                <w:rFonts w:ascii="Calibri" w:hAnsi="Calibri"/>
                <w:b w:val="0"/>
                <w:color w:val="232323"/>
                <w:sz w:val="17"/>
              </w:rPr>
              <w:t>8</w:t>
            </w:r>
          </w:p>
        </w:tc>
        <w:tc>
          <w:tcPr>
            <w:tcW w:type="dxa" w:w="504"/>
          </w:tcPr>
          <w:p>
            <w:pPr>
              <w:jc w:val="center"/>
            </w:pPr>
            <w:r/>
            <w:r>
              <w:rPr>
                <w:rFonts w:ascii="Calibri" w:hAnsi="Calibri"/>
                <w:b w:val="0"/>
                <w:color w:val="232323"/>
                <w:sz w:val="17"/>
              </w:rPr>
              <w:t>7</w:t>
            </w:r>
          </w:p>
        </w:tc>
        <w:tc>
          <w:tcPr>
            <w:tcW w:type="dxa" w:w="504"/>
          </w:tcPr>
          <w:p>
            <w:pPr>
              <w:jc w:val="center"/>
            </w:pPr>
            <w:r/>
            <w:r>
              <w:rPr>
                <w:rFonts w:ascii="Calibri" w:hAnsi="Calibri"/>
                <w:b w:val="0"/>
                <w:color w:val="232323"/>
                <w:sz w:val="17"/>
              </w:rPr>
              <w:t>7</w:t>
            </w:r>
          </w:p>
        </w:tc>
        <w:tc>
          <w:tcPr>
            <w:tcW w:type="dxa" w:w="504"/>
          </w:tcPr>
          <w:p>
            <w:pPr>
              <w:jc w:val="center"/>
            </w:pPr>
            <w:r/>
            <w:r>
              <w:rPr>
                <w:rFonts w:ascii="Calibri" w:hAnsi="Calibri"/>
                <w:b w:val="0"/>
                <w:color w:val="232323"/>
                <w:sz w:val="17"/>
              </w:rPr>
              <w:t>8</w:t>
            </w:r>
          </w:p>
        </w:tc>
        <w:tc>
          <w:tcPr>
            <w:tcW w:type="dxa" w:w="792"/>
          </w:tcPr>
          <w:p>
            <w:pPr>
              <w:jc w:val="center"/>
            </w:pPr>
            <w:r/>
            <w:r>
              <w:rPr>
                <w:rFonts w:ascii="Calibri" w:hAnsi="Calibri"/>
                <w:b/>
                <w:color w:val="2C1A10"/>
                <w:sz w:val="18"/>
              </w:rPr>
              <w:t>30</w:t>
            </w:r>
          </w:p>
        </w:tc>
        <w:tc>
          <w:tcPr>
            <w:tcW w:type="dxa" w:w="3888"/>
          </w:tcPr>
          <w:p>
            <w:r/>
            <w:r>
              <w:rPr>
                <w:rFonts w:ascii="Calibri" w:hAnsi="Calibri"/>
                <w:b w:val="0"/>
                <w:color w:val="232323"/>
                <w:sz w:val="15"/>
              </w:rPr>
              <w:t>Condensed forms strain legibility small and on embroidery.</w:t>
            </w:r>
          </w:p>
        </w:tc>
      </w:tr>
      <w:tr>
        <w:tc>
          <w:tcPr>
            <w:tcW w:type="dxa" w:w="2448"/>
          </w:tcPr>
          <w:p>
            <w:r/>
            <w:r>
              <w:rPr>
                <w:rFonts w:ascii="Calibri" w:hAnsi="Calibri"/>
                <w:b/>
                <w:color w:val="2C1A10"/>
                <w:sz w:val="17"/>
              </w:rPr>
              <w:t>Softened Apex A</w:t>
            </w:r>
          </w:p>
        </w:tc>
        <w:tc>
          <w:tcPr>
            <w:tcW w:type="dxa" w:w="504"/>
          </w:tcPr>
          <w:p>
            <w:pPr>
              <w:jc w:val="center"/>
            </w:pPr>
            <w:r/>
            <w:r>
              <w:rPr>
                <w:rFonts w:ascii="Calibri" w:hAnsi="Calibri"/>
                <w:b w:val="0"/>
                <w:color w:val="232323"/>
                <w:sz w:val="17"/>
              </w:rPr>
              <w:t>8</w:t>
            </w:r>
          </w:p>
        </w:tc>
        <w:tc>
          <w:tcPr>
            <w:tcW w:type="dxa" w:w="504"/>
          </w:tcPr>
          <w:p>
            <w:pPr>
              <w:jc w:val="center"/>
            </w:pPr>
            <w:r/>
            <w:r>
              <w:rPr>
                <w:rFonts w:ascii="Calibri" w:hAnsi="Calibri"/>
                <w:b w:val="0"/>
                <w:color w:val="232323"/>
                <w:sz w:val="17"/>
              </w:rPr>
              <w:t>6</w:t>
            </w:r>
          </w:p>
        </w:tc>
        <w:tc>
          <w:tcPr>
            <w:tcW w:type="dxa" w:w="504"/>
          </w:tcPr>
          <w:p>
            <w:pPr>
              <w:jc w:val="center"/>
            </w:pPr>
            <w:r/>
            <w:r>
              <w:rPr>
                <w:rFonts w:ascii="Calibri" w:hAnsi="Calibri"/>
                <w:b w:val="0"/>
                <w:color w:val="232323"/>
                <w:sz w:val="17"/>
              </w:rPr>
              <w:t>9</w:t>
            </w:r>
          </w:p>
        </w:tc>
        <w:tc>
          <w:tcPr>
            <w:tcW w:type="dxa" w:w="504"/>
          </w:tcPr>
          <w:p>
            <w:pPr>
              <w:jc w:val="center"/>
            </w:pPr>
            <w:r/>
            <w:r>
              <w:rPr>
                <w:rFonts w:ascii="Calibri" w:hAnsi="Calibri"/>
                <w:b w:val="0"/>
                <w:color w:val="232323"/>
                <w:sz w:val="17"/>
              </w:rPr>
              <w:t>7</w:t>
            </w:r>
          </w:p>
        </w:tc>
        <w:tc>
          <w:tcPr>
            <w:tcW w:type="dxa" w:w="792"/>
          </w:tcPr>
          <w:p>
            <w:pPr>
              <w:jc w:val="center"/>
            </w:pPr>
            <w:r/>
            <w:r>
              <w:rPr>
                <w:rFonts w:ascii="Calibri" w:hAnsi="Calibri"/>
                <w:b/>
                <w:color w:val="2C1A10"/>
                <w:sz w:val="18"/>
              </w:rPr>
              <w:t>30</w:t>
            </w:r>
          </w:p>
        </w:tc>
        <w:tc>
          <w:tcPr>
            <w:tcW w:type="dxa" w:w="3888"/>
          </w:tcPr>
          <w:p>
            <w:r/>
            <w:r>
              <w:rPr>
                <w:rFonts w:ascii="Calibri" w:hAnsi="Calibri"/>
                <w:b w:val="0"/>
                <w:color w:val="232323"/>
                <w:sz w:val="15"/>
              </w:rPr>
              <w:t>Very subtle; on its own may not be noticed enough to own.</w:t>
            </w:r>
          </w:p>
        </w:tc>
      </w:tr>
      <w:tr>
        <w:tc>
          <w:tcPr>
            <w:tcW w:type="dxa" w:w="2448"/>
          </w:tcPr>
          <w:p>
            <w:r/>
            <w:r>
              <w:rPr>
                <w:rFonts w:ascii="Calibri" w:hAnsi="Calibri"/>
                <w:b/>
                <w:color w:val="2C1A10"/>
                <w:sz w:val="17"/>
              </w:rPr>
              <w:t>Editorial Didone Wordmark</w:t>
            </w:r>
          </w:p>
        </w:tc>
        <w:tc>
          <w:tcPr>
            <w:tcW w:type="dxa" w:w="504"/>
          </w:tcPr>
          <w:p>
            <w:pPr>
              <w:jc w:val="center"/>
            </w:pPr>
            <w:r/>
            <w:r>
              <w:rPr>
                <w:rFonts w:ascii="Calibri" w:hAnsi="Calibri"/>
                <w:b w:val="0"/>
                <w:color w:val="232323"/>
                <w:sz w:val="17"/>
              </w:rPr>
              <w:t>9</w:t>
            </w:r>
          </w:p>
        </w:tc>
        <w:tc>
          <w:tcPr>
            <w:tcW w:type="dxa" w:w="504"/>
          </w:tcPr>
          <w:p>
            <w:pPr>
              <w:jc w:val="center"/>
            </w:pPr>
            <w:r/>
            <w:r>
              <w:rPr>
                <w:rFonts w:ascii="Calibri" w:hAnsi="Calibri"/>
                <w:b w:val="0"/>
                <w:color w:val="232323"/>
                <w:sz w:val="17"/>
              </w:rPr>
              <w:t>6</w:t>
            </w:r>
          </w:p>
        </w:tc>
        <w:tc>
          <w:tcPr>
            <w:tcW w:type="dxa" w:w="504"/>
          </w:tcPr>
          <w:p>
            <w:pPr>
              <w:jc w:val="center"/>
            </w:pPr>
            <w:r/>
            <w:r>
              <w:rPr>
                <w:rFonts w:ascii="Calibri" w:hAnsi="Calibri"/>
                <w:b w:val="0"/>
                <w:color w:val="232323"/>
                <w:sz w:val="17"/>
              </w:rPr>
              <w:t>9</w:t>
            </w:r>
          </w:p>
        </w:tc>
        <w:tc>
          <w:tcPr>
            <w:tcW w:type="dxa" w:w="504"/>
          </w:tcPr>
          <w:p>
            <w:pPr>
              <w:jc w:val="center"/>
            </w:pPr>
            <w:r/>
            <w:r>
              <w:rPr>
                <w:rFonts w:ascii="Calibri" w:hAnsi="Calibri"/>
                <w:b w:val="0"/>
                <w:color w:val="232323"/>
                <w:sz w:val="17"/>
              </w:rPr>
              <w:t>6</w:t>
            </w:r>
          </w:p>
        </w:tc>
        <w:tc>
          <w:tcPr>
            <w:tcW w:type="dxa" w:w="792"/>
          </w:tcPr>
          <w:p>
            <w:pPr>
              <w:jc w:val="center"/>
            </w:pPr>
            <w:r/>
            <w:r>
              <w:rPr>
                <w:rFonts w:ascii="Calibri" w:hAnsi="Calibri"/>
                <w:b/>
                <w:color w:val="2C1A10"/>
                <w:sz w:val="18"/>
              </w:rPr>
              <w:t>30</w:t>
            </w:r>
          </w:p>
        </w:tc>
        <w:tc>
          <w:tcPr>
            <w:tcW w:type="dxa" w:w="3888"/>
          </w:tcPr>
          <w:p>
            <w:r/>
            <w:r>
              <w:rPr>
                <w:rFonts w:ascii="Calibri" w:hAnsi="Calibri"/>
                <w:b w:val="0"/>
                <w:color w:val="232323"/>
                <w:sz w:val="15"/>
              </w:rPr>
              <w:t>Beautiful but close to generic luxury; low ownership without a proprietary detail.</w:t>
            </w:r>
          </w:p>
        </w:tc>
      </w:tr>
      <w:tr>
        <w:tc>
          <w:tcPr>
            <w:tcW w:type="dxa" w:w="2448"/>
          </w:tcPr>
          <w:p>
            <w:r/>
            <w:r>
              <w:rPr>
                <w:rFonts w:ascii="Calibri" w:hAnsi="Calibri"/>
                <w:b/>
                <w:color w:val="2C1A10"/>
                <w:sz w:val="17"/>
              </w:rPr>
              <w:t>Sloped Editorial Italic</w:t>
            </w:r>
          </w:p>
        </w:tc>
        <w:tc>
          <w:tcPr>
            <w:tcW w:type="dxa" w:w="504"/>
          </w:tcPr>
          <w:p>
            <w:pPr>
              <w:jc w:val="center"/>
            </w:pPr>
            <w:r/>
            <w:r>
              <w:rPr>
                <w:rFonts w:ascii="Calibri" w:hAnsi="Calibri"/>
                <w:b w:val="0"/>
                <w:color w:val="232323"/>
                <w:sz w:val="17"/>
              </w:rPr>
              <w:t>8</w:t>
            </w:r>
          </w:p>
        </w:tc>
        <w:tc>
          <w:tcPr>
            <w:tcW w:type="dxa" w:w="504"/>
          </w:tcPr>
          <w:p>
            <w:pPr>
              <w:jc w:val="center"/>
            </w:pPr>
            <w:r/>
            <w:r>
              <w:rPr>
                <w:rFonts w:ascii="Calibri" w:hAnsi="Calibri"/>
                <w:b w:val="0"/>
                <w:color w:val="232323"/>
                <w:sz w:val="17"/>
              </w:rPr>
              <w:t>7</w:t>
            </w:r>
          </w:p>
        </w:tc>
        <w:tc>
          <w:tcPr>
            <w:tcW w:type="dxa" w:w="504"/>
          </w:tcPr>
          <w:p>
            <w:pPr>
              <w:jc w:val="center"/>
            </w:pPr>
            <w:r/>
            <w:r>
              <w:rPr>
                <w:rFonts w:ascii="Calibri" w:hAnsi="Calibri"/>
                <w:b w:val="0"/>
                <w:color w:val="232323"/>
                <w:sz w:val="17"/>
              </w:rPr>
              <w:t>6</w:t>
            </w:r>
          </w:p>
        </w:tc>
        <w:tc>
          <w:tcPr>
            <w:tcW w:type="dxa" w:w="504"/>
          </w:tcPr>
          <w:p>
            <w:pPr>
              <w:jc w:val="center"/>
            </w:pPr>
            <w:r/>
            <w:r>
              <w:rPr>
                <w:rFonts w:ascii="Calibri" w:hAnsi="Calibri"/>
                <w:b w:val="0"/>
                <w:color w:val="232323"/>
                <w:sz w:val="17"/>
              </w:rPr>
              <w:t>8</w:t>
            </w:r>
          </w:p>
        </w:tc>
        <w:tc>
          <w:tcPr>
            <w:tcW w:type="dxa" w:w="792"/>
          </w:tcPr>
          <w:p>
            <w:pPr>
              <w:jc w:val="center"/>
            </w:pPr>
            <w:r/>
            <w:r>
              <w:rPr>
                <w:rFonts w:ascii="Calibri" w:hAnsi="Calibri"/>
                <w:b/>
                <w:color w:val="2C1A10"/>
                <w:sz w:val="18"/>
              </w:rPr>
              <w:t>29</w:t>
            </w:r>
          </w:p>
        </w:tc>
        <w:tc>
          <w:tcPr>
            <w:tcW w:type="dxa" w:w="3888"/>
          </w:tcPr>
          <w:p>
            <w:r/>
            <w:r>
              <w:rPr>
                <w:rFonts w:ascii="Calibri" w:hAnsi="Calibri"/>
                <w:b w:val="0"/>
                <w:color w:val="232323"/>
                <w:sz w:val="15"/>
              </w:rPr>
              <w:t>Italic-only logos hurt legibility and scalability; risky as a primary mark.</w:t>
            </w:r>
          </w:p>
        </w:tc>
      </w:tr>
      <w:tr>
        <w:tc>
          <w:tcPr>
            <w:tcW w:type="dxa" w:w="2448"/>
          </w:tcPr>
          <w:p>
            <w:r/>
            <w:r>
              <w:rPr>
                <w:rFonts w:ascii="Calibri" w:hAnsi="Calibri"/>
                <w:b/>
                <w:color w:val="2C1A10"/>
                <w:sz w:val="17"/>
              </w:rPr>
              <w:t>The Point Signature</w:t>
            </w:r>
          </w:p>
        </w:tc>
        <w:tc>
          <w:tcPr>
            <w:tcW w:type="dxa" w:w="504"/>
          </w:tcPr>
          <w:p>
            <w:pPr>
              <w:jc w:val="center"/>
            </w:pPr>
            <w:r/>
            <w:r>
              <w:rPr>
                <w:rFonts w:ascii="Calibri" w:hAnsi="Calibri"/>
                <w:b w:val="0"/>
                <w:color w:val="232323"/>
                <w:sz w:val="17"/>
              </w:rPr>
              <w:t>7</w:t>
            </w:r>
          </w:p>
        </w:tc>
        <w:tc>
          <w:tcPr>
            <w:tcW w:type="dxa" w:w="504"/>
          </w:tcPr>
          <w:p>
            <w:pPr>
              <w:jc w:val="center"/>
            </w:pPr>
            <w:r/>
            <w:r>
              <w:rPr>
                <w:rFonts w:ascii="Calibri" w:hAnsi="Calibri"/>
                <w:b w:val="0"/>
                <w:color w:val="232323"/>
                <w:sz w:val="17"/>
              </w:rPr>
              <w:t>6</w:t>
            </w:r>
          </w:p>
        </w:tc>
        <w:tc>
          <w:tcPr>
            <w:tcW w:type="dxa" w:w="504"/>
          </w:tcPr>
          <w:p>
            <w:pPr>
              <w:jc w:val="center"/>
            </w:pPr>
            <w:r/>
            <w:r>
              <w:rPr>
                <w:rFonts w:ascii="Calibri" w:hAnsi="Calibri"/>
                <w:b w:val="0"/>
                <w:color w:val="232323"/>
                <w:sz w:val="17"/>
              </w:rPr>
              <w:t>9</w:t>
            </w:r>
          </w:p>
        </w:tc>
        <w:tc>
          <w:tcPr>
            <w:tcW w:type="dxa" w:w="504"/>
          </w:tcPr>
          <w:p>
            <w:pPr>
              <w:jc w:val="center"/>
            </w:pPr>
            <w:r/>
            <w:r>
              <w:rPr>
                <w:rFonts w:ascii="Calibri" w:hAnsi="Calibri"/>
                <w:b w:val="0"/>
                <w:color w:val="232323"/>
                <w:sz w:val="17"/>
              </w:rPr>
              <w:t>7</w:t>
            </w:r>
          </w:p>
        </w:tc>
        <w:tc>
          <w:tcPr>
            <w:tcW w:type="dxa" w:w="792"/>
          </w:tcPr>
          <w:p>
            <w:pPr>
              <w:jc w:val="center"/>
            </w:pPr>
            <w:r/>
            <w:r>
              <w:rPr>
                <w:rFonts w:ascii="Calibri" w:hAnsi="Calibri"/>
                <w:b/>
                <w:color w:val="2C1A10"/>
                <w:sz w:val="18"/>
              </w:rPr>
              <w:t>29</w:t>
            </w:r>
          </w:p>
        </w:tc>
        <w:tc>
          <w:tcPr>
            <w:tcW w:type="dxa" w:w="3888"/>
          </w:tcPr>
          <w:p>
            <w:r/>
            <w:r>
              <w:rPr>
                <w:rFonts w:ascii="Calibri" w:hAnsi="Calibri"/>
                <w:b w:val="0"/>
                <w:color w:val="232323"/>
                <w:sz w:val="15"/>
              </w:rPr>
              <w:t>A dot alone is weakly distinctive; depends entirely on disciplined system use.</w:t>
            </w:r>
          </w:p>
        </w:tc>
      </w:tr>
      <w:tr>
        <w:tc>
          <w:tcPr>
            <w:tcW w:type="dxa" w:w="2448"/>
          </w:tcPr>
          <w:p>
            <w:r/>
            <w:r>
              <w:rPr>
                <w:rFonts w:ascii="Calibri" w:hAnsi="Calibri"/>
                <w:b/>
                <w:color w:val="2C1A10"/>
                <w:sz w:val="17"/>
              </w:rPr>
              <w:t>Transitional Warmth</w:t>
            </w:r>
          </w:p>
        </w:tc>
        <w:tc>
          <w:tcPr>
            <w:tcW w:type="dxa" w:w="504"/>
          </w:tcPr>
          <w:p>
            <w:pPr>
              <w:jc w:val="center"/>
            </w:pPr>
            <w:r/>
            <w:r>
              <w:rPr>
                <w:rFonts w:ascii="Calibri" w:hAnsi="Calibri"/>
                <w:b w:val="0"/>
                <w:color w:val="232323"/>
                <w:sz w:val="17"/>
              </w:rPr>
              <w:t>8</w:t>
            </w:r>
          </w:p>
        </w:tc>
        <w:tc>
          <w:tcPr>
            <w:tcW w:type="dxa" w:w="504"/>
          </w:tcPr>
          <w:p>
            <w:pPr>
              <w:jc w:val="center"/>
            </w:pPr>
            <w:r/>
            <w:r>
              <w:rPr>
                <w:rFonts w:ascii="Calibri" w:hAnsi="Calibri"/>
                <w:b w:val="0"/>
                <w:color w:val="232323"/>
                <w:sz w:val="17"/>
              </w:rPr>
              <w:t>6</w:t>
            </w:r>
          </w:p>
        </w:tc>
        <w:tc>
          <w:tcPr>
            <w:tcW w:type="dxa" w:w="504"/>
          </w:tcPr>
          <w:p>
            <w:pPr>
              <w:jc w:val="center"/>
            </w:pPr>
            <w:r/>
            <w:r>
              <w:rPr>
                <w:rFonts w:ascii="Calibri" w:hAnsi="Calibri"/>
                <w:b w:val="0"/>
                <w:color w:val="232323"/>
                <w:sz w:val="17"/>
              </w:rPr>
              <w:t>9</w:t>
            </w:r>
          </w:p>
        </w:tc>
        <w:tc>
          <w:tcPr>
            <w:tcW w:type="dxa" w:w="504"/>
          </w:tcPr>
          <w:p>
            <w:pPr>
              <w:jc w:val="center"/>
            </w:pPr>
            <w:r/>
            <w:r>
              <w:rPr>
                <w:rFonts w:ascii="Calibri" w:hAnsi="Calibri"/>
                <w:b w:val="0"/>
                <w:color w:val="232323"/>
                <w:sz w:val="17"/>
              </w:rPr>
              <w:t>6</w:t>
            </w:r>
          </w:p>
        </w:tc>
        <w:tc>
          <w:tcPr>
            <w:tcW w:type="dxa" w:w="792"/>
          </w:tcPr>
          <w:p>
            <w:pPr>
              <w:jc w:val="center"/>
            </w:pPr>
            <w:r/>
            <w:r>
              <w:rPr>
                <w:rFonts w:ascii="Calibri" w:hAnsi="Calibri"/>
                <w:b/>
                <w:color w:val="2C1A10"/>
                <w:sz w:val="18"/>
              </w:rPr>
              <w:t>29</w:t>
            </w:r>
          </w:p>
        </w:tc>
        <w:tc>
          <w:tcPr>
            <w:tcW w:type="dxa" w:w="3888"/>
          </w:tcPr>
          <w:p>
            <w:r/>
            <w:r>
              <w:rPr>
                <w:rFonts w:ascii="Calibri" w:hAnsi="Calibri"/>
                <w:b w:val="0"/>
                <w:color w:val="232323"/>
                <w:sz w:val="15"/>
              </w:rPr>
              <w:t>Lower fashion-edge; risks reading as publishing/literary rather than fashion.</w:t>
            </w:r>
          </w:p>
        </w:tc>
      </w:tr>
      <w:tr>
        <w:tc>
          <w:tcPr>
            <w:tcW w:type="dxa" w:w="2448"/>
          </w:tcPr>
          <w:p>
            <w:r/>
            <w:r>
              <w:rPr>
                <w:rFonts w:ascii="Calibri" w:hAnsi="Calibri"/>
                <w:b/>
                <w:color w:val="2C1A10"/>
                <w:sz w:val="17"/>
              </w:rPr>
              <w:t>The Cartouche</w:t>
            </w:r>
          </w:p>
        </w:tc>
        <w:tc>
          <w:tcPr>
            <w:tcW w:type="dxa" w:w="504"/>
          </w:tcPr>
          <w:p>
            <w:pPr>
              <w:jc w:val="center"/>
            </w:pPr>
            <w:r/>
            <w:r>
              <w:rPr>
                <w:rFonts w:ascii="Calibri" w:hAnsi="Calibri"/>
                <w:b w:val="0"/>
                <w:color w:val="232323"/>
                <w:sz w:val="17"/>
              </w:rPr>
              <w:t>7</w:t>
            </w:r>
          </w:p>
        </w:tc>
        <w:tc>
          <w:tcPr>
            <w:tcW w:type="dxa" w:w="504"/>
          </w:tcPr>
          <w:p>
            <w:pPr>
              <w:jc w:val="center"/>
            </w:pPr>
            <w:r/>
            <w:r>
              <w:rPr>
                <w:rFonts w:ascii="Calibri" w:hAnsi="Calibri"/>
                <w:b w:val="0"/>
                <w:color w:val="232323"/>
                <w:sz w:val="17"/>
              </w:rPr>
              <w:t>7</w:t>
            </w:r>
          </w:p>
        </w:tc>
        <w:tc>
          <w:tcPr>
            <w:tcW w:type="dxa" w:w="504"/>
          </w:tcPr>
          <w:p>
            <w:pPr>
              <w:jc w:val="center"/>
            </w:pPr>
            <w:r/>
            <w:r>
              <w:rPr>
                <w:rFonts w:ascii="Calibri" w:hAnsi="Calibri"/>
                <w:b w:val="0"/>
                <w:color w:val="232323"/>
                <w:sz w:val="17"/>
              </w:rPr>
              <w:t>7</w:t>
            </w:r>
          </w:p>
        </w:tc>
        <w:tc>
          <w:tcPr>
            <w:tcW w:type="dxa" w:w="504"/>
          </w:tcPr>
          <w:p>
            <w:pPr>
              <w:jc w:val="center"/>
            </w:pPr>
            <w:r/>
            <w:r>
              <w:rPr>
                <w:rFonts w:ascii="Calibri" w:hAnsi="Calibri"/>
                <w:b w:val="0"/>
                <w:color w:val="232323"/>
                <w:sz w:val="17"/>
              </w:rPr>
              <w:t>7</w:t>
            </w:r>
          </w:p>
        </w:tc>
        <w:tc>
          <w:tcPr>
            <w:tcW w:type="dxa" w:w="792"/>
          </w:tcPr>
          <w:p>
            <w:pPr>
              <w:jc w:val="center"/>
            </w:pPr>
            <w:r/>
            <w:r>
              <w:rPr>
                <w:rFonts w:ascii="Calibri" w:hAnsi="Calibri"/>
                <w:b/>
                <w:color w:val="2C1A10"/>
                <w:sz w:val="18"/>
              </w:rPr>
              <w:t>28</w:t>
            </w:r>
          </w:p>
        </w:tc>
        <w:tc>
          <w:tcPr>
            <w:tcW w:type="dxa" w:w="3888"/>
          </w:tcPr>
          <w:p>
            <w:r/>
            <w:r>
              <w:rPr>
                <w:rFonts w:ascii="Calibri" w:hAnsi="Calibri"/>
                <w:b w:val="0"/>
                <w:color w:val="232323"/>
                <w:sz w:val="15"/>
              </w:rPr>
              <w:t>Framed marks scale poorly and feel old-world; can read as a soap or spirits label.</w:t>
            </w:r>
          </w:p>
        </w:tc>
      </w:tr>
      <w:tr>
        <w:tc>
          <w:tcPr>
            <w:tcW w:type="dxa" w:w="2448"/>
          </w:tcPr>
          <w:p>
            <w:r/>
            <w:r>
              <w:rPr>
                <w:rFonts w:ascii="Calibri" w:hAnsi="Calibri"/>
                <w:b/>
                <w:color w:val="2C1A10"/>
                <w:sz w:val="17"/>
              </w:rPr>
              <w:t>The Tail</w:t>
            </w:r>
          </w:p>
        </w:tc>
        <w:tc>
          <w:tcPr>
            <w:tcW w:type="dxa" w:w="504"/>
          </w:tcPr>
          <w:p>
            <w:pPr>
              <w:jc w:val="center"/>
            </w:pPr>
            <w:r/>
            <w:r>
              <w:rPr>
                <w:rFonts w:ascii="Calibri" w:hAnsi="Calibri"/>
                <w:b w:val="0"/>
                <w:color w:val="232323"/>
                <w:sz w:val="17"/>
              </w:rPr>
              <w:t>7</w:t>
            </w:r>
          </w:p>
        </w:tc>
        <w:tc>
          <w:tcPr>
            <w:tcW w:type="dxa" w:w="504"/>
          </w:tcPr>
          <w:p>
            <w:pPr>
              <w:jc w:val="center"/>
            </w:pPr>
            <w:r/>
            <w:r>
              <w:rPr>
                <w:rFonts w:ascii="Calibri" w:hAnsi="Calibri"/>
                <w:b w:val="0"/>
                <w:color w:val="232323"/>
                <w:sz w:val="17"/>
              </w:rPr>
              <w:t>7</w:t>
            </w:r>
          </w:p>
        </w:tc>
        <w:tc>
          <w:tcPr>
            <w:tcW w:type="dxa" w:w="504"/>
          </w:tcPr>
          <w:p>
            <w:pPr>
              <w:jc w:val="center"/>
            </w:pPr>
            <w:r/>
            <w:r>
              <w:rPr>
                <w:rFonts w:ascii="Calibri" w:hAnsi="Calibri"/>
                <w:b w:val="0"/>
                <w:color w:val="232323"/>
                <w:sz w:val="17"/>
              </w:rPr>
              <w:t>6</w:t>
            </w:r>
          </w:p>
        </w:tc>
        <w:tc>
          <w:tcPr>
            <w:tcW w:type="dxa" w:w="504"/>
          </w:tcPr>
          <w:p>
            <w:pPr>
              <w:jc w:val="center"/>
            </w:pPr>
            <w:r/>
            <w:r>
              <w:rPr>
                <w:rFonts w:ascii="Calibri" w:hAnsi="Calibri"/>
                <w:b w:val="0"/>
                <w:color w:val="232323"/>
                <w:sz w:val="17"/>
              </w:rPr>
              <w:t>7</w:t>
            </w:r>
          </w:p>
        </w:tc>
        <w:tc>
          <w:tcPr>
            <w:tcW w:type="dxa" w:w="792"/>
          </w:tcPr>
          <w:p>
            <w:pPr>
              <w:jc w:val="center"/>
            </w:pPr>
            <w:r/>
            <w:r>
              <w:rPr>
                <w:rFonts w:ascii="Calibri" w:hAnsi="Calibri"/>
                <w:b/>
                <w:color w:val="2C1A10"/>
                <w:sz w:val="18"/>
              </w:rPr>
              <w:t>27</w:t>
            </w:r>
          </w:p>
        </w:tc>
        <w:tc>
          <w:tcPr>
            <w:tcW w:type="dxa" w:w="3888"/>
          </w:tcPr>
          <w:p>
            <w:r/>
            <w:r>
              <w:rPr>
                <w:rFonts w:ascii="Calibri" w:hAnsi="Calibri"/>
                <w:b w:val="0"/>
                <w:color w:val="232323"/>
                <w:sz w:val="15"/>
              </w:rPr>
              <w:t>Flourishes trend and date; can look boutique-y; weak at tiny sizes.</w:t>
            </w:r>
          </w:p>
        </w:tc>
      </w:tr>
      <w:tr>
        <w:tc>
          <w:tcPr>
            <w:tcW w:type="dxa" w:w="2448"/>
          </w:tcPr>
          <w:p>
            <w:r/>
            <w:r>
              <w:rPr>
                <w:rFonts w:ascii="Calibri" w:hAnsi="Calibri"/>
                <w:b/>
                <w:color w:val="2C1A10"/>
                <w:sz w:val="17"/>
              </w:rPr>
              <w:t>Negative-Space Embrace (M)</w:t>
            </w:r>
          </w:p>
        </w:tc>
        <w:tc>
          <w:tcPr>
            <w:tcW w:type="dxa" w:w="504"/>
          </w:tcPr>
          <w:p>
            <w:pPr>
              <w:jc w:val="center"/>
            </w:pPr>
            <w:r/>
            <w:r>
              <w:rPr>
                <w:rFonts w:ascii="Calibri" w:hAnsi="Calibri"/>
                <w:b w:val="0"/>
                <w:color w:val="232323"/>
                <w:sz w:val="17"/>
              </w:rPr>
              <w:t>7</w:t>
            </w:r>
          </w:p>
        </w:tc>
        <w:tc>
          <w:tcPr>
            <w:tcW w:type="dxa" w:w="504"/>
          </w:tcPr>
          <w:p>
            <w:pPr>
              <w:jc w:val="center"/>
            </w:pPr>
            <w:r/>
            <w:r>
              <w:rPr>
                <w:rFonts w:ascii="Calibri" w:hAnsi="Calibri"/>
                <w:b w:val="0"/>
                <w:color w:val="232323"/>
                <w:sz w:val="17"/>
              </w:rPr>
              <w:t>7</w:t>
            </w:r>
          </w:p>
        </w:tc>
        <w:tc>
          <w:tcPr>
            <w:tcW w:type="dxa" w:w="504"/>
          </w:tcPr>
          <w:p>
            <w:pPr>
              <w:jc w:val="center"/>
            </w:pPr>
            <w:r/>
            <w:r>
              <w:rPr>
                <w:rFonts w:ascii="Calibri" w:hAnsi="Calibri"/>
                <w:b w:val="0"/>
                <w:color w:val="232323"/>
                <w:sz w:val="17"/>
              </w:rPr>
              <w:t>6</w:t>
            </w:r>
          </w:p>
        </w:tc>
        <w:tc>
          <w:tcPr>
            <w:tcW w:type="dxa" w:w="504"/>
          </w:tcPr>
          <w:p>
            <w:pPr>
              <w:jc w:val="center"/>
            </w:pPr>
            <w:r/>
            <w:r>
              <w:rPr>
                <w:rFonts w:ascii="Calibri" w:hAnsi="Calibri"/>
                <w:b w:val="0"/>
                <w:color w:val="232323"/>
                <w:sz w:val="17"/>
              </w:rPr>
              <w:t>7</w:t>
            </w:r>
          </w:p>
        </w:tc>
        <w:tc>
          <w:tcPr>
            <w:tcW w:type="dxa" w:w="792"/>
          </w:tcPr>
          <w:p>
            <w:pPr>
              <w:jc w:val="center"/>
            </w:pPr>
            <w:r/>
            <w:r>
              <w:rPr>
                <w:rFonts w:ascii="Calibri" w:hAnsi="Calibri"/>
                <w:b/>
                <w:color w:val="2C1A10"/>
                <w:sz w:val="18"/>
              </w:rPr>
              <w:t>27</w:t>
            </w:r>
          </w:p>
        </w:tc>
        <w:tc>
          <w:tcPr>
            <w:tcW w:type="dxa" w:w="3888"/>
          </w:tcPr>
          <w:p>
            <w:r/>
            <w:r>
              <w:rPr>
                <w:rFonts w:ascii="Calibri" w:hAnsi="Calibri"/>
                <w:b w:val="0"/>
                <w:color w:val="232323"/>
                <w:sz w:val="15"/>
              </w:rPr>
              <w:t>Cleverness risk; can look forced and breaks down small.</w:t>
            </w:r>
          </w:p>
        </w:tc>
      </w:tr>
      <w:tr>
        <w:tc>
          <w:tcPr>
            <w:tcW w:type="dxa" w:w="2448"/>
          </w:tcPr>
          <w:p>
            <w:r/>
            <w:r>
              <w:rPr>
                <w:rFonts w:ascii="Calibri" w:hAnsi="Calibri"/>
                <w:b/>
                <w:color w:val="2C1A10"/>
                <w:sz w:val="17"/>
              </w:rPr>
              <w:t>The Bracket Frame</w:t>
            </w:r>
          </w:p>
        </w:tc>
        <w:tc>
          <w:tcPr>
            <w:tcW w:type="dxa" w:w="504"/>
          </w:tcPr>
          <w:p>
            <w:pPr>
              <w:jc w:val="center"/>
            </w:pPr>
            <w:r/>
            <w:r>
              <w:rPr>
                <w:rFonts w:ascii="Calibri" w:hAnsi="Calibri"/>
                <w:b w:val="0"/>
                <w:color w:val="232323"/>
                <w:sz w:val="17"/>
              </w:rPr>
              <w:t>6</w:t>
            </w:r>
          </w:p>
        </w:tc>
        <w:tc>
          <w:tcPr>
            <w:tcW w:type="dxa" w:w="504"/>
          </w:tcPr>
          <w:p>
            <w:pPr>
              <w:jc w:val="center"/>
            </w:pPr>
            <w:r/>
            <w:r>
              <w:rPr>
                <w:rFonts w:ascii="Calibri" w:hAnsi="Calibri"/>
                <w:b w:val="0"/>
                <w:color w:val="232323"/>
                <w:sz w:val="17"/>
              </w:rPr>
              <w:t>7</w:t>
            </w:r>
          </w:p>
        </w:tc>
        <w:tc>
          <w:tcPr>
            <w:tcW w:type="dxa" w:w="504"/>
          </w:tcPr>
          <w:p>
            <w:pPr>
              <w:jc w:val="center"/>
            </w:pPr>
            <w:r/>
            <w:r>
              <w:rPr>
                <w:rFonts w:ascii="Calibri" w:hAnsi="Calibri"/>
                <w:b w:val="0"/>
                <w:color w:val="232323"/>
                <w:sz w:val="17"/>
              </w:rPr>
              <w:t>7</w:t>
            </w:r>
          </w:p>
        </w:tc>
        <w:tc>
          <w:tcPr>
            <w:tcW w:type="dxa" w:w="504"/>
          </w:tcPr>
          <w:p>
            <w:pPr>
              <w:jc w:val="center"/>
            </w:pPr>
            <w:r/>
            <w:r>
              <w:rPr>
                <w:rFonts w:ascii="Calibri" w:hAnsi="Calibri"/>
                <w:b w:val="0"/>
                <w:color w:val="232323"/>
                <w:sz w:val="17"/>
              </w:rPr>
              <w:t>7</w:t>
            </w:r>
          </w:p>
        </w:tc>
        <w:tc>
          <w:tcPr>
            <w:tcW w:type="dxa" w:w="792"/>
          </w:tcPr>
          <w:p>
            <w:pPr>
              <w:jc w:val="center"/>
            </w:pPr>
            <w:r/>
            <w:r>
              <w:rPr>
                <w:rFonts w:ascii="Calibri" w:hAnsi="Calibri"/>
                <w:b/>
                <w:color w:val="2C1A10"/>
                <w:sz w:val="18"/>
              </w:rPr>
              <w:t>27</w:t>
            </w:r>
          </w:p>
        </w:tc>
        <w:tc>
          <w:tcPr>
            <w:tcW w:type="dxa" w:w="3888"/>
          </w:tcPr>
          <w:p>
            <w:r/>
            <w:r>
              <w:rPr>
                <w:rFonts w:ascii="Calibri" w:hAnsi="Calibri"/>
                <w:b w:val="0"/>
                <w:color w:val="232323"/>
                <w:sz w:val="15"/>
              </w:rPr>
              <w:t>Brackets can read as code/tech and clutter the wordmark.</w:t>
            </w:r>
          </w:p>
        </w:tc>
      </w:tr>
      <w:tr>
        <w:tc>
          <w:tcPr>
            <w:tcW w:type="dxa" w:w="2448"/>
          </w:tcPr>
          <w:p>
            <w:r/>
            <w:r>
              <w:rPr>
                <w:rFonts w:ascii="Calibri" w:hAnsi="Calibri"/>
                <w:b/>
                <w:color w:val="2C1A10"/>
                <w:sz w:val="17"/>
              </w:rPr>
              <w:t>HM Interlock</w:t>
            </w:r>
          </w:p>
        </w:tc>
        <w:tc>
          <w:tcPr>
            <w:tcW w:type="dxa" w:w="504"/>
          </w:tcPr>
          <w:p>
            <w:pPr>
              <w:jc w:val="center"/>
            </w:pPr>
            <w:r/>
            <w:r>
              <w:rPr>
                <w:rFonts w:ascii="Calibri" w:hAnsi="Calibri"/>
                <w:b w:val="0"/>
                <w:color w:val="232323"/>
                <w:sz w:val="17"/>
              </w:rPr>
              <w:t>7</w:t>
            </w:r>
          </w:p>
        </w:tc>
        <w:tc>
          <w:tcPr>
            <w:tcW w:type="dxa" w:w="504"/>
          </w:tcPr>
          <w:p>
            <w:pPr>
              <w:jc w:val="center"/>
            </w:pPr>
            <w:r/>
            <w:r>
              <w:rPr>
                <w:rFonts w:ascii="Calibri" w:hAnsi="Calibri"/>
                <w:b w:val="0"/>
                <w:color w:val="232323"/>
                <w:sz w:val="17"/>
              </w:rPr>
              <w:t>6</w:t>
            </w:r>
          </w:p>
        </w:tc>
        <w:tc>
          <w:tcPr>
            <w:tcW w:type="dxa" w:w="504"/>
          </w:tcPr>
          <w:p>
            <w:pPr>
              <w:jc w:val="center"/>
            </w:pPr>
            <w:r/>
            <w:r>
              <w:rPr>
                <w:rFonts w:ascii="Calibri" w:hAnsi="Calibri"/>
                <w:b w:val="0"/>
                <w:color w:val="232323"/>
                <w:sz w:val="17"/>
              </w:rPr>
              <w:t>8</w:t>
            </w:r>
          </w:p>
        </w:tc>
        <w:tc>
          <w:tcPr>
            <w:tcW w:type="dxa" w:w="504"/>
          </w:tcPr>
          <w:p>
            <w:pPr>
              <w:jc w:val="center"/>
            </w:pPr>
            <w:r/>
            <w:r>
              <w:rPr>
                <w:rFonts w:ascii="Calibri" w:hAnsi="Calibri"/>
                <w:b w:val="0"/>
                <w:color w:val="232323"/>
                <w:sz w:val="17"/>
              </w:rPr>
              <w:t>6</w:t>
            </w:r>
          </w:p>
        </w:tc>
        <w:tc>
          <w:tcPr>
            <w:tcW w:type="dxa" w:w="792"/>
          </w:tcPr>
          <w:p>
            <w:pPr>
              <w:jc w:val="center"/>
            </w:pPr>
            <w:r/>
            <w:r>
              <w:rPr>
                <w:rFonts w:ascii="Calibri" w:hAnsi="Calibri"/>
                <w:b/>
                <w:color w:val="2C1A10"/>
                <w:sz w:val="18"/>
              </w:rPr>
              <w:t>27</w:t>
            </w:r>
          </w:p>
        </w:tc>
        <w:tc>
          <w:tcPr>
            <w:tcW w:type="dxa" w:w="3888"/>
          </w:tcPr>
          <w:p>
            <w:r/>
            <w:r>
              <w:rPr>
                <w:rFonts w:ascii="Calibri" w:hAnsi="Calibri"/>
                <w:b w:val="0"/>
                <w:color w:val="232323"/>
                <w:sz w:val="15"/>
              </w:rPr>
              <w:t>Monogram territory is crowded and can feel derivative; weaker for a one-word brand.</w:t>
            </w:r>
          </w:p>
        </w:tc>
      </w:tr>
      <w:tr>
        <w:tc>
          <w:tcPr>
            <w:tcW w:type="dxa" w:w="2448"/>
          </w:tcPr>
          <w:p>
            <w:r/>
            <w:r>
              <w:rPr>
                <w:rFonts w:ascii="Calibri" w:hAnsi="Calibri"/>
                <w:b/>
                <w:color w:val="2C1A10"/>
                <w:sz w:val="17"/>
              </w:rPr>
              <w:t>The Confidence Underline</w:t>
            </w:r>
          </w:p>
        </w:tc>
        <w:tc>
          <w:tcPr>
            <w:tcW w:type="dxa" w:w="504"/>
          </w:tcPr>
          <w:p>
            <w:pPr>
              <w:jc w:val="center"/>
            </w:pPr>
            <w:r/>
            <w:r>
              <w:rPr>
                <w:rFonts w:ascii="Calibri" w:hAnsi="Calibri"/>
                <w:b w:val="0"/>
                <w:color w:val="232323"/>
                <w:sz w:val="17"/>
              </w:rPr>
              <w:t>7</w:t>
            </w:r>
          </w:p>
        </w:tc>
        <w:tc>
          <w:tcPr>
            <w:tcW w:type="dxa" w:w="504"/>
          </w:tcPr>
          <w:p>
            <w:pPr>
              <w:jc w:val="center"/>
            </w:pPr>
            <w:r/>
            <w:r>
              <w:rPr>
                <w:rFonts w:ascii="Calibri" w:hAnsi="Calibri"/>
                <w:b w:val="0"/>
                <w:color w:val="232323"/>
                <w:sz w:val="17"/>
              </w:rPr>
              <w:t>6</w:t>
            </w:r>
          </w:p>
        </w:tc>
        <w:tc>
          <w:tcPr>
            <w:tcW w:type="dxa" w:w="504"/>
          </w:tcPr>
          <w:p>
            <w:pPr>
              <w:jc w:val="center"/>
            </w:pPr>
            <w:r/>
            <w:r>
              <w:rPr>
                <w:rFonts w:ascii="Calibri" w:hAnsi="Calibri"/>
                <w:b w:val="0"/>
                <w:color w:val="232323"/>
                <w:sz w:val="17"/>
              </w:rPr>
              <w:t>8</w:t>
            </w:r>
          </w:p>
        </w:tc>
        <w:tc>
          <w:tcPr>
            <w:tcW w:type="dxa" w:w="504"/>
          </w:tcPr>
          <w:p>
            <w:pPr>
              <w:jc w:val="center"/>
            </w:pPr>
            <w:r/>
            <w:r>
              <w:rPr>
                <w:rFonts w:ascii="Calibri" w:hAnsi="Calibri"/>
                <w:b w:val="0"/>
                <w:color w:val="232323"/>
                <w:sz w:val="17"/>
              </w:rPr>
              <w:t>6</w:t>
            </w:r>
          </w:p>
        </w:tc>
        <w:tc>
          <w:tcPr>
            <w:tcW w:type="dxa" w:w="792"/>
          </w:tcPr>
          <w:p>
            <w:pPr>
              <w:jc w:val="center"/>
            </w:pPr>
            <w:r/>
            <w:r>
              <w:rPr>
                <w:rFonts w:ascii="Calibri" w:hAnsi="Calibri"/>
                <w:b/>
                <w:color w:val="2C1A10"/>
                <w:sz w:val="18"/>
              </w:rPr>
              <w:t>27</w:t>
            </w:r>
          </w:p>
        </w:tc>
        <w:tc>
          <w:tcPr>
            <w:tcW w:type="dxa" w:w="3888"/>
          </w:tcPr>
          <w:p>
            <w:r/>
            <w:r>
              <w:rPr>
                <w:rFonts w:ascii="Calibri" w:hAnsi="Calibri"/>
                <w:b w:val="0"/>
                <w:color w:val="232323"/>
                <w:sz w:val="15"/>
              </w:rPr>
              <w:t>Underlines are common; low distinctiveness on their own.</w:t>
            </w:r>
          </w:p>
        </w:tc>
      </w:tr>
      <w:tr>
        <w:tc>
          <w:tcPr>
            <w:tcW w:type="dxa" w:w="2448"/>
          </w:tcPr>
          <w:p>
            <w:r/>
            <w:r>
              <w:rPr>
                <w:rFonts w:ascii="Calibri" w:hAnsi="Calibri"/>
                <w:b/>
                <w:color w:val="2C1A10"/>
                <w:sz w:val="17"/>
              </w:rPr>
              <w:t>Maison Lockup</w:t>
            </w:r>
          </w:p>
        </w:tc>
        <w:tc>
          <w:tcPr>
            <w:tcW w:type="dxa" w:w="504"/>
          </w:tcPr>
          <w:p>
            <w:pPr>
              <w:jc w:val="center"/>
            </w:pPr>
            <w:r/>
            <w:r>
              <w:rPr>
                <w:rFonts w:ascii="Calibri" w:hAnsi="Calibri"/>
                <w:b w:val="0"/>
                <w:color w:val="232323"/>
                <w:sz w:val="17"/>
              </w:rPr>
              <w:t>7</w:t>
            </w:r>
          </w:p>
        </w:tc>
        <w:tc>
          <w:tcPr>
            <w:tcW w:type="dxa" w:w="504"/>
          </w:tcPr>
          <w:p>
            <w:pPr>
              <w:jc w:val="center"/>
            </w:pPr>
            <w:r/>
            <w:r>
              <w:rPr>
                <w:rFonts w:ascii="Calibri" w:hAnsi="Calibri"/>
                <w:b w:val="0"/>
                <w:color w:val="232323"/>
                <w:sz w:val="17"/>
              </w:rPr>
              <w:t>6</w:t>
            </w:r>
          </w:p>
        </w:tc>
        <w:tc>
          <w:tcPr>
            <w:tcW w:type="dxa" w:w="504"/>
          </w:tcPr>
          <w:p>
            <w:pPr>
              <w:jc w:val="center"/>
            </w:pPr>
            <w:r/>
            <w:r>
              <w:rPr>
                <w:rFonts w:ascii="Calibri" w:hAnsi="Calibri"/>
                <w:b w:val="0"/>
                <w:color w:val="232323"/>
                <w:sz w:val="17"/>
              </w:rPr>
              <w:t>8</w:t>
            </w:r>
          </w:p>
        </w:tc>
        <w:tc>
          <w:tcPr>
            <w:tcW w:type="dxa" w:w="504"/>
          </w:tcPr>
          <w:p>
            <w:pPr>
              <w:jc w:val="center"/>
            </w:pPr>
            <w:r/>
            <w:r>
              <w:rPr>
                <w:rFonts w:ascii="Calibri" w:hAnsi="Calibri"/>
                <w:b w:val="0"/>
                <w:color w:val="232323"/>
                <w:sz w:val="17"/>
              </w:rPr>
              <w:t>6</w:t>
            </w:r>
          </w:p>
        </w:tc>
        <w:tc>
          <w:tcPr>
            <w:tcW w:type="dxa" w:w="792"/>
          </w:tcPr>
          <w:p>
            <w:pPr>
              <w:jc w:val="center"/>
            </w:pPr>
            <w:r/>
            <w:r>
              <w:rPr>
                <w:rFonts w:ascii="Calibri" w:hAnsi="Calibri"/>
                <w:b/>
                <w:color w:val="2C1A10"/>
                <w:sz w:val="18"/>
              </w:rPr>
              <w:t>27</w:t>
            </w:r>
          </w:p>
        </w:tc>
        <w:tc>
          <w:tcPr>
            <w:tcW w:type="dxa" w:w="3888"/>
          </w:tcPr>
          <w:p>
            <w:r/>
            <w:r>
              <w:rPr>
                <w:rFonts w:ascii="Calibri" w:hAnsi="Calibri"/>
                <w:b w:val="0"/>
                <w:color w:val="232323"/>
                <w:sz w:val="15"/>
              </w:rPr>
              <w:t>Descriptor crutch; the brand should earn ‘maison’ status, not assert it early.</w:t>
            </w:r>
          </w:p>
        </w:tc>
      </w:tr>
      <w:tr>
        <w:tc>
          <w:tcPr>
            <w:tcW w:type="dxa" w:w="2448"/>
          </w:tcPr>
          <w:p>
            <w:r/>
            <w:r>
              <w:rPr>
                <w:rFonts w:ascii="Calibri" w:hAnsi="Calibri"/>
                <w:b/>
                <w:color w:val="2C1A10"/>
                <w:sz w:val="17"/>
              </w:rPr>
              <w:t>Arabic–Latin Dyad</w:t>
            </w:r>
          </w:p>
        </w:tc>
        <w:tc>
          <w:tcPr>
            <w:tcW w:type="dxa" w:w="504"/>
          </w:tcPr>
          <w:p>
            <w:pPr>
              <w:jc w:val="center"/>
            </w:pPr>
            <w:r/>
            <w:r>
              <w:rPr>
                <w:rFonts w:ascii="Calibri" w:hAnsi="Calibri"/>
                <w:b w:val="0"/>
                <w:color w:val="232323"/>
                <w:sz w:val="17"/>
              </w:rPr>
              <w:t>6</w:t>
            </w:r>
          </w:p>
        </w:tc>
        <w:tc>
          <w:tcPr>
            <w:tcW w:type="dxa" w:w="504"/>
          </w:tcPr>
          <w:p>
            <w:pPr>
              <w:jc w:val="center"/>
            </w:pPr>
            <w:r/>
            <w:r>
              <w:rPr>
                <w:rFonts w:ascii="Calibri" w:hAnsi="Calibri"/>
                <w:b w:val="0"/>
                <w:color w:val="232323"/>
                <w:sz w:val="17"/>
              </w:rPr>
              <w:t>7</w:t>
            </w:r>
          </w:p>
        </w:tc>
        <w:tc>
          <w:tcPr>
            <w:tcW w:type="dxa" w:w="504"/>
          </w:tcPr>
          <w:p>
            <w:pPr>
              <w:jc w:val="center"/>
            </w:pPr>
            <w:r/>
            <w:r>
              <w:rPr>
                <w:rFonts w:ascii="Calibri" w:hAnsi="Calibri"/>
                <w:b w:val="0"/>
                <w:color w:val="232323"/>
                <w:sz w:val="17"/>
              </w:rPr>
              <w:t>6</w:t>
            </w:r>
          </w:p>
        </w:tc>
        <w:tc>
          <w:tcPr>
            <w:tcW w:type="dxa" w:w="504"/>
          </w:tcPr>
          <w:p>
            <w:pPr>
              <w:jc w:val="center"/>
            </w:pPr>
            <w:r/>
            <w:r>
              <w:rPr>
                <w:rFonts w:ascii="Calibri" w:hAnsi="Calibri"/>
                <w:b w:val="0"/>
                <w:color w:val="232323"/>
                <w:sz w:val="17"/>
              </w:rPr>
              <w:t>7</w:t>
            </w:r>
          </w:p>
        </w:tc>
        <w:tc>
          <w:tcPr>
            <w:tcW w:type="dxa" w:w="792"/>
          </w:tcPr>
          <w:p>
            <w:pPr>
              <w:jc w:val="center"/>
            </w:pPr>
            <w:r/>
            <w:r>
              <w:rPr>
                <w:rFonts w:ascii="Calibri" w:hAnsi="Calibri"/>
                <w:b/>
                <w:color w:val="2C1A10"/>
                <w:sz w:val="18"/>
              </w:rPr>
              <w:t>26</w:t>
            </w:r>
          </w:p>
        </w:tc>
        <w:tc>
          <w:tcPr>
            <w:tcW w:type="dxa" w:w="3888"/>
          </w:tcPr>
          <w:p>
            <w:r/>
            <w:r>
              <w:rPr>
                <w:rFonts w:ascii="Calibri" w:hAnsi="Calibri"/>
                <w:b w:val="0"/>
                <w:color w:val="232323"/>
                <w:sz w:val="15"/>
              </w:rPr>
              <w:t>Pulls toward religious/regional read and against the globally-portable, non-religious brief; harder to scale into beauty/home/RTW.</w:t>
            </w:r>
          </w:p>
        </w:tc>
      </w:tr>
      <w:tr>
        <w:tc>
          <w:tcPr>
            <w:tcW w:type="dxa" w:w="2448"/>
          </w:tcPr>
          <w:p>
            <w:r/>
            <w:r>
              <w:rPr>
                <w:rFonts w:ascii="Calibri" w:hAnsi="Calibri"/>
                <w:b/>
                <w:color w:val="2C1A10"/>
                <w:sz w:val="17"/>
              </w:rPr>
              <w:t>Humanist Lowercase</w:t>
            </w:r>
          </w:p>
        </w:tc>
        <w:tc>
          <w:tcPr>
            <w:tcW w:type="dxa" w:w="504"/>
          </w:tcPr>
          <w:p>
            <w:pPr>
              <w:jc w:val="center"/>
            </w:pPr>
            <w:r/>
            <w:r>
              <w:rPr>
                <w:rFonts w:ascii="Calibri" w:hAnsi="Calibri"/>
                <w:b w:val="0"/>
                <w:color w:val="232323"/>
                <w:sz w:val="17"/>
              </w:rPr>
              <w:t>6</w:t>
            </w:r>
          </w:p>
        </w:tc>
        <w:tc>
          <w:tcPr>
            <w:tcW w:type="dxa" w:w="504"/>
          </w:tcPr>
          <w:p>
            <w:pPr>
              <w:jc w:val="center"/>
            </w:pPr>
            <w:r/>
            <w:r>
              <w:rPr>
                <w:rFonts w:ascii="Calibri" w:hAnsi="Calibri"/>
                <w:b w:val="0"/>
                <w:color w:val="232323"/>
                <w:sz w:val="17"/>
              </w:rPr>
              <w:t>6</w:t>
            </w:r>
          </w:p>
        </w:tc>
        <w:tc>
          <w:tcPr>
            <w:tcW w:type="dxa" w:w="504"/>
          </w:tcPr>
          <w:p>
            <w:pPr>
              <w:jc w:val="center"/>
            </w:pPr>
            <w:r/>
            <w:r>
              <w:rPr>
                <w:rFonts w:ascii="Calibri" w:hAnsi="Calibri"/>
                <w:b w:val="0"/>
                <w:color w:val="232323"/>
                <w:sz w:val="17"/>
              </w:rPr>
              <w:t>7</w:t>
            </w:r>
          </w:p>
        </w:tc>
        <w:tc>
          <w:tcPr>
            <w:tcW w:type="dxa" w:w="504"/>
          </w:tcPr>
          <w:p>
            <w:pPr>
              <w:jc w:val="center"/>
            </w:pPr>
            <w:r/>
            <w:r>
              <w:rPr>
                <w:rFonts w:ascii="Calibri" w:hAnsi="Calibri"/>
                <w:b w:val="0"/>
                <w:color w:val="232323"/>
                <w:sz w:val="17"/>
              </w:rPr>
              <w:t>6</w:t>
            </w:r>
          </w:p>
        </w:tc>
        <w:tc>
          <w:tcPr>
            <w:tcW w:type="dxa" w:w="792"/>
          </w:tcPr>
          <w:p>
            <w:pPr>
              <w:jc w:val="center"/>
            </w:pPr>
            <w:r/>
            <w:r>
              <w:rPr>
                <w:rFonts w:ascii="Calibri" w:hAnsi="Calibri"/>
                <w:b/>
                <w:color w:val="2C1A10"/>
                <w:sz w:val="18"/>
              </w:rPr>
              <w:t>25</w:t>
            </w:r>
          </w:p>
        </w:tc>
        <w:tc>
          <w:tcPr>
            <w:tcW w:type="dxa" w:w="3888"/>
          </w:tcPr>
          <w:p>
            <w:r/>
            <w:r>
              <w:rPr>
                <w:rFonts w:ascii="Calibri" w:hAnsi="Calibri"/>
                <w:b w:val="0"/>
                <w:color w:val="232323"/>
                <w:sz w:val="15"/>
              </w:rPr>
              <w:t>Lowercase reads contemporary-startup, not luxury house; ages with the tech-brand cycle.</w:t>
            </w:r>
          </w:p>
        </w:tc>
      </w:tr>
      <w:tr>
        <w:tc>
          <w:tcPr>
            <w:tcW w:type="dxa" w:w="2448"/>
          </w:tcPr>
          <w:p>
            <w:r/>
            <w:r>
              <w:rPr>
                <w:rFonts w:ascii="Calibri" w:hAnsi="Calibri"/>
                <w:b/>
                <w:color w:val="2C1A10"/>
                <w:sz w:val="17"/>
              </w:rPr>
              <w:t>Inscriptional Capitals</w:t>
            </w:r>
          </w:p>
        </w:tc>
        <w:tc>
          <w:tcPr>
            <w:tcW w:type="dxa" w:w="504"/>
          </w:tcPr>
          <w:p>
            <w:pPr>
              <w:jc w:val="center"/>
            </w:pPr>
            <w:r/>
            <w:r>
              <w:rPr>
                <w:rFonts w:ascii="Calibri" w:hAnsi="Calibri"/>
                <w:b w:val="0"/>
                <w:color w:val="232323"/>
                <w:sz w:val="17"/>
              </w:rPr>
              <w:t>7</w:t>
            </w:r>
          </w:p>
        </w:tc>
        <w:tc>
          <w:tcPr>
            <w:tcW w:type="dxa" w:w="504"/>
          </w:tcPr>
          <w:p>
            <w:pPr>
              <w:jc w:val="center"/>
            </w:pPr>
            <w:r/>
            <w:r>
              <w:rPr>
                <w:rFonts w:ascii="Calibri" w:hAnsi="Calibri"/>
                <w:b w:val="0"/>
                <w:color w:val="232323"/>
                <w:sz w:val="17"/>
              </w:rPr>
              <w:t>5</w:t>
            </w:r>
          </w:p>
        </w:tc>
        <w:tc>
          <w:tcPr>
            <w:tcW w:type="dxa" w:w="504"/>
          </w:tcPr>
          <w:p>
            <w:pPr>
              <w:jc w:val="center"/>
            </w:pPr>
            <w:r/>
            <w:r>
              <w:rPr>
                <w:rFonts w:ascii="Calibri" w:hAnsi="Calibri"/>
                <w:b w:val="0"/>
                <w:color w:val="232323"/>
                <w:sz w:val="17"/>
              </w:rPr>
              <w:t>8</w:t>
            </w:r>
          </w:p>
        </w:tc>
        <w:tc>
          <w:tcPr>
            <w:tcW w:type="dxa" w:w="504"/>
          </w:tcPr>
          <w:p>
            <w:pPr>
              <w:jc w:val="center"/>
            </w:pPr>
            <w:r/>
            <w:r>
              <w:rPr>
                <w:rFonts w:ascii="Calibri" w:hAnsi="Calibri"/>
                <w:b w:val="0"/>
                <w:color w:val="232323"/>
                <w:sz w:val="17"/>
              </w:rPr>
              <w:t>5</w:t>
            </w:r>
          </w:p>
        </w:tc>
        <w:tc>
          <w:tcPr>
            <w:tcW w:type="dxa" w:w="792"/>
          </w:tcPr>
          <w:p>
            <w:pPr>
              <w:jc w:val="center"/>
            </w:pPr>
            <w:r/>
            <w:r>
              <w:rPr>
                <w:rFonts w:ascii="Calibri" w:hAnsi="Calibri"/>
                <w:b/>
                <w:color w:val="2C1A10"/>
                <w:sz w:val="18"/>
              </w:rPr>
              <w:t>25</w:t>
            </w:r>
          </w:p>
        </w:tc>
        <w:tc>
          <w:tcPr>
            <w:tcW w:type="dxa" w:w="3888"/>
          </w:tcPr>
          <w:p>
            <w:r/>
            <w:r>
              <w:rPr>
                <w:rFonts w:ascii="Calibri" w:hAnsi="Calibri"/>
                <w:b w:val="0"/>
                <w:color w:val="232323"/>
                <w:sz w:val="15"/>
              </w:rPr>
              <w:t>The most over-used luxury default; near-zero ownership.</w:t>
            </w:r>
          </w:p>
        </w:tc>
      </w:tr>
      <w:tr>
        <w:tc>
          <w:tcPr>
            <w:tcW w:type="dxa" w:w="2448"/>
          </w:tcPr>
          <w:p>
            <w:r/>
            <w:r>
              <w:rPr>
                <w:rFonts w:ascii="Calibri" w:hAnsi="Calibri"/>
                <w:b/>
                <w:color w:val="2C1A10"/>
                <w:sz w:val="17"/>
              </w:rPr>
              <w:t>Quiet Sans</w:t>
            </w:r>
          </w:p>
        </w:tc>
        <w:tc>
          <w:tcPr>
            <w:tcW w:type="dxa" w:w="504"/>
          </w:tcPr>
          <w:p>
            <w:pPr>
              <w:jc w:val="center"/>
            </w:pPr>
            <w:r/>
            <w:r>
              <w:rPr>
                <w:rFonts w:ascii="Calibri" w:hAnsi="Calibri"/>
                <w:b w:val="0"/>
                <w:color w:val="232323"/>
                <w:sz w:val="17"/>
              </w:rPr>
              <w:t>6</w:t>
            </w:r>
          </w:p>
        </w:tc>
        <w:tc>
          <w:tcPr>
            <w:tcW w:type="dxa" w:w="504"/>
          </w:tcPr>
          <w:p>
            <w:pPr>
              <w:jc w:val="center"/>
            </w:pPr>
            <w:r/>
            <w:r>
              <w:rPr>
                <w:rFonts w:ascii="Calibri" w:hAnsi="Calibri"/>
                <w:b w:val="0"/>
                <w:color w:val="232323"/>
                <w:sz w:val="17"/>
              </w:rPr>
              <w:t>5</w:t>
            </w:r>
          </w:p>
        </w:tc>
        <w:tc>
          <w:tcPr>
            <w:tcW w:type="dxa" w:w="504"/>
          </w:tcPr>
          <w:p>
            <w:pPr>
              <w:jc w:val="center"/>
            </w:pPr>
            <w:r/>
            <w:r>
              <w:rPr>
                <w:rFonts w:ascii="Calibri" w:hAnsi="Calibri"/>
                <w:b w:val="0"/>
                <w:color w:val="232323"/>
                <w:sz w:val="17"/>
              </w:rPr>
              <w:t>9</w:t>
            </w:r>
          </w:p>
        </w:tc>
        <w:tc>
          <w:tcPr>
            <w:tcW w:type="dxa" w:w="504"/>
          </w:tcPr>
          <w:p>
            <w:pPr>
              <w:jc w:val="center"/>
            </w:pPr>
            <w:r/>
            <w:r>
              <w:rPr>
                <w:rFonts w:ascii="Calibri" w:hAnsi="Calibri"/>
                <w:b w:val="0"/>
                <w:color w:val="232323"/>
                <w:sz w:val="17"/>
              </w:rPr>
              <w:t>5</w:t>
            </w:r>
          </w:p>
        </w:tc>
        <w:tc>
          <w:tcPr>
            <w:tcW w:type="dxa" w:w="792"/>
          </w:tcPr>
          <w:p>
            <w:pPr>
              <w:jc w:val="center"/>
            </w:pPr>
            <w:r/>
            <w:r>
              <w:rPr>
                <w:rFonts w:ascii="Calibri" w:hAnsi="Calibri"/>
                <w:b/>
                <w:color w:val="2C1A10"/>
                <w:sz w:val="18"/>
              </w:rPr>
              <w:t>25</w:t>
            </w:r>
          </w:p>
        </w:tc>
        <w:tc>
          <w:tcPr>
            <w:tcW w:type="dxa" w:w="3888"/>
          </w:tcPr>
          <w:p>
            <w:r/>
            <w:r>
              <w:rPr>
                <w:rFonts w:ascii="Calibri" w:hAnsi="Calibri"/>
                <w:b w:val="0"/>
                <w:color w:val="232323"/>
                <w:sz w:val="15"/>
              </w:rPr>
              <w:t>Loses HIMA’s warmth/femininity; rides a cycle that will reverse; crowded.</w:t>
            </w:r>
          </w:p>
        </w:tc>
      </w:tr>
      <w:tr>
        <w:tc>
          <w:tcPr>
            <w:tcW w:type="dxa" w:w="2448"/>
          </w:tcPr>
          <w:p>
            <w:r/>
            <w:r>
              <w:rPr>
                <w:rFonts w:ascii="Calibri" w:hAnsi="Calibri"/>
                <w:b/>
                <w:color w:val="2C1A10"/>
                <w:sz w:val="17"/>
              </w:rPr>
              <w:t>Crescent Counter</w:t>
            </w:r>
          </w:p>
        </w:tc>
        <w:tc>
          <w:tcPr>
            <w:tcW w:type="dxa" w:w="504"/>
          </w:tcPr>
          <w:p>
            <w:pPr>
              <w:jc w:val="center"/>
            </w:pPr>
            <w:r/>
            <w:r>
              <w:rPr>
                <w:rFonts w:ascii="Calibri" w:hAnsi="Calibri"/>
                <w:b w:val="0"/>
                <w:color w:val="232323"/>
                <w:sz w:val="17"/>
              </w:rPr>
              <w:t>4</w:t>
            </w:r>
          </w:p>
        </w:tc>
        <w:tc>
          <w:tcPr>
            <w:tcW w:type="dxa" w:w="504"/>
          </w:tcPr>
          <w:p>
            <w:pPr>
              <w:jc w:val="center"/>
            </w:pPr>
            <w:r/>
            <w:r>
              <w:rPr>
                <w:rFonts w:ascii="Calibri" w:hAnsi="Calibri"/>
                <w:b w:val="0"/>
                <w:color w:val="232323"/>
                <w:sz w:val="17"/>
              </w:rPr>
              <w:t>6</w:t>
            </w:r>
          </w:p>
        </w:tc>
        <w:tc>
          <w:tcPr>
            <w:tcW w:type="dxa" w:w="504"/>
          </w:tcPr>
          <w:p>
            <w:pPr>
              <w:jc w:val="center"/>
            </w:pPr>
            <w:r/>
            <w:r>
              <w:rPr>
                <w:rFonts w:ascii="Calibri" w:hAnsi="Calibri"/>
                <w:b w:val="0"/>
                <w:color w:val="232323"/>
                <w:sz w:val="17"/>
              </w:rPr>
              <w:t>6</w:t>
            </w:r>
          </w:p>
        </w:tc>
        <w:tc>
          <w:tcPr>
            <w:tcW w:type="dxa" w:w="504"/>
          </w:tcPr>
          <w:p>
            <w:pPr>
              <w:jc w:val="center"/>
            </w:pPr>
            <w:r/>
            <w:r>
              <w:rPr>
                <w:rFonts w:ascii="Calibri" w:hAnsi="Calibri"/>
                <w:b w:val="0"/>
                <w:color w:val="232323"/>
                <w:sz w:val="17"/>
              </w:rPr>
              <w:t>5</w:t>
            </w:r>
          </w:p>
        </w:tc>
        <w:tc>
          <w:tcPr>
            <w:tcW w:type="dxa" w:w="792"/>
          </w:tcPr>
          <w:p>
            <w:pPr>
              <w:jc w:val="center"/>
            </w:pPr>
            <w:r/>
            <w:r>
              <w:rPr>
                <w:rFonts w:ascii="Calibri" w:hAnsi="Calibri"/>
                <w:b/>
                <w:color w:val="2C1A10"/>
                <w:sz w:val="18"/>
              </w:rPr>
              <w:t>21</w:t>
            </w:r>
          </w:p>
        </w:tc>
        <w:tc>
          <w:tcPr>
            <w:tcW w:type="dxa" w:w="3888"/>
          </w:tcPr>
          <w:p>
            <w:r/>
            <w:r>
              <w:rPr>
                <w:rFonts w:ascii="Calibri" w:hAnsi="Calibri"/>
                <w:b w:val="0"/>
                <w:color w:val="232323"/>
                <w:sz w:val="15"/>
              </w:rPr>
              <w:t>Violates the no-religious-symbol brief even when subtle; risks category-capping.</w:t>
            </w:r>
          </w:p>
        </w:tc>
      </w:tr>
    </w:tbl>
    <w:p>
      <w:pPr>
        <w:spacing w:after="120"/>
      </w:pPr>
      <w:r>
        <w:rPr>
          <w:i w:val="0"/>
          <w:color w:val="232323"/>
          <w:sz w:val="21"/>
        </w:rPr>
      </w:r>
    </w:p>
    <w:p>
      <w:pPr>
        <w:spacing w:after="120"/>
      </w:pPr>
      <w:r>
        <w:rPr>
          <w:i/>
          <w:color w:val="A58F7A"/>
          <w:sz w:val="18"/>
        </w:rPr>
        <w:t>Legend: L Luxury · M Memorability · S Scalability · O Ownership. Highlighted rows are the shortlist (total ≥ 36).</w:t>
      </w:r>
    </w:p>
    <w:p>
      <w:r>
        <w:br w:type="page"/>
      </w:r>
    </w:p>
    <w:p>
      <w:pPr>
        <w:spacing w:before="360" w:after="160"/>
        <w:pBdr>
          <w:bottom w:val="single" w:sz="6" w:space="4" w:color="A58F7A"/>
        </w:pBdr>
      </w:pPr>
      <w:r>
        <w:rPr>
          <w:rFonts w:ascii="Georgia" w:hAnsi="Georgia"/>
          <w:b/>
          <w:color w:val="2C1A10"/>
          <w:sz w:val="36"/>
        </w:rPr>
        <w:t>Concept Detail — Full Rationale</w:t>
      </w:r>
    </w:p>
    <w:p>
      <w:pPr>
        <w:spacing w:before="240" w:after="80"/>
      </w:pPr>
      <w:r>
        <w:rPr>
          <w:rFonts w:ascii="Georgia" w:hAnsi="Georgia"/>
          <w:b/>
          <w:color w:val="2C1A10"/>
          <w:sz w:val="26"/>
        </w:rPr>
        <w:t>01 · The Shelter Line   —  39/40</w:t>
      </w:r>
    </w:p>
    <w:p>
      <w:pPr>
        <w:spacing w:after="40"/>
      </w:pPr>
      <w:r>
        <w:rPr>
          <w:i w:val="0"/>
          <w:color w:val="232323"/>
          <w:sz w:val="21"/>
        </w:rPr>
        <w:t>High-contrast Didone HIMA where the H crossbar extends into a fine horizontal line that shelters the whole word and can detach as a standalone signature device.</w:t>
      </w:r>
    </w:p>
    <w:p>
      <w:pPr>
        <w:spacing w:after="40"/>
      </w:pPr>
      <w:r>
        <w:rPr>
          <w:b/>
          <w:color w:val="A58F7A"/>
          <w:sz w:val="19"/>
        </w:rPr>
        <w:t xml:space="preserve">Strategic rationale  </w:t>
      </w:r>
      <w:r>
        <w:rPr>
          <w:sz w:val="19"/>
        </w:rPr>
        <w:t>Reads as protection and embrace emerging from the type itself; the detachable line becomes an ownable monogram-free signature.</w:t>
      </w:r>
    </w:p>
    <w:p>
      <w:pPr>
        <w:spacing w:after="40"/>
      </w:pPr>
      <w:r>
        <w:rPr>
          <w:b/>
          <w:color w:val="A58F7A"/>
          <w:sz w:val="19"/>
        </w:rPr>
        <w:t xml:space="preserve">Psychological effect  </w:t>
      </w:r>
      <w:r>
        <w:rPr>
          <w:sz w:val="19"/>
        </w:rPr>
        <w:t>Calm authority; a sense of being held. The ‘secret’ is discovered on second viewing.</w:t>
      </w:r>
    </w:p>
    <w:p>
      <w:pPr>
        <w:spacing w:after="40"/>
      </w:pPr>
      <w:r>
        <w:rPr>
          <w:b/>
          <w:color w:val="A58F7A"/>
          <w:sz w:val="19"/>
        </w:rPr>
        <w:t xml:space="preserve">Scores  </w:t>
      </w:r>
      <w:r>
        <w:rPr>
          <w:sz w:val="19"/>
        </w:rPr>
        <w:t>Luxury 10 · Memorability 9 · Scalability 10 · Ownership 10</w:t>
      </w:r>
    </w:p>
    <w:p>
      <w:pPr>
        <w:spacing w:after="160"/>
      </w:pPr>
      <w:r>
        <w:rPr>
          <w:b/>
          <w:color w:val="8B2C1A"/>
          <w:sz w:val="19"/>
        </w:rPr>
        <w:t xml:space="preserve">Risk  </w:t>
      </w:r>
      <w:r>
        <w:rPr>
          <w:sz w:val="19"/>
        </w:rPr>
        <w:t>The crossbar extension must be engineered precisely or it looks like an error at small sizes.</w:t>
      </w:r>
    </w:p>
    <w:p>
      <w:pPr>
        <w:spacing w:before="240" w:after="80"/>
      </w:pPr>
      <w:r>
        <w:rPr>
          <w:rFonts w:ascii="Georgia" w:hAnsi="Georgia"/>
          <w:b/>
          <w:color w:val="2C1A10"/>
          <w:sz w:val="26"/>
        </w:rPr>
        <w:t>05b · Sculpted H Monogram   —  36/40</w:t>
      </w:r>
    </w:p>
    <w:p>
      <w:pPr>
        <w:spacing w:after="40"/>
      </w:pPr>
      <w:r>
        <w:rPr>
          <w:i w:val="0"/>
          <w:color w:val="232323"/>
          <w:sz w:val="21"/>
        </w:rPr>
        <w:t>A single architecturally sculpted H as an icon mark, its crossbar widened into a sheltering lintel — an archway implied, never drawn.</w:t>
      </w:r>
    </w:p>
    <w:p>
      <w:pPr>
        <w:spacing w:after="40"/>
      </w:pPr>
      <w:r>
        <w:rPr>
          <w:b/>
          <w:color w:val="A58F7A"/>
          <w:sz w:val="19"/>
        </w:rPr>
        <w:t xml:space="preserve">Strategic rationale  </w:t>
      </w:r>
      <w:r>
        <w:rPr>
          <w:sz w:val="19"/>
        </w:rPr>
        <w:t>Gives an app/hardware/embroidery icon derived from the wordmark logic.</w:t>
      </w:r>
    </w:p>
    <w:p>
      <w:pPr>
        <w:spacing w:after="40"/>
      </w:pPr>
      <w:r>
        <w:rPr>
          <w:b/>
          <w:color w:val="A58F7A"/>
          <w:sz w:val="19"/>
        </w:rPr>
        <w:t xml:space="preserve">Psychological effect  </w:t>
      </w:r>
      <w:r>
        <w:rPr>
          <w:sz w:val="19"/>
        </w:rPr>
        <w:t>Solidity, threshold, entry into a protected place.</w:t>
      </w:r>
    </w:p>
    <w:p>
      <w:pPr>
        <w:spacing w:after="40"/>
      </w:pPr>
      <w:r>
        <w:rPr>
          <w:b/>
          <w:color w:val="A58F7A"/>
          <w:sz w:val="19"/>
        </w:rPr>
        <w:t xml:space="preserve">Scores  </w:t>
      </w:r>
      <w:r>
        <w:rPr>
          <w:sz w:val="19"/>
        </w:rPr>
        <w:t>Luxury 9 · Memorability 8 · Scalability 10 · Ownership 9</w:t>
      </w:r>
    </w:p>
    <w:p>
      <w:pPr>
        <w:spacing w:after="160"/>
      </w:pPr>
      <w:r>
        <w:rPr>
          <w:b/>
          <w:color w:val="8B2C1A"/>
          <w:sz w:val="19"/>
        </w:rPr>
        <w:t xml:space="preserve">Risk  </w:t>
      </w:r>
      <w:r>
        <w:rPr>
          <w:sz w:val="19"/>
        </w:rPr>
        <w:t>Must avoid literally resembling a doorway/mosque arch.</w:t>
      </w:r>
    </w:p>
    <w:p>
      <w:pPr>
        <w:spacing w:before="240" w:after="80"/>
      </w:pPr>
      <w:r>
        <w:rPr>
          <w:rFonts w:ascii="Georgia" w:hAnsi="Georgia"/>
          <w:b/>
          <w:color w:val="2C1A10"/>
          <w:sz w:val="26"/>
        </w:rPr>
        <w:t>15 · Contemporary Contrast Cut   —  35/40</w:t>
      </w:r>
    </w:p>
    <w:p>
      <w:pPr>
        <w:spacing w:after="40"/>
      </w:pPr>
      <w:r>
        <w:rPr>
          <w:i w:val="0"/>
          <w:color w:val="232323"/>
          <w:sz w:val="21"/>
        </w:rPr>
        <w:t>A modern high-contrast serif with crisp, slightly unexpected thick/thin breaks.</w:t>
      </w:r>
    </w:p>
    <w:p>
      <w:pPr>
        <w:spacing w:after="40"/>
      </w:pPr>
      <w:r>
        <w:rPr>
          <w:b/>
          <w:color w:val="A58F7A"/>
          <w:sz w:val="19"/>
        </w:rPr>
        <w:t xml:space="preserve">Strategic rationale  </w:t>
      </w:r>
      <w:r>
        <w:rPr>
          <w:sz w:val="19"/>
        </w:rPr>
        <w:t>Fashion-forward yet timeless; distinctive without gimmick.</w:t>
      </w:r>
    </w:p>
    <w:p>
      <w:pPr>
        <w:spacing w:after="40"/>
      </w:pPr>
      <w:r>
        <w:rPr>
          <w:b/>
          <w:color w:val="A58F7A"/>
          <w:sz w:val="19"/>
        </w:rPr>
        <w:t xml:space="preserve">Psychological effect  </w:t>
      </w:r>
      <w:r>
        <w:rPr>
          <w:sz w:val="19"/>
        </w:rPr>
        <w:t>Modern confidence.</w:t>
      </w:r>
    </w:p>
    <w:p>
      <w:pPr>
        <w:spacing w:after="40"/>
      </w:pPr>
      <w:r>
        <w:rPr>
          <w:b/>
          <w:color w:val="A58F7A"/>
          <w:sz w:val="19"/>
        </w:rPr>
        <w:t xml:space="preserve">Scores  </w:t>
      </w:r>
      <w:r>
        <w:rPr>
          <w:sz w:val="19"/>
        </w:rPr>
        <w:t>Luxury 9 · Memorability 8 · Scalability 9 · Ownership 9</w:t>
      </w:r>
    </w:p>
    <w:p>
      <w:pPr>
        <w:spacing w:after="160"/>
      </w:pPr>
      <w:r>
        <w:rPr>
          <w:b/>
          <w:color w:val="8B2C1A"/>
          <w:sz w:val="19"/>
        </w:rPr>
        <w:t xml:space="preserve">Risk  </w:t>
      </w:r>
      <w:r>
        <w:rPr>
          <w:sz w:val="19"/>
        </w:rPr>
        <w:t>Requires custom drawing to stay ownable rather than a licensed face.</w:t>
      </w:r>
    </w:p>
    <w:p>
      <w:pPr>
        <w:spacing w:before="240" w:after="80"/>
      </w:pPr>
      <w:r>
        <w:rPr>
          <w:rFonts w:ascii="Georgia" w:hAnsi="Georgia"/>
          <w:b/>
          <w:color w:val="2C1A10"/>
          <w:sz w:val="26"/>
        </w:rPr>
        <w:t>16 · Single-Stroke Embrace Icon   —  34/40</w:t>
      </w:r>
    </w:p>
    <w:p>
      <w:pPr>
        <w:spacing w:after="40"/>
      </w:pPr>
      <w:r>
        <w:rPr>
          <w:i w:val="0"/>
          <w:color w:val="232323"/>
          <w:sz w:val="21"/>
        </w:rPr>
        <w:t>An icon of two verticals joined by one soft curve — an abstract embrace/H.</w:t>
      </w:r>
    </w:p>
    <w:p>
      <w:pPr>
        <w:spacing w:after="40"/>
      </w:pPr>
      <w:r>
        <w:rPr>
          <w:b/>
          <w:color w:val="A58F7A"/>
          <w:sz w:val="19"/>
        </w:rPr>
        <w:t xml:space="preserve">Strategic rationale  </w:t>
      </w:r>
      <w:r>
        <w:rPr>
          <w:sz w:val="19"/>
        </w:rPr>
        <w:t>Pure embrace symbol abstracted from the H.</w:t>
      </w:r>
    </w:p>
    <w:p>
      <w:pPr>
        <w:spacing w:after="40"/>
      </w:pPr>
      <w:r>
        <w:rPr>
          <w:b/>
          <w:color w:val="A58F7A"/>
          <w:sz w:val="19"/>
        </w:rPr>
        <w:t xml:space="preserve">Psychological effect  </w:t>
      </w:r>
      <w:r>
        <w:rPr>
          <w:sz w:val="19"/>
        </w:rPr>
        <w:t>Tenderness, protection.</w:t>
      </w:r>
    </w:p>
    <w:p>
      <w:pPr>
        <w:spacing w:after="40"/>
      </w:pPr>
      <w:r>
        <w:rPr>
          <w:b/>
          <w:color w:val="A58F7A"/>
          <w:sz w:val="19"/>
        </w:rPr>
        <w:t xml:space="preserve">Scores  </w:t>
      </w:r>
      <w:r>
        <w:rPr>
          <w:sz w:val="19"/>
        </w:rPr>
        <w:t>Luxury 8 · Memorability 8 · Scalability 10 · Ownership 8</w:t>
      </w:r>
    </w:p>
    <w:p>
      <w:pPr>
        <w:spacing w:after="160"/>
      </w:pPr>
      <w:r>
        <w:rPr>
          <w:b/>
          <w:color w:val="8B2C1A"/>
          <w:sz w:val="19"/>
        </w:rPr>
        <w:t xml:space="preserve">Risk  </w:t>
      </w:r>
      <w:r>
        <w:rPr>
          <w:sz w:val="19"/>
        </w:rPr>
        <w:t>Could read as a generic app glyph if not tied tightly to the wordmark.</w:t>
      </w:r>
    </w:p>
    <w:p>
      <w:pPr>
        <w:spacing w:before="240" w:after="80"/>
      </w:pPr>
      <w:r>
        <w:rPr>
          <w:rFonts w:ascii="Georgia" w:hAnsi="Georgia"/>
          <w:b/>
          <w:color w:val="2C1A10"/>
          <w:sz w:val="26"/>
        </w:rPr>
        <w:t>02 · Sanctuary Counter   —  33/40</w:t>
      </w:r>
    </w:p>
    <w:p>
      <w:pPr>
        <w:spacing w:after="40"/>
      </w:pPr>
      <w:r>
        <w:rPr>
          <w:i w:val="0"/>
          <w:color w:val="232323"/>
          <w:sz w:val="21"/>
        </w:rPr>
        <w:t>Custom letterforms whose internal counters (the enclosed negative spaces) are exaggerated into soft, sheltering chambers.</w:t>
      </w:r>
    </w:p>
    <w:p>
      <w:pPr>
        <w:spacing w:after="40"/>
      </w:pPr>
      <w:r>
        <w:rPr>
          <w:b/>
          <w:color w:val="A58F7A"/>
          <w:sz w:val="19"/>
        </w:rPr>
        <w:t xml:space="preserve">Strategic rationale  </w:t>
      </w:r>
      <w:r>
        <w:rPr>
          <w:sz w:val="19"/>
        </w:rPr>
        <w:t>Encodes ‘enclosed safe space’ inside the letters without any external symbol.</w:t>
      </w:r>
    </w:p>
    <w:p>
      <w:pPr>
        <w:spacing w:after="40"/>
      </w:pPr>
      <w:r>
        <w:rPr>
          <w:b/>
          <w:color w:val="A58F7A"/>
          <w:sz w:val="19"/>
        </w:rPr>
        <w:t xml:space="preserve">Psychological effect  </w:t>
      </w:r>
      <w:r>
        <w:rPr>
          <w:sz w:val="19"/>
        </w:rPr>
        <w:t>Subliminal warmth; the eye rests inside the letters.</w:t>
      </w:r>
    </w:p>
    <w:p>
      <w:pPr>
        <w:spacing w:after="40"/>
      </w:pPr>
      <w:r>
        <w:rPr>
          <w:b/>
          <w:color w:val="A58F7A"/>
          <w:sz w:val="19"/>
        </w:rPr>
        <w:t xml:space="preserve">Scores  </w:t>
      </w:r>
      <w:r>
        <w:rPr>
          <w:sz w:val="19"/>
        </w:rPr>
        <w:t>Luxury 9 · Memorability 7 · Scalability 8 · Ownership 9</w:t>
      </w:r>
    </w:p>
    <w:p>
      <w:pPr>
        <w:spacing w:after="160"/>
      </w:pPr>
      <w:r>
        <w:rPr>
          <w:b/>
          <w:color w:val="8B2C1A"/>
          <w:sz w:val="19"/>
        </w:rPr>
        <w:t xml:space="preserve">Risk  </w:t>
      </w:r>
      <w:r>
        <w:rPr>
          <w:sz w:val="19"/>
        </w:rPr>
        <w:t>Counters can fill in and muddy at very small print or embroidery sizes.</w:t>
      </w:r>
    </w:p>
    <w:p>
      <w:pPr>
        <w:spacing w:before="240" w:after="80"/>
      </w:pPr>
      <w:r>
        <w:rPr>
          <w:rFonts w:ascii="Georgia" w:hAnsi="Georgia"/>
          <w:b/>
          <w:color w:val="2C1A10"/>
          <w:sz w:val="26"/>
        </w:rPr>
        <w:t>30 · The Ligature Embrace (HI)   —  33/40</w:t>
      </w:r>
    </w:p>
    <w:p>
      <w:pPr>
        <w:spacing w:after="40"/>
      </w:pPr>
      <w:r>
        <w:rPr>
          <w:i w:val="0"/>
          <w:color w:val="232323"/>
          <w:sz w:val="21"/>
        </w:rPr>
        <w:t>H and I joined so the I shelters against the H — a contained pair opening the word.</w:t>
      </w:r>
    </w:p>
    <w:p>
      <w:pPr>
        <w:spacing w:after="40"/>
      </w:pPr>
      <w:r>
        <w:rPr>
          <w:b/>
          <w:color w:val="A58F7A"/>
          <w:sz w:val="19"/>
        </w:rPr>
        <w:t xml:space="preserve">Strategic rationale  </w:t>
      </w:r>
      <w:r>
        <w:rPr>
          <w:sz w:val="19"/>
        </w:rPr>
        <w:t>An embrace built into the first two letters.</w:t>
      </w:r>
    </w:p>
    <w:p>
      <w:pPr>
        <w:spacing w:after="40"/>
      </w:pPr>
      <w:r>
        <w:rPr>
          <w:b/>
          <w:color w:val="A58F7A"/>
          <w:sz w:val="19"/>
        </w:rPr>
        <w:t xml:space="preserve">Psychological effect  </w:t>
      </w:r>
      <w:r>
        <w:rPr>
          <w:sz w:val="19"/>
        </w:rPr>
        <w:t>Closeness, protection from the first glance.</w:t>
      </w:r>
    </w:p>
    <w:p>
      <w:pPr>
        <w:spacing w:after="40"/>
      </w:pPr>
      <w:r>
        <w:rPr>
          <w:b/>
          <w:color w:val="A58F7A"/>
          <w:sz w:val="19"/>
        </w:rPr>
        <w:t xml:space="preserve">Scores  </w:t>
      </w:r>
      <w:r>
        <w:rPr>
          <w:sz w:val="19"/>
        </w:rPr>
        <w:t>Luxury 8 · Memorability 8 · Scalability 8 · Ownership 9</w:t>
      </w:r>
    </w:p>
    <w:p>
      <w:pPr>
        <w:spacing w:after="160"/>
      </w:pPr>
      <w:r>
        <w:rPr>
          <w:b/>
          <w:color w:val="8B2C1A"/>
          <w:sz w:val="19"/>
        </w:rPr>
        <w:t xml:space="preserve">Risk  </w:t>
      </w:r>
      <w:r>
        <w:rPr>
          <w:sz w:val="19"/>
        </w:rPr>
        <w:t>Ligature must stay legible as H-I and not read as a new glyph.</w:t>
      </w:r>
    </w:p>
    <w:p>
      <w:pPr>
        <w:spacing w:before="240" w:after="80"/>
      </w:pPr>
      <w:r>
        <w:rPr>
          <w:rFonts w:ascii="Georgia" w:hAnsi="Georgia"/>
          <w:b/>
          <w:color w:val="2C1A10"/>
          <w:sz w:val="26"/>
        </w:rPr>
        <w:t>10 · Architectural Stack   —  33/40</w:t>
      </w:r>
    </w:p>
    <w:p>
      <w:pPr>
        <w:spacing w:after="40"/>
      </w:pPr>
      <w:r>
        <w:rPr>
          <w:i w:val="0"/>
          <w:color w:val="232323"/>
          <w:sz w:val="21"/>
        </w:rPr>
        <w:t>HI over MA, two justified lines, equal width — a built, monumental block.</w:t>
      </w:r>
    </w:p>
    <w:p>
      <w:pPr>
        <w:spacing w:after="40"/>
      </w:pPr>
      <w:r>
        <w:rPr>
          <w:b/>
          <w:color w:val="A58F7A"/>
          <w:sz w:val="19"/>
        </w:rPr>
        <w:t xml:space="preserve">Strategic rationale  </w:t>
      </w:r>
      <w:r>
        <w:rPr>
          <w:sz w:val="19"/>
        </w:rPr>
        <w:t>Structure and permanence; gallery/architecture cue.</w:t>
      </w:r>
    </w:p>
    <w:p>
      <w:pPr>
        <w:spacing w:after="40"/>
      </w:pPr>
      <w:r>
        <w:rPr>
          <w:b/>
          <w:color w:val="A58F7A"/>
          <w:sz w:val="19"/>
        </w:rPr>
        <w:t xml:space="preserve">Psychological effect  </w:t>
      </w:r>
      <w:r>
        <w:rPr>
          <w:sz w:val="19"/>
        </w:rPr>
        <w:t>Stability, seriousness, scale.</w:t>
      </w:r>
    </w:p>
    <w:p>
      <w:pPr>
        <w:spacing w:after="40"/>
      </w:pPr>
      <w:r>
        <w:rPr>
          <w:b/>
          <w:color w:val="A58F7A"/>
          <w:sz w:val="19"/>
        </w:rPr>
        <w:t xml:space="preserve">Scores  </w:t>
      </w:r>
      <w:r>
        <w:rPr>
          <w:sz w:val="19"/>
        </w:rPr>
        <w:t>Luxury 9 · Memorability 7 · Scalability 9 · Ownership 8</w:t>
      </w:r>
    </w:p>
    <w:p>
      <w:pPr>
        <w:spacing w:after="160"/>
      </w:pPr>
      <w:r>
        <w:rPr>
          <w:b/>
          <w:color w:val="8B2C1A"/>
          <w:sz w:val="19"/>
        </w:rPr>
        <w:t xml:space="preserve">Risk  </w:t>
      </w:r>
      <w:r>
        <w:rPr>
          <w:sz w:val="19"/>
        </w:rPr>
        <w:t>Can read cold; needs the warm palette to avoid feeling like an art institution.</w:t>
      </w:r>
    </w:p>
    <w:p>
      <w:pPr>
        <w:spacing w:before="240" w:after="80"/>
      </w:pPr>
      <w:r>
        <w:rPr>
          <w:rFonts w:ascii="Georgia" w:hAnsi="Georgia"/>
          <w:b/>
          <w:color w:val="2C1A10"/>
          <w:sz w:val="26"/>
        </w:rPr>
        <w:t>05 · The Veil Crossbar   —  32/40</w:t>
      </w:r>
    </w:p>
    <w:p>
      <w:pPr>
        <w:spacing w:after="40"/>
      </w:pPr>
      <w:r>
        <w:rPr>
          <w:i w:val="0"/>
          <w:color w:val="232323"/>
          <w:sz w:val="21"/>
        </w:rPr>
        <w:t>The H crossbar drops to baseline level and runs as a hairline beneath the full word like a drawn veil.</w:t>
      </w:r>
    </w:p>
    <w:p>
      <w:pPr>
        <w:spacing w:after="40"/>
      </w:pPr>
      <w:r>
        <w:rPr>
          <w:b/>
          <w:color w:val="A58F7A"/>
          <w:sz w:val="19"/>
        </w:rPr>
        <w:t xml:space="preserve">Strategic rationale  </w:t>
      </w:r>
      <w:r>
        <w:rPr>
          <w:sz w:val="19"/>
        </w:rPr>
        <w:t>Soft protective gesture; femininity without illustration.</w:t>
      </w:r>
    </w:p>
    <w:p>
      <w:pPr>
        <w:spacing w:after="40"/>
      </w:pPr>
      <w:r>
        <w:rPr>
          <w:b/>
          <w:color w:val="A58F7A"/>
          <w:sz w:val="19"/>
        </w:rPr>
        <w:t xml:space="preserve">Psychological effect  </w:t>
      </w:r>
      <w:r>
        <w:rPr>
          <w:sz w:val="19"/>
        </w:rPr>
        <w:t>Gentle, graceful, intimate.</w:t>
      </w:r>
    </w:p>
    <w:p>
      <w:pPr>
        <w:spacing w:after="40"/>
      </w:pPr>
      <w:r>
        <w:rPr>
          <w:b/>
          <w:color w:val="A58F7A"/>
          <w:sz w:val="19"/>
        </w:rPr>
        <w:t xml:space="preserve">Scores  </w:t>
      </w:r>
      <w:r>
        <w:rPr>
          <w:sz w:val="19"/>
        </w:rPr>
        <w:t>Luxury 8 · Memorability 8 · Scalability 7 · Ownership 9</w:t>
      </w:r>
    </w:p>
    <w:p>
      <w:pPr>
        <w:spacing w:after="160"/>
      </w:pPr>
      <w:r>
        <w:rPr>
          <w:b/>
          <w:color w:val="8B2C1A"/>
          <w:sz w:val="19"/>
        </w:rPr>
        <w:t xml:space="preserve">Risk  </w:t>
      </w:r>
      <w:r>
        <w:rPr>
          <w:sz w:val="19"/>
        </w:rPr>
        <w:t>Can look like an underline gimmick if weight/length is wrong; overlaps with Concept 01.</w:t>
      </w:r>
    </w:p>
    <w:p>
      <w:pPr>
        <w:spacing w:before="240" w:after="80"/>
      </w:pPr>
      <w:r>
        <w:rPr>
          <w:rFonts w:ascii="Georgia" w:hAnsi="Georgia"/>
          <w:b/>
          <w:color w:val="2C1A10"/>
          <w:sz w:val="26"/>
        </w:rPr>
        <w:t>17 · Asymmetric Editorial   —  32/40</w:t>
      </w:r>
    </w:p>
    <w:p>
      <w:pPr>
        <w:spacing w:after="40"/>
      </w:pPr>
      <w:r>
        <w:rPr>
          <w:i w:val="0"/>
          <w:color w:val="232323"/>
          <w:sz w:val="21"/>
        </w:rPr>
        <w:t>Didone wordmark with one letter subtly raised or shifted for editorial signature.</w:t>
      </w:r>
    </w:p>
    <w:p>
      <w:pPr>
        <w:spacing w:after="40"/>
      </w:pPr>
      <w:r>
        <w:rPr>
          <w:b/>
          <w:color w:val="A58F7A"/>
          <w:sz w:val="19"/>
        </w:rPr>
        <w:t xml:space="preserve">Strategic rationale  </w:t>
      </w:r>
      <w:r>
        <w:rPr>
          <w:sz w:val="19"/>
        </w:rPr>
        <w:t>A deliberate ‘imperfection’ becomes a recognition cue.</w:t>
      </w:r>
    </w:p>
    <w:p>
      <w:pPr>
        <w:spacing w:after="40"/>
      </w:pPr>
      <w:r>
        <w:rPr>
          <w:b/>
          <w:color w:val="A58F7A"/>
          <w:sz w:val="19"/>
        </w:rPr>
        <w:t xml:space="preserve">Psychological effect  </w:t>
      </w:r>
      <w:r>
        <w:rPr>
          <w:sz w:val="19"/>
        </w:rPr>
        <w:t>Quiet daring, taste.</w:t>
      </w:r>
    </w:p>
    <w:p>
      <w:pPr>
        <w:spacing w:after="40"/>
      </w:pPr>
      <w:r>
        <w:rPr>
          <w:b/>
          <w:color w:val="A58F7A"/>
          <w:sz w:val="19"/>
        </w:rPr>
        <w:t xml:space="preserve">Scores  </w:t>
      </w:r>
      <w:r>
        <w:rPr>
          <w:sz w:val="19"/>
        </w:rPr>
        <w:t>Luxury 8 · Memorability 8 · Scalability 8 · Ownership 8</w:t>
      </w:r>
    </w:p>
    <w:p>
      <w:pPr>
        <w:spacing w:after="160"/>
      </w:pPr>
      <w:r>
        <w:rPr>
          <w:b/>
          <w:color w:val="8B2C1A"/>
          <w:sz w:val="19"/>
        </w:rPr>
        <w:t xml:space="preserve">Risk  </w:t>
      </w:r>
      <w:r>
        <w:rPr>
          <w:sz w:val="19"/>
        </w:rPr>
        <w:t>Subtle asymmetry can be mistaken for misalignment by some viewers.</w:t>
      </w:r>
    </w:p>
    <w:p>
      <w:pPr>
        <w:spacing w:before="240" w:after="80"/>
      </w:pPr>
      <w:r>
        <w:rPr>
          <w:rFonts w:ascii="Georgia" w:hAnsi="Georgia"/>
          <w:b/>
          <w:color w:val="2C1A10"/>
          <w:sz w:val="26"/>
        </w:rPr>
        <w:t>24 · The Aperture H   —  32/40</w:t>
      </w:r>
    </w:p>
    <w:p>
      <w:pPr>
        <w:spacing w:after="40"/>
      </w:pPr>
      <w:r>
        <w:rPr>
          <w:i w:val="0"/>
          <w:color w:val="232323"/>
          <w:sz w:val="21"/>
        </w:rPr>
        <w:t>H with a subtle opening/aperture suggesting a threshold to a sanctuary.</w:t>
      </w:r>
    </w:p>
    <w:p>
      <w:pPr>
        <w:spacing w:after="40"/>
      </w:pPr>
      <w:r>
        <w:rPr>
          <w:b/>
          <w:color w:val="A58F7A"/>
          <w:sz w:val="19"/>
        </w:rPr>
        <w:t xml:space="preserve">Strategic rationale  </w:t>
      </w:r>
      <w:r>
        <w:rPr>
          <w:sz w:val="19"/>
        </w:rPr>
        <w:t>Doorway-to-safety read, abstracted.</w:t>
      </w:r>
    </w:p>
    <w:p>
      <w:pPr>
        <w:spacing w:after="40"/>
      </w:pPr>
      <w:r>
        <w:rPr>
          <w:b/>
          <w:color w:val="A58F7A"/>
          <w:sz w:val="19"/>
        </w:rPr>
        <w:t xml:space="preserve">Psychological effect  </w:t>
      </w:r>
      <w:r>
        <w:rPr>
          <w:sz w:val="19"/>
        </w:rPr>
        <w:t>Welcome, passage, protection.</w:t>
      </w:r>
    </w:p>
    <w:p>
      <w:pPr>
        <w:spacing w:after="40"/>
      </w:pPr>
      <w:r>
        <w:rPr>
          <w:b/>
          <w:color w:val="A58F7A"/>
          <w:sz w:val="19"/>
        </w:rPr>
        <w:t xml:space="preserve">Scores  </w:t>
      </w:r>
      <w:r>
        <w:rPr>
          <w:sz w:val="19"/>
        </w:rPr>
        <w:t>Luxury 8 · Memorability 7 · Scalability 9 · Ownership 8</w:t>
      </w:r>
    </w:p>
    <w:p>
      <w:pPr>
        <w:spacing w:after="160"/>
      </w:pPr>
      <w:r>
        <w:rPr>
          <w:b/>
          <w:color w:val="8B2C1A"/>
          <w:sz w:val="19"/>
        </w:rPr>
        <w:t xml:space="preserve">Risk  </w:t>
      </w:r>
      <w:r>
        <w:rPr>
          <w:sz w:val="19"/>
        </w:rPr>
        <w:t>Aperture must not become a literal arch/door (cliché risk).</w:t>
      </w:r>
    </w:p>
    <w:p>
      <w:pPr>
        <w:spacing w:before="240" w:after="80"/>
      </w:pPr>
      <w:r>
        <w:rPr>
          <w:rFonts w:ascii="Georgia" w:hAnsi="Georgia"/>
          <w:b/>
          <w:color w:val="2C1A10"/>
          <w:sz w:val="26"/>
        </w:rPr>
        <w:t>04 · The Macron Seal   —  31/40</w:t>
      </w:r>
    </w:p>
    <w:p>
      <w:pPr>
        <w:spacing w:after="40"/>
      </w:pPr>
      <w:r>
        <w:rPr>
          <w:i w:val="0"/>
          <w:color w:val="232323"/>
          <w:sz w:val="21"/>
        </w:rPr>
        <w:t>A fine horizontal macron set above the wordmark referencing the long vowel in Ḥimā, reused as a brand seal line.</w:t>
      </w:r>
    </w:p>
    <w:p>
      <w:pPr>
        <w:spacing w:after="40"/>
      </w:pPr>
      <w:r>
        <w:rPr>
          <w:b/>
          <w:color w:val="A58F7A"/>
          <w:sz w:val="19"/>
        </w:rPr>
        <w:t xml:space="preserve">Strategic rationale  </w:t>
      </w:r>
      <w:r>
        <w:rPr>
          <w:sz w:val="19"/>
        </w:rPr>
        <w:t>A scholarly, dignified diacritic becomes a quiet ownable mark.</w:t>
      </w:r>
    </w:p>
    <w:p>
      <w:pPr>
        <w:spacing w:after="40"/>
      </w:pPr>
      <w:r>
        <w:rPr>
          <w:b/>
          <w:color w:val="A58F7A"/>
          <w:sz w:val="19"/>
        </w:rPr>
        <w:t xml:space="preserve">Psychological effect  </w:t>
      </w:r>
      <w:r>
        <w:rPr>
          <w:sz w:val="19"/>
        </w:rPr>
        <w:t>Refinement; a whisper of heritage and correctness.</w:t>
      </w:r>
    </w:p>
    <w:p>
      <w:pPr>
        <w:spacing w:after="40"/>
      </w:pPr>
      <w:r>
        <w:rPr>
          <w:b/>
          <w:color w:val="A58F7A"/>
          <w:sz w:val="19"/>
        </w:rPr>
        <w:t xml:space="preserve">Scores  </w:t>
      </w:r>
      <w:r>
        <w:rPr>
          <w:sz w:val="19"/>
        </w:rPr>
        <w:t>Luxury 8 · Memorability 7 · Scalability 8 · Ownership 8</w:t>
      </w:r>
    </w:p>
    <w:p>
      <w:pPr>
        <w:spacing w:after="160"/>
      </w:pPr>
      <w:r>
        <w:rPr>
          <w:b/>
          <w:color w:val="8B2C1A"/>
          <w:sz w:val="19"/>
        </w:rPr>
        <w:t xml:space="preserve">Risk  </w:t>
      </w:r>
      <w:r>
        <w:rPr>
          <w:sz w:val="19"/>
        </w:rPr>
        <w:t>Risk of reading as a random rule; needs consistent application to gain meaning.</w:t>
      </w:r>
    </w:p>
    <w:p>
      <w:pPr>
        <w:spacing w:before="240" w:after="80"/>
      </w:pPr>
      <w:r>
        <w:rPr>
          <w:rFonts w:ascii="Georgia" w:hAnsi="Georgia"/>
          <w:b/>
          <w:color w:val="2C1A10"/>
          <w:sz w:val="26"/>
        </w:rPr>
        <w:t>22 · Tonal Blind Emboss   —  30/40</w:t>
      </w:r>
    </w:p>
    <w:p>
      <w:pPr>
        <w:spacing w:after="40"/>
      </w:pPr>
      <w:r>
        <w:rPr>
          <w:i w:val="0"/>
          <w:color w:val="232323"/>
          <w:sz w:val="21"/>
        </w:rPr>
        <w:t>Logo expressed only as a blind/tonal emboss — felt, not coloured.</w:t>
      </w:r>
    </w:p>
    <w:p>
      <w:pPr>
        <w:spacing w:after="40"/>
      </w:pPr>
      <w:r>
        <w:rPr>
          <w:b/>
          <w:color w:val="A58F7A"/>
          <w:sz w:val="19"/>
        </w:rPr>
        <w:t xml:space="preserve">Strategic rationale  </w:t>
      </w:r>
      <w:r>
        <w:rPr>
          <w:sz w:val="19"/>
        </w:rPr>
        <w:t>Ultimate quiet-luxury restraint.</w:t>
      </w:r>
    </w:p>
    <w:p>
      <w:pPr>
        <w:spacing w:after="40"/>
      </w:pPr>
      <w:r>
        <w:rPr>
          <w:b/>
          <w:color w:val="A58F7A"/>
          <w:sz w:val="19"/>
        </w:rPr>
        <w:t xml:space="preserve">Psychological effect  </w:t>
      </w:r>
      <w:r>
        <w:rPr>
          <w:sz w:val="19"/>
        </w:rPr>
        <w:t>Intimacy, ‘for those who notice’.</w:t>
      </w:r>
    </w:p>
    <w:p>
      <w:pPr>
        <w:spacing w:after="40"/>
      </w:pPr>
      <w:r>
        <w:rPr>
          <w:b/>
          <w:color w:val="A58F7A"/>
          <w:sz w:val="19"/>
        </w:rPr>
        <w:t xml:space="preserve">Scores  </w:t>
      </w:r>
      <w:r>
        <w:rPr>
          <w:sz w:val="19"/>
        </w:rPr>
        <w:t>Luxury 9 · Memorability 6 · Scalability 7 · Ownership 8</w:t>
      </w:r>
    </w:p>
    <w:p>
      <w:pPr>
        <w:spacing w:after="160"/>
      </w:pPr>
      <w:r>
        <w:rPr>
          <w:b/>
          <w:color w:val="8B2C1A"/>
          <w:sz w:val="19"/>
        </w:rPr>
        <w:t xml:space="preserve">Risk  </w:t>
      </w:r>
      <w:r>
        <w:rPr>
          <w:sz w:val="19"/>
        </w:rPr>
        <w:t>An application technique more than a logo; needs an underlying mark to emboss.</w:t>
      </w:r>
    </w:p>
    <w:p>
      <w:pPr>
        <w:spacing w:before="240" w:after="80"/>
      </w:pPr>
      <w:r>
        <w:rPr>
          <w:rFonts w:ascii="Georgia" w:hAnsi="Georgia"/>
          <w:b/>
          <w:color w:val="2C1A10"/>
          <w:sz w:val="26"/>
        </w:rPr>
        <w:t>26 · Tall Condensed Masthead   —  30/40</w:t>
      </w:r>
    </w:p>
    <w:p>
      <w:pPr>
        <w:spacing w:after="40"/>
      </w:pPr>
      <w:r>
        <w:rPr>
          <w:i w:val="0"/>
          <w:color w:val="232323"/>
          <w:sz w:val="21"/>
        </w:rPr>
        <w:t>Very tall condensed Didone capitals — a dramatic fashion masthead.</w:t>
      </w:r>
    </w:p>
    <w:p>
      <w:pPr>
        <w:spacing w:after="40"/>
      </w:pPr>
      <w:r>
        <w:rPr>
          <w:b/>
          <w:color w:val="A58F7A"/>
          <w:sz w:val="19"/>
        </w:rPr>
        <w:t xml:space="preserve">Strategic rationale  </w:t>
      </w:r>
      <w:r>
        <w:rPr>
          <w:sz w:val="19"/>
        </w:rPr>
        <w:t>High-fashion editorial drama.</w:t>
      </w:r>
    </w:p>
    <w:p>
      <w:pPr>
        <w:spacing w:after="40"/>
      </w:pPr>
      <w:r>
        <w:rPr>
          <w:b/>
          <w:color w:val="A58F7A"/>
          <w:sz w:val="19"/>
        </w:rPr>
        <w:t xml:space="preserve">Psychological effect  </w:t>
      </w:r>
      <w:r>
        <w:rPr>
          <w:sz w:val="19"/>
        </w:rPr>
        <w:t>Stature, presence.</w:t>
      </w:r>
    </w:p>
    <w:p>
      <w:pPr>
        <w:spacing w:after="40"/>
      </w:pPr>
      <w:r>
        <w:rPr>
          <w:b/>
          <w:color w:val="A58F7A"/>
          <w:sz w:val="19"/>
        </w:rPr>
        <w:t xml:space="preserve">Scores  </w:t>
      </w:r>
      <w:r>
        <w:rPr>
          <w:sz w:val="19"/>
        </w:rPr>
        <w:t>Luxury 8 · Memorability 7 · Scalability 7 · Ownership 8</w:t>
      </w:r>
    </w:p>
    <w:p>
      <w:pPr>
        <w:spacing w:after="160"/>
      </w:pPr>
      <w:r>
        <w:rPr>
          <w:b/>
          <w:color w:val="8B2C1A"/>
          <w:sz w:val="19"/>
        </w:rPr>
        <w:t xml:space="preserve">Risk  </w:t>
      </w:r>
      <w:r>
        <w:rPr>
          <w:sz w:val="19"/>
        </w:rPr>
        <w:t>Condensed forms strain legibility small and on embroidery.</w:t>
      </w:r>
    </w:p>
    <w:p>
      <w:pPr>
        <w:spacing w:before="240" w:after="80"/>
      </w:pPr>
      <w:r>
        <w:rPr>
          <w:rFonts w:ascii="Georgia" w:hAnsi="Georgia"/>
          <w:b/>
          <w:color w:val="2C1A10"/>
          <w:sz w:val="26"/>
        </w:rPr>
        <w:t>28 · Softened Apex A   —  30/40</w:t>
      </w:r>
    </w:p>
    <w:p>
      <w:pPr>
        <w:spacing w:after="40"/>
      </w:pPr>
      <w:r>
        <w:rPr>
          <w:i w:val="0"/>
          <w:color w:val="232323"/>
          <w:sz w:val="21"/>
        </w:rPr>
        <w:t>The A apex rounded to a gentle curve across the wordmark.</w:t>
      </w:r>
    </w:p>
    <w:p>
      <w:pPr>
        <w:spacing w:after="40"/>
      </w:pPr>
      <w:r>
        <w:rPr>
          <w:b/>
          <w:color w:val="A58F7A"/>
          <w:sz w:val="19"/>
        </w:rPr>
        <w:t xml:space="preserve">Strategic rationale  </w:t>
      </w:r>
      <w:r>
        <w:rPr>
          <w:sz w:val="19"/>
        </w:rPr>
        <w:t>Subtle softening signalling femininity.</w:t>
      </w:r>
    </w:p>
    <w:p>
      <w:pPr>
        <w:spacing w:after="40"/>
      </w:pPr>
      <w:r>
        <w:rPr>
          <w:b/>
          <w:color w:val="A58F7A"/>
          <w:sz w:val="19"/>
        </w:rPr>
        <w:t xml:space="preserve">Psychological effect  </w:t>
      </w:r>
      <w:r>
        <w:rPr>
          <w:sz w:val="19"/>
        </w:rPr>
        <w:t>Gentleness woven into the type.</w:t>
      </w:r>
    </w:p>
    <w:p>
      <w:pPr>
        <w:spacing w:after="40"/>
      </w:pPr>
      <w:r>
        <w:rPr>
          <w:b/>
          <w:color w:val="A58F7A"/>
          <w:sz w:val="19"/>
        </w:rPr>
        <w:t xml:space="preserve">Scores  </w:t>
      </w:r>
      <w:r>
        <w:rPr>
          <w:sz w:val="19"/>
        </w:rPr>
        <w:t>Luxury 8 · Memorability 6 · Scalability 9 · Ownership 7</w:t>
      </w:r>
    </w:p>
    <w:p>
      <w:pPr>
        <w:spacing w:after="160"/>
      </w:pPr>
      <w:r>
        <w:rPr>
          <w:b/>
          <w:color w:val="8B2C1A"/>
          <w:sz w:val="19"/>
        </w:rPr>
        <w:t xml:space="preserve">Risk  </w:t>
      </w:r>
      <w:r>
        <w:rPr>
          <w:sz w:val="19"/>
        </w:rPr>
        <w:t>Very subtle; on its own may not be noticed enough to own.</w:t>
      </w:r>
    </w:p>
    <w:p>
      <w:pPr>
        <w:spacing w:before="240" w:after="80"/>
      </w:pPr>
      <w:r>
        <w:rPr>
          <w:rFonts w:ascii="Georgia" w:hAnsi="Georgia"/>
          <w:b/>
          <w:color w:val="2C1A10"/>
          <w:sz w:val="26"/>
        </w:rPr>
        <w:t>03 · Editorial Didone Wordmark   —  30/40</w:t>
      </w:r>
    </w:p>
    <w:p>
      <w:pPr>
        <w:spacing w:after="40"/>
      </w:pPr>
      <w:r>
        <w:rPr>
          <w:i w:val="0"/>
          <w:color w:val="232323"/>
          <w:sz w:val="21"/>
        </w:rPr>
        <w:t>Pure high-contrast Didone all-caps wordmark with wide tracking — the Vogue/Harper’s register, no embellishment.</w:t>
      </w:r>
    </w:p>
    <w:p>
      <w:pPr>
        <w:spacing w:after="40"/>
      </w:pPr>
      <w:r>
        <w:rPr>
          <w:b/>
          <w:color w:val="A58F7A"/>
          <w:sz w:val="19"/>
        </w:rPr>
        <w:t xml:space="preserve">Strategic rationale  </w:t>
      </w:r>
      <w:r>
        <w:rPr>
          <w:sz w:val="19"/>
        </w:rPr>
        <w:t>Instant fashion-authority cue; signals ‘house’ not ‘shop’.</w:t>
      </w:r>
    </w:p>
    <w:p>
      <w:pPr>
        <w:spacing w:after="40"/>
      </w:pPr>
      <w:r>
        <w:rPr>
          <w:b/>
          <w:color w:val="A58F7A"/>
          <w:sz w:val="19"/>
        </w:rPr>
        <w:t xml:space="preserve">Psychological effect  </w:t>
      </w:r>
      <w:r>
        <w:rPr>
          <w:sz w:val="19"/>
        </w:rPr>
        <w:t>Confidence and pedigree; familiar luxury comfort.</w:t>
      </w:r>
    </w:p>
    <w:p>
      <w:pPr>
        <w:spacing w:after="40"/>
      </w:pPr>
      <w:r>
        <w:rPr>
          <w:b/>
          <w:color w:val="A58F7A"/>
          <w:sz w:val="19"/>
        </w:rPr>
        <w:t xml:space="preserve">Scores  </w:t>
      </w:r>
      <w:r>
        <w:rPr>
          <w:sz w:val="19"/>
        </w:rPr>
        <w:t>Luxury 9 · Memorability 6 · Scalability 9 · Ownership 6</w:t>
      </w:r>
    </w:p>
    <w:p>
      <w:pPr>
        <w:spacing w:after="160"/>
      </w:pPr>
      <w:r>
        <w:rPr>
          <w:b/>
          <w:color w:val="8B2C1A"/>
          <w:sz w:val="19"/>
        </w:rPr>
        <w:t xml:space="preserve">Risk  </w:t>
      </w:r>
      <w:r>
        <w:rPr>
          <w:sz w:val="19"/>
        </w:rPr>
        <w:t>Beautiful but close to generic luxury; low ownership without a proprietary detail.</w:t>
      </w:r>
    </w:p>
    <w:p>
      <w:pPr>
        <w:spacing w:before="240" w:after="80"/>
      </w:pPr>
      <w:r>
        <w:rPr>
          <w:rFonts w:ascii="Georgia" w:hAnsi="Georgia"/>
          <w:b/>
          <w:color w:val="2C1A10"/>
          <w:sz w:val="26"/>
        </w:rPr>
        <w:t>20 · Sloped Editorial Italic   —  29/40</w:t>
      </w:r>
    </w:p>
    <w:p>
      <w:pPr>
        <w:spacing w:after="40"/>
      </w:pPr>
      <w:r>
        <w:rPr>
          <w:i w:val="0"/>
          <w:color w:val="232323"/>
          <w:sz w:val="21"/>
        </w:rPr>
        <w:t>A refined sloped Didone italic wordmark.</w:t>
      </w:r>
    </w:p>
    <w:p>
      <w:pPr>
        <w:spacing w:after="40"/>
      </w:pPr>
      <w:r>
        <w:rPr>
          <w:b/>
          <w:color w:val="A58F7A"/>
          <w:sz w:val="19"/>
        </w:rPr>
        <w:t xml:space="preserve">Strategic rationale  </w:t>
      </w:r>
      <w:r>
        <w:rPr>
          <w:sz w:val="19"/>
        </w:rPr>
        <w:t>Femininity and movement in the type.</w:t>
      </w:r>
    </w:p>
    <w:p>
      <w:pPr>
        <w:spacing w:after="40"/>
      </w:pPr>
      <w:r>
        <w:rPr>
          <w:b/>
          <w:color w:val="A58F7A"/>
          <w:sz w:val="19"/>
        </w:rPr>
        <w:t xml:space="preserve">Psychological effect  </w:t>
      </w:r>
      <w:r>
        <w:rPr>
          <w:sz w:val="19"/>
        </w:rPr>
        <w:t>Elegance, motion, softness.</w:t>
      </w:r>
    </w:p>
    <w:p>
      <w:pPr>
        <w:spacing w:after="40"/>
      </w:pPr>
      <w:r>
        <w:rPr>
          <w:b/>
          <w:color w:val="A58F7A"/>
          <w:sz w:val="19"/>
        </w:rPr>
        <w:t xml:space="preserve">Scores  </w:t>
      </w:r>
      <w:r>
        <w:rPr>
          <w:sz w:val="19"/>
        </w:rPr>
        <w:t>Luxury 8 · Memorability 7 · Scalability 6 · Ownership 8</w:t>
      </w:r>
    </w:p>
    <w:p>
      <w:pPr>
        <w:spacing w:after="160"/>
      </w:pPr>
      <w:r>
        <w:rPr>
          <w:b/>
          <w:color w:val="8B2C1A"/>
          <w:sz w:val="19"/>
        </w:rPr>
        <w:t xml:space="preserve">Risk  </w:t>
      </w:r>
      <w:r>
        <w:rPr>
          <w:sz w:val="19"/>
        </w:rPr>
        <w:t>Italic-only logos hurt legibility and scalability; risky as a primary mark.</w:t>
      </w:r>
    </w:p>
    <w:p>
      <w:pPr>
        <w:spacing w:before="240" w:after="80"/>
      </w:pPr>
      <w:r>
        <w:rPr>
          <w:rFonts w:ascii="Georgia" w:hAnsi="Georgia"/>
          <w:b/>
          <w:color w:val="2C1A10"/>
          <w:sz w:val="26"/>
        </w:rPr>
        <w:t>11 · The Point Signature   —  29/40</w:t>
      </w:r>
    </w:p>
    <w:p>
      <w:pPr>
        <w:spacing w:after="40"/>
      </w:pPr>
      <w:r>
        <w:rPr>
          <w:i w:val="0"/>
          <w:color w:val="232323"/>
          <w:sz w:val="21"/>
        </w:rPr>
        <w:t>A single refined dot/point used as the brand’s recurring signature across touchpoints (after the word, as a seal).</w:t>
      </w:r>
    </w:p>
    <w:p>
      <w:pPr>
        <w:spacing w:after="40"/>
      </w:pPr>
      <w:r>
        <w:rPr>
          <w:b/>
          <w:color w:val="A58F7A"/>
          <w:sz w:val="19"/>
        </w:rPr>
        <w:t xml:space="preserve">Strategic rationale  </w:t>
      </w:r>
      <w:r>
        <w:rPr>
          <w:sz w:val="19"/>
        </w:rPr>
        <w:t>Minimal ownable device that travels everywhere cheaply.</w:t>
      </w:r>
    </w:p>
    <w:p>
      <w:pPr>
        <w:spacing w:after="40"/>
      </w:pPr>
      <w:r>
        <w:rPr>
          <w:b/>
          <w:color w:val="A58F7A"/>
          <w:sz w:val="19"/>
        </w:rPr>
        <w:t xml:space="preserve">Psychological effect  </w:t>
      </w:r>
      <w:r>
        <w:rPr>
          <w:sz w:val="19"/>
        </w:rPr>
        <w:t>Precision and finish; a designer’s full stop.</w:t>
      </w:r>
    </w:p>
    <w:p>
      <w:pPr>
        <w:spacing w:after="40"/>
      </w:pPr>
      <w:r>
        <w:rPr>
          <w:b/>
          <w:color w:val="A58F7A"/>
          <w:sz w:val="19"/>
        </w:rPr>
        <w:t xml:space="preserve">Scores  </w:t>
      </w:r>
      <w:r>
        <w:rPr>
          <w:sz w:val="19"/>
        </w:rPr>
        <w:t>Luxury 7 · Memorability 6 · Scalability 9 · Ownership 7</w:t>
      </w:r>
    </w:p>
    <w:p>
      <w:pPr>
        <w:spacing w:after="160"/>
      </w:pPr>
      <w:r>
        <w:rPr>
          <w:b/>
          <w:color w:val="8B2C1A"/>
          <w:sz w:val="19"/>
        </w:rPr>
        <w:t xml:space="preserve">Risk  </w:t>
      </w:r>
      <w:r>
        <w:rPr>
          <w:sz w:val="19"/>
        </w:rPr>
        <w:t>A dot alone is weakly distinctive; depends entirely on disciplined system use.</w:t>
      </w:r>
    </w:p>
    <w:p>
      <w:pPr>
        <w:spacing w:before="240" w:after="80"/>
      </w:pPr>
      <w:r>
        <w:rPr>
          <w:rFonts w:ascii="Georgia" w:hAnsi="Georgia"/>
          <w:b/>
          <w:color w:val="2C1A10"/>
          <w:sz w:val="26"/>
        </w:rPr>
        <w:t>25 · Transitional Warmth   —  29/40</w:t>
      </w:r>
    </w:p>
    <w:p>
      <w:pPr>
        <w:spacing w:after="40"/>
      </w:pPr>
      <w:r>
        <w:rPr>
          <w:i w:val="0"/>
          <w:color w:val="232323"/>
          <w:sz w:val="21"/>
        </w:rPr>
        <w:t>Garamond/transitional serif instead of Didone — warmer, softer contrast.</w:t>
      </w:r>
    </w:p>
    <w:p>
      <w:pPr>
        <w:spacing w:after="40"/>
      </w:pPr>
      <w:r>
        <w:rPr>
          <w:b/>
          <w:color w:val="A58F7A"/>
          <w:sz w:val="19"/>
        </w:rPr>
        <w:t xml:space="preserve">Strategic rationale  </w:t>
      </w:r>
      <w:r>
        <w:rPr>
          <w:sz w:val="19"/>
        </w:rPr>
        <w:t>Approachable heritage luxury (Hermes-adjacent warmth).</w:t>
      </w:r>
    </w:p>
    <w:p>
      <w:pPr>
        <w:spacing w:after="40"/>
      </w:pPr>
      <w:r>
        <w:rPr>
          <w:b/>
          <w:color w:val="A58F7A"/>
          <w:sz w:val="19"/>
        </w:rPr>
        <w:t xml:space="preserve">Psychological effect  </w:t>
      </w:r>
      <w:r>
        <w:rPr>
          <w:sz w:val="19"/>
        </w:rPr>
        <w:t>Comfort, trust, timelessness.</w:t>
      </w:r>
    </w:p>
    <w:p>
      <w:pPr>
        <w:spacing w:after="40"/>
      </w:pPr>
      <w:r>
        <w:rPr>
          <w:b/>
          <w:color w:val="A58F7A"/>
          <w:sz w:val="19"/>
        </w:rPr>
        <w:t xml:space="preserve">Scores  </w:t>
      </w:r>
      <w:r>
        <w:rPr>
          <w:sz w:val="19"/>
        </w:rPr>
        <w:t>Luxury 8 · Memorability 6 · Scalability 9 · Ownership 6</w:t>
      </w:r>
    </w:p>
    <w:p>
      <w:pPr>
        <w:spacing w:after="160"/>
      </w:pPr>
      <w:r>
        <w:rPr>
          <w:b/>
          <w:color w:val="8B2C1A"/>
          <w:sz w:val="19"/>
        </w:rPr>
        <w:t xml:space="preserve">Risk  </w:t>
      </w:r>
      <w:r>
        <w:rPr>
          <w:sz w:val="19"/>
        </w:rPr>
        <w:t>Lower fashion-edge; risks reading as publishing/literary rather than fashion.</w:t>
      </w:r>
    </w:p>
    <w:p>
      <w:pPr>
        <w:spacing w:before="240" w:after="80"/>
      </w:pPr>
      <w:r>
        <w:rPr>
          <w:rFonts w:ascii="Georgia" w:hAnsi="Georgia"/>
          <w:b/>
          <w:color w:val="2C1A10"/>
          <w:sz w:val="26"/>
        </w:rPr>
        <w:t>13 · The Cartouche   —  28/40</w:t>
      </w:r>
    </w:p>
    <w:p>
      <w:pPr>
        <w:spacing w:after="40"/>
      </w:pPr>
      <w:r>
        <w:rPr>
          <w:i w:val="0"/>
          <w:color w:val="232323"/>
          <w:sz w:val="21"/>
        </w:rPr>
        <w:t>Wordmark inside a fine oval cartouche/wax-seal frame.</w:t>
      </w:r>
    </w:p>
    <w:p>
      <w:pPr>
        <w:spacing w:after="40"/>
      </w:pPr>
      <w:r>
        <w:rPr>
          <w:b/>
          <w:color w:val="A58F7A"/>
          <w:sz w:val="19"/>
        </w:rPr>
        <w:t xml:space="preserve">Strategic rationale  </w:t>
      </w:r>
      <w:r>
        <w:rPr>
          <w:sz w:val="19"/>
        </w:rPr>
        <w:t>Maison-stamp authority and provenance.</w:t>
      </w:r>
    </w:p>
    <w:p>
      <w:pPr>
        <w:spacing w:after="40"/>
      </w:pPr>
      <w:r>
        <w:rPr>
          <w:b/>
          <w:color w:val="A58F7A"/>
          <w:sz w:val="19"/>
        </w:rPr>
        <w:t xml:space="preserve">Psychological effect  </w:t>
      </w:r>
      <w:r>
        <w:rPr>
          <w:sz w:val="19"/>
        </w:rPr>
        <w:t>Officialdom, authenticity, heritage.</w:t>
      </w:r>
    </w:p>
    <w:p>
      <w:pPr>
        <w:spacing w:after="40"/>
      </w:pPr>
      <w:r>
        <w:rPr>
          <w:b/>
          <w:color w:val="A58F7A"/>
          <w:sz w:val="19"/>
        </w:rPr>
        <w:t xml:space="preserve">Scores  </w:t>
      </w:r>
      <w:r>
        <w:rPr>
          <w:sz w:val="19"/>
        </w:rPr>
        <w:t>Luxury 7 · Memorability 7 · Scalability 7 · Ownership 7</w:t>
      </w:r>
    </w:p>
    <w:p>
      <w:pPr>
        <w:spacing w:after="160"/>
      </w:pPr>
      <w:r>
        <w:rPr>
          <w:b/>
          <w:color w:val="8B2C1A"/>
          <w:sz w:val="19"/>
        </w:rPr>
        <w:t xml:space="preserve">Risk  </w:t>
      </w:r>
      <w:r>
        <w:rPr>
          <w:sz w:val="19"/>
        </w:rPr>
        <w:t>Framed marks scale poorly and feel old-world; can read as a soap or spirits label.</w:t>
      </w:r>
    </w:p>
    <w:p>
      <w:pPr>
        <w:spacing w:before="240" w:after="80"/>
      </w:pPr>
      <w:r>
        <w:rPr>
          <w:rFonts w:ascii="Georgia" w:hAnsi="Georgia"/>
          <w:b/>
          <w:color w:val="2C1A10"/>
          <w:sz w:val="26"/>
        </w:rPr>
        <w:t>12 · The Tail   —  27/40</w:t>
      </w:r>
    </w:p>
    <w:p>
      <w:pPr>
        <w:spacing w:after="40"/>
      </w:pPr>
      <w:r>
        <w:rPr>
          <w:i w:val="0"/>
          <w:color w:val="232323"/>
          <w:sz w:val="21"/>
        </w:rPr>
        <w:t>The final A’s leg extends into a soft flowing terminal.</w:t>
      </w:r>
    </w:p>
    <w:p>
      <w:pPr>
        <w:spacing w:after="40"/>
      </w:pPr>
      <w:r>
        <w:rPr>
          <w:b/>
          <w:color w:val="A58F7A"/>
          <w:sz w:val="19"/>
        </w:rPr>
        <w:t xml:space="preserve">Strategic rationale  </w:t>
      </w:r>
      <w:r>
        <w:rPr>
          <w:sz w:val="19"/>
        </w:rPr>
        <w:t>Femininity and soft movement expressed through one stroke.</w:t>
      </w:r>
    </w:p>
    <w:p>
      <w:pPr>
        <w:spacing w:after="40"/>
      </w:pPr>
      <w:r>
        <w:rPr>
          <w:b/>
          <w:color w:val="A58F7A"/>
          <w:sz w:val="19"/>
        </w:rPr>
        <w:t xml:space="preserve">Psychological effect  </w:t>
      </w:r>
      <w:r>
        <w:rPr>
          <w:sz w:val="19"/>
        </w:rPr>
        <w:t>Grace, fluidity.</w:t>
      </w:r>
    </w:p>
    <w:p>
      <w:pPr>
        <w:spacing w:after="40"/>
      </w:pPr>
      <w:r>
        <w:rPr>
          <w:b/>
          <w:color w:val="A58F7A"/>
          <w:sz w:val="19"/>
        </w:rPr>
        <w:t xml:space="preserve">Scores  </w:t>
      </w:r>
      <w:r>
        <w:rPr>
          <w:sz w:val="19"/>
        </w:rPr>
        <w:t>Luxury 7 · Memorability 7 · Scalability 6 · Ownership 7</w:t>
      </w:r>
    </w:p>
    <w:p>
      <w:pPr>
        <w:spacing w:after="160"/>
      </w:pPr>
      <w:r>
        <w:rPr>
          <w:b/>
          <w:color w:val="8B2C1A"/>
          <w:sz w:val="19"/>
        </w:rPr>
        <w:t xml:space="preserve">Risk  </w:t>
      </w:r>
      <w:r>
        <w:rPr>
          <w:sz w:val="19"/>
        </w:rPr>
        <w:t>Flourishes trend and date; can look boutique-y; weak at tiny sizes.</w:t>
      </w:r>
    </w:p>
    <w:p>
      <w:pPr>
        <w:spacing w:before="240" w:after="80"/>
      </w:pPr>
      <w:r>
        <w:rPr>
          <w:rFonts w:ascii="Georgia" w:hAnsi="Georgia"/>
          <w:b/>
          <w:color w:val="2C1A10"/>
          <w:sz w:val="26"/>
        </w:rPr>
        <w:t>18 · Negative-Space Embrace (M)   —  27/40</w:t>
      </w:r>
    </w:p>
    <w:p>
      <w:pPr>
        <w:spacing w:after="40"/>
      </w:pPr>
      <w:r>
        <w:rPr>
          <w:i w:val="0"/>
          <w:color w:val="232323"/>
          <w:sz w:val="21"/>
        </w:rPr>
        <w:t>The M valley shaped so two soft forms appear to lean together.</w:t>
      </w:r>
    </w:p>
    <w:p>
      <w:pPr>
        <w:spacing w:after="40"/>
      </w:pPr>
      <w:r>
        <w:rPr>
          <w:b/>
          <w:color w:val="A58F7A"/>
          <w:sz w:val="19"/>
        </w:rPr>
        <w:t xml:space="preserve">Strategic rationale  </w:t>
      </w:r>
      <w:r>
        <w:rPr>
          <w:sz w:val="19"/>
        </w:rPr>
        <w:t>Hidden ‘embrace of two’ inside the letter.</w:t>
      </w:r>
    </w:p>
    <w:p>
      <w:pPr>
        <w:spacing w:after="40"/>
      </w:pPr>
      <w:r>
        <w:rPr>
          <w:b/>
          <w:color w:val="A58F7A"/>
          <w:sz w:val="19"/>
        </w:rPr>
        <w:t xml:space="preserve">Psychological effect  </w:t>
      </w:r>
      <w:r>
        <w:rPr>
          <w:sz w:val="19"/>
        </w:rPr>
        <w:t>Discovery, warmth.</w:t>
      </w:r>
    </w:p>
    <w:p>
      <w:pPr>
        <w:spacing w:after="40"/>
      </w:pPr>
      <w:r>
        <w:rPr>
          <w:b/>
          <w:color w:val="A58F7A"/>
          <w:sz w:val="19"/>
        </w:rPr>
        <w:t xml:space="preserve">Scores  </w:t>
      </w:r>
      <w:r>
        <w:rPr>
          <w:sz w:val="19"/>
        </w:rPr>
        <w:t>Luxury 7 · Memorability 7 · Scalability 6 · Ownership 7</w:t>
      </w:r>
    </w:p>
    <w:p>
      <w:pPr>
        <w:spacing w:after="160"/>
      </w:pPr>
      <w:r>
        <w:rPr>
          <w:b/>
          <w:color w:val="8B2C1A"/>
          <w:sz w:val="19"/>
        </w:rPr>
        <w:t xml:space="preserve">Risk  </w:t>
      </w:r>
      <w:r>
        <w:rPr>
          <w:sz w:val="19"/>
        </w:rPr>
        <w:t>Cleverness risk; can look forced and breaks down small.</w:t>
      </w:r>
    </w:p>
    <w:p>
      <w:pPr>
        <w:spacing w:before="240" w:after="80"/>
      </w:pPr>
      <w:r>
        <w:rPr>
          <w:rFonts w:ascii="Georgia" w:hAnsi="Georgia"/>
          <w:b/>
          <w:color w:val="2C1A10"/>
          <w:sz w:val="26"/>
        </w:rPr>
        <w:t>27 · The Bracket Frame   —  27/40</w:t>
      </w:r>
    </w:p>
    <w:p>
      <w:pPr>
        <w:spacing w:after="40"/>
      </w:pPr>
      <w:r>
        <w:rPr>
          <w:i w:val="0"/>
          <w:color w:val="232323"/>
          <w:sz w:val="21"/>
        </w:rPr>
        <w:t>HIMA held between two fine brackets, suggesting protection/enclosure.</w:t>
      </w:r>
    </w:p>
    <w:p>
      <w:pPr>
        <w:spacing w:after="40"/>
      </w:pPr>
      <w:r>
        <w:rPr>
          <w:b/>
          <w:color w:val="A58F7A"/>
          <w:sz w:val="19"/>
        </w:rPr>
        <w:t xml:space="preserve">Strategic rationale  </w:t>
      </w:r>
      <w:r>
        <w:rPr>
          <w:sz w:val="19"/>
        </w:rPr>
        <w:t>Literal-but-abstract ‘held safe’ device.</w:t>
      </w:r>
    </w:p>
    <w:p>
      <w:pPr>
        <w:spacing w:after="40"/>
      </w:pPr>
      <w:r>
        <w:rPr>
          <w:b/>
          <w:color w:val="A58F7A"/>
          <w:sz w:val="19"/>
        </w:rPr>
        <w:t xml:space="preserve">Psychological effect  </w:t>
      </w:r>
      <w:r>
        <w:rPr>
          <w:sz w:val="19"/>
        </w:rPr>
        <w:t>Containment, safety.</w:t>
      </w:r>
    </w:p>
    <w:p>
      <w:pPr>
        <w:spacing w:after="40"/>
      </w:pPr>
      <w:r>
        <w:rPr>
          <w:b/>
          <w:color w:val="A58F7A"/>
          <w:sz w:val="19"/>
        </w:rPr>
        <w:t xml:space="preserve">Scores  </w:t>
      </w:r>
      <w:r>
        <w:rPr>
          <w:sz w:val="19"/>
        </w:rPr>
        <w:t>Luxury 6 · Memorability 7 · Scalability 7 · Ownership 7</w:t>
      </w:r>
    </w:p>
    <w:p>
      <w:pPr>
        <w:spacing w:after="160"/>
      </w:pPr>
      <w:r>
        <w:rPr>
          <w:b/>
          <w:color w:val="8B2C1A"/>
          <w:sz w:val="19"/>
        </w:rPr>
        <w:t xml:space="preserve">Risk  </w:t>
      </w:r>
      <w:r>
        <w:rPr>
          <w:sz w:val="19"/>
        </w:rPr>
        <w:t>Brackets can read as code/tech and clutter the wordmark.</w:t>
      </w:r>
    </w:p>
    <w:p>
      <w:pPr>
        <w:spacing w:before="240" w:after="80"/>
      </w:pPr>
      <w:r>
        <w:rPr>
          <w:rFonts w:ascii="Georgia" w:hAnsi="Georgia"/>
          <w:b/>
          <w:color w:val="2C1A10"/>
          <w:sz w:val="26"/>
        </w:rPr>
        <w:t>07 · HM Interlock   —  27/40</w:t>
      </w:r>
    </w:p>
    <w:p>
      <w:pPr>
        <w:spacing w:after="40"/>
      </w:pPr>
      <w:r>
        <w:rPr>
          <w:i w:val="0"/>
          <w:color w:val="232323"/>
          <w:sz w:val="21"/>
        </w:rPr>
        <w:t>Interlocking H and M ligature monogram.</w:t>
      </w:r>
    </w:p>
    <w:p>
      <w:pPr>
        <w:spacing w:after="40"/>
      </w:pPr>
      <w:r>
        <w:rPr>
          <w:b/>
          <w:color w:val="A58F7A"/>
          <w:sz w:val="19"/>
        </w:rPr>
        <w:t xml:space="preserve">Strategic rationale  </w:t>
      </w:r>
      <w:r>
        <w:rPr>
          <w:sz w:val="19"/>
        </w:rPr>
        <w:t>Classic maison monogram move (CC, GG, YSL).</w:t>
      </w:r>
    </w:p>
    <w:p>
      <w:pPr>
        <w:spacing w:after="40"/>
      </w:pPr>
      <w:r>
        <w:rPr>
          <w:b/>
          <w:color w:val="A58F7A"/>
          <w:sz w:val="19"/>
        </w:rPr>
        <w:t xml:space="preserve">Psychological effect  </w:t>
      </w:r>
      <w:r>
        <w:rPr>
          <w:sz w:val="19"/>
        </w:rPr>
        <w:t>Established, heritage-coded.</w:t>
      </w:r>
    </w:p>
    <w:p>
      <w:pPr>
        <w:spacing w:after="40"/>
      </w:pPr>
      <w:r>
        <w:rPr>
          <w:b/>
          <w:color w:val="A58F7A"/>
          <w:sz w:val="19"/>
        </w:rPr>
        <w:t xml:space="preserve">Scores  </w:t>
      </w:r>
      <w:r>
        <w:rPr>
          <w:sz w:val="19"/>
        </w:rPr>
        <w:t>Luxury 7 · Memorability 6 · Scalability 8 · Ownership 6</w:t>
      </w:r>
    </w:p>
    <w:p>
      <w:pPr>
        <w:spacing w:after="160"/>
      </w:pPr>
      <w:r>
        <w:rPr>
          <w:b/>
          <w:color w:val="8B2C1A"/>
          <w:sz w:val="19"/>
        </w:rPr>
        <w:t xml:space="preserve">Risk  </w:t>
      </w:r>
      <w:r>
        <w:rPr>
          <w:sz w:val="19"/>
        </w:rPr>
        <w:t>Monogram territory is crowded and can feel derivative; weaker for a one-word brand.</w:t>
      </w:r>
    </w:p>
    <w:p>
      <w:pPr>
        <w:spacing w:before="240" w:after="80"/>
      </w:pPr>
      <w:r>
        <w:rPr>
          <w:rFonts w:ascii="Georgia" w:hAnsi="Georgia"/>
          <w:b/>
          <w:color w:val="2C1A10"/>
          <w:sz w:val="26"/>
        </w:rPr>
        <w:t>19 · The Confidence Underline   —  27/40</w:t>
      </w:r>
    </w:p>
    <w:p>
      <w:pPr>
        <w:spacing w:after="40"/>
      </w:pPr>
      <w:r>
        <w:rPr>
          <w:i w:val="0"/>
          <w:color w:val="232323"/>
          <w:sz w:val="21"/>
        </w:rPr>
        <w:t>Wordmark with a single hairline underline — a name signed with assurance.</w:t>
      </w:r>
    </w:p>
    <w:p>
      <w:pPr>
        <w:spacing w:after="40"/>
      </w:pPr>
      <w:r>
        <w:rPr>
          <w:b/>
          <w:color w:val="A58F7A"/>
          <w:sz w:val="19"/>
        </w:rPr>
        <w:t xml:space="preserve">Strategic rationale  </w:t>
      </w:r>
      <w:r>
        <w:rPr>
          <w:sz w:val="19"/>
        </w:rPr>
        <w:t>Self-possession; ‘her name, underlined’.</w:t>
      </w:r>
    </w:p>
    <w:p>
      <w:pPr>
        <w:spacing w:after="40"/>
      </w:pPr>
      <w:r>
        <w:rPr>
          <w:b/>
          <w:color w:val="A58F7A"/>
          <w:sz w:val="19"/>
        </w:rPr>
        <w:t xml:space="preserve">Psychological effect  </w:t>
      </w:r>
      <w:r>
        <w:rPr>
          <w:sz w:val="19"/>
        </w:rPr>
        <w:t>Confidence, ownership of self.</w:t>
      </w:r>
    </w:p>
    <w:p>
      <w:pPr>
        <w:spacing w:after="40"/>
      </w:pPr>
      <w:r>
        <w:rPr>
          <w:b/>
          <w:color w:val="A58F7A"/>
          <w:sz w:val="19"/>
        </w:rPr>
        <w:t xml:space="preserve">Scores  </w:t>
      </w:r>
      <w:r>
        <w:rPr>
          <w:sz w:val="19"/>
        </w:rPr>
        <w:t>Luxury 7 · Memorability 6 · Scalability 8 · Ownership 6</w:t>
      </w:r>
    </w:p>
    <w:p>
      <w:pPr>
        <w:spacing w:after="160"/>
      </w:pPr>
      <w:r>
        <w:rPr>
          <w:b/>
          <w:color w:val="8B2C1A"/>
          <w:sz w:val="19"/>
        </w:rPr>
        <w:t xml:space="preserve">Risk  </w:t>
      </w:r>
      <w:r>
        <w:rPr>
          <w:sz w:val="19"/>
        </w:rPr>
        <w:t>Underlines are common; low distinctiveness on their own.</w:t>
      </w:r>
    </w:p>
    <w:p>
      <w:pPr>
        <w:spacing w:before="240" w:after="80"/>
      </w:pPr>
      <w:r>
        <w:rPr>
          <w:rFonts w:ascii="Georgia" w:hAnsi="Georgia"/>
          <w:b/>
          <w:color w:val="2C1A10"/>
          <w:sz w:val="26"/>
        </w:rPr>
        <w:t>23 · Maison Lockup   —  27/40</w:t>
      </w:r>
    </w:p>
    <w:p>
      <w:pPr>
        <w:spacing w:after="40"/>
      </w:pPr>
      <w:r>
        <w:rPr>
          <w:i w:val="0"/>
          <w:color w:val="232323"/>
          <w:sz w:val="21"/>
        </w:rPr>
        <w:t>HIMA over a small ‘MAISON’ or ‘EST.’ line.</w:t>
      </w:r>
    </w:p>
    <w:p>
      <w:pPr>
        <w:spacing w:after="40"/>
      </w:pPr>
      <w:r>
        <w:rPr>
          <w:b/>
          <w:color w:val="A58F7A"/>
          <w:sz w:val="19"/>
        </w:rPr>
        <w:t xml:space="preserve">Strategic rationale  </w:t>
      </w:r>
      <w:r>
        <w:rPr>
          <w:sz w:val="19"/>
        </w:rPr>
        <w:t>Borrows fashion-house credibility instantly.</w:t>
      </w:r>
    </w:p>
    <w:p>
      <w:pPr>
        <w:spacing w:after="40"/>
      </w:pPr>
      <w:r>
        <w:rPr>
          <w:b/>
          <w:color w:val="A58F7A"/>
          <w:sz w:val="19"/>
        </w:rPr>
        <w:t xml:space="preserve">Psychological effect  </w:t>
      </w:r>
      <w:r>
        <w:rPr>
          <w:sz w:val="19"/>
        </w:rPr>
        <w:t>Establishment, legitimacy.</w:t>
      </w:r>
    </w:p>
    <w:p>
      <w:pPr>
        <w:spacing w:after="40"/>
      </w:pPr>
      <w:r>
        <w:rPr>
          <w:b/>
          <w:color w:val="A58F7A"/>
          <w:sz w:val="19"/>
        </w:rPr>
        <w:t xml:space="preserve">Scores  </w:t>
      </w:r>
      <w:r>
        <w:rPr>
          <w:sz w:val="19"/>
        </w:rPr>
        <w:t>Luxury 7 · Memorability 6 · Scalability 8 · Ownership 6</w:t>
      </w:r>
    </w:p>
    <w:p>
      <w:pPr>
        <w:spacing w:after="160"/>
      </w:pPr>
      <w:r>
        <w:rPr>
          <w:b/>
          <w:color w:val="8B2C1A"/>
          <w:sz w:val="19"/>
        </w:rPr>
        <w:t xml:space="preserve">Risk  </w:t>
      </w:r>
      <w:r>
        <w:rPr>
          <w:sz w:val="19"/>
        </w:rPr>
        <w:t>Descriptor crutch; the brand should earn ‘maison’ status, not assert it early.</w:t>
      </w:r>
    </w:p>
    <w:p>
      <w:pPr>
        <w:spacing w:before="240" w:after="80"/>
      </w:pPr>
      <w:r>
        <w:rPr>
          <w:rFonts w:ascii="Georgia" w:hAnsi="Georgia"/>
          <w:b/>
          <w:color w:val="2C1A10"/>
          <w:sz w:val="26"/>
        </w:rPr>
        <w:t>29 · Arabic–Latin Dyad   —  26/40</w:t>
      </w:r>
    </w:p>
    <w:p>
      <w:pPr>
        <w:spacing w:after="40"/>
      </w:pPr>
      <w:r>
        <w:rPr>
          <w:i w:val="0"/>
          <w:color w:val="232323"/>
          <w:sz w:val="21"/>
        </w:rPr>
        <w:t>Latin HIMA paired with a refined Arabic حِمى calligraphic mark.</w:t>
      </w:r>
    </w:p>
    <w:p>
      <w:pPr>
        <w:spacing w:after="40"/>
      </w:pPr>
      <w:r>
        <w:rPr>
          <w:b/>
          <w:color w:val="A58F7A"/>
          <w:sz w:val="19"/>
        </w:rPr>
        <w:t xml:space="preserve">Strategic rationale  </w:t>
      </w:r>
      <w:r>
        <w:rPr>
          <w:sz w:val="19"/>
        </w:rPr>
        <w:t>Cultural depth and authenticity.</w:t>
      </w:r>
    </w:p>
    <w:p>
      <w:pPr>
        <w:spacing w:after="40"/>
      </w:pPr>
      <w:r>
        <w:rPr>
          <w:b/>
          <w:color w:val="A58F7A"/>
          <w:sz w:val="19"/>
        </w:rPr>
        <w:t xml:space="preserve">Psychological effect  </w:t>
      </w:r>
      <w:r>
        <w:rPr>
          <w:sz w:val="19"/>
        </w:rPr>
        <w:t>Rootedness, pride.</w:t>
      </w:r>
    </w:p>
    <w:p>
      <w:pPr>
        <w:spacing w:after="40"/>
      </w:pPr>
      <w:r>
        <w:rPr>
          <w:b/>
          <w:color w:val="A58F7A"/>
          <w:sz w:val="19"/>
        </w:rPr>
        <w:t xml:space="preserve">Scores  </w:t>
      </w:r>
      <w:r>
        <w:rPr>
          <w:sz w:val="19"/>
        </w:rPr>
        <w:t>Luxury 6 · Memorability 7 · Scalability 6 · Ownership 7</w:t>
      </w:r>
    </w:p>
    <w:p>
      <w:pPr>
        <w:spacing w:after="160"/>
      </w:pPr>
      <w:r>
        <w:rPr>
          <w:b/>
          <w:color w:val="8B2C1A"/>
          <w:sz w:val="19"/>
        </w:rPr>
        <w:t xml:space="preserve">Risk  </w:t>
      </w:r>
      <w:r>
        <w:rPr>
          <w:sz w:val="19"/>
        </w:rPr>
        <w:t>Pulls toward religious/regional read and against the globally-portable, non-religious brief; harder to scale into beauty/home/RTW.</w:t>
      </w:r>
    </w:p>
    <w:p>
      <w:pPr>
        <w:spacing w:before="240" w:after="80"/>
      </w:pPr>
      <w:r>
        <w:rPr>
          <w:rFonts w:ascii="Georgia" w:hAnsi="Georgia"/>
          <w:b/>
          <w:color w:val="2C1A10"/>
          <w:sz w:val="26"/>
        </w:rPr>
        <w:t>09 · Humanist Lowercase   —  25/40</w:t>
      </w:r>
    </w:p>
    <w:p>
      <w:pPr>
        <w:spacing w:after="40"/>
      </w:pPr>
      <w:r>
        <w:rPr>
          <w:i w:val="0"/>
          <w:color w:val="232323"/>
          <w:sz w:val="21"/>
        </w:rPr>
        <w:t>Soft all-lowercase ‘hima’ in a warm humanist serif.</w:t>
      </w:r>
    </w:p>
    <w:p>
      <w:pPr>
        <w:spacing w:after="40"/>
      </w:pPr>
      <w:r>
        <w:rPr>
          <w:b/>
          <w:color w:val="A58F7A"/>
          <w:sz w:val="19"/>
        </w:rPr>
        <w:t xml:space="preserve">Strategic rationale  </w:t>
      </w:r>
      <w:r>
        <w:rPr>
          <w:sz w:val="19"/>
        </w:rPr>
        <w:t>Approachable, modern, gentle.</w:t>
      </w:r>
    </w:p>
    <w:p>
      <w:pPr>
        <w:spacing w:after="40"/>
      </w:pPr>
      <w:r>
        <w:rPr>
          <w:b/>
          <w:color w:val="A58F7A"/>
          <w:sz w:val="19"/>
        </w:rPr>
        <w:t xml:space="preserve">Psychological effect  </w:t>
      </w:r>
      <w:r>
        <w:rPr>
          <w:sz w:val="19"/>
        </w:rPr>
        <w:t>Friendly intimacy.</w:t>
      </w:r>
    </w:p>
    <w:p>
      <w:pPr>
        <w:spacing w:after="40"/>
      </w:pPr>
      <w:r>
        <w:rPr>
          <w:b/>
          <w:color w:val="A58F7A"/>
          <w:sz w:val="19"/>
        </w:rPr>
        <w:t xml:space="preserve">Scores  </w:t>
      </w:r>
      <w:r>
        <w:rPr>
          <w:sz w:val="19"/>
        </w:rPr>
        <w:t>Luxury 6 · Memorability 6 · Scalability 7 · Ownership 6</w:t>
      </w:r>
    </w:p>
    <w:p>
      <w:pPr>
        <w:spacing w:after="160"/>
      </w:pPr>
      <w:r>
        <w:rPr>
          <w:b/>
          <w:color w:val="8B2C1A"/>
          <w:sz w:val="19"/>
        </w:rPr>
        <w:t xml:space="preserve">Risk  </w:t>
      </w:r>
      <w:r>
        <w:rPr>
          <w:sz w:val="19"/>
        </w:rPr>
        <w:t>Lowercase reads contemporary-startup, not luxury house; ages with the tech-brand cycle.</w:t>
      </w:r>
    </w:p>
    <w:p>
      <w:pPr>
        <w:spacing w:before="240" w:after="80"/>
      </w:pPr>
      <w:r>
        <w:rPr>
          <w:rFonts w:ascii="Georgia" w:hAnsi="Georgia"/>
          <w:b/>
          <w:color w:val="2C1A10"/>
          <w:sz w:val="26"/>
        </w:rPr>
        <w:t>14 · Inscriptional Capitals   —  25/40</w:t>
      </w:r>
    </w:p>
    <w:p>
      <w:pPr>
        <w:spacing w:after="40"/>
      </w:pPr>
      <w:r>
        <w:rPr>
          <w:i w:val="0"/>
          <w:color w:val="232323"/>
          <w:sz w:val="21"/>
        </w:rPr>
        <w:t>Trajan-style wide Roman capitals.</w:t>
      </w:r>
    </w:p>
    <w:p>
      <w:pPr>
        <w:spacing w:after="40"/>
      </w:pPr>
      <w:r>
        <w:rPr>
          <w:b/>
          <w:color w:val="A58F7A"/>
          <w:sz w:val="19"/>
        </w:rPr>
        <w:t xml:space="preserve">Strategic rationale  </w:t>
      </w:r>
      <w:r>
        <w:rPr>
          <w:sz w:val="19"/>
        </w:rPr>
        <w:t>Timeless, classical gravitas.</w:t>
      </w:r>
    </w:p>
    <w:p>
      <w:pPr>
        <w:spacing w:after="40"/>
      </w:pPr>
      <w:r>
        <w:rPr>
          <w:b/>
          <w:color w:val="A58F7A"/>
          <w:sz w:val="19"/>
        </w:rPr>
        <w:t xml:space="preserve">Psychological effect  </w:t>
      </w:r>
      <w:r>
        <w:rPr>
          <w:sz w:val="19"/>
        </w:rPr>
        <w:t>Permanence, civilisation, trust.</w:t>
      </w:r>
    </w:p>
    <w:p>
      <w:pPr>
        <w:spacing w:after="40"/>
      </w:pPr>
      <w:r>
        <w:rPr>
          <w:b/>
          <w:color w:val="A58F7A"/>
          <w:sz w:val="19"/>
        </w:rPr>
        <w:t xml:space="preserve">Scores  </w:t>
      </w:r>
      <w:r>
        <w:rPr>
          <w:sz w:val="19"/>
        </w:rPr>
        <w:t>Luxury 7 · Memorability 5 · Scalability 8 · Ownership 5</w:t>
      </w:r>
    </w:p>
    <w:p>
      <w:pPr>
        <w:spacing w:after="160"/>
      </w:pPr>
      <w:r>
        <w:rPr>
          <w:b/>
          <w:color w:val="8B2C1A"/>
          <w:sz w:val="19"/>
        </w:rPr>
        <w:t xml:space="preserve">Risk  </w:t>
      </w:r>
      <w:r>
        <w:rPr>
          <w:sz w:val="19"/>
        </w:rPr>
        <w:t>The most over-used luxury default; near-zero ownership.</w:t>
      </w:r>
    </w:p>
    <w:p>
      <w:pPr>
        <w:spacing w:before="240" w:after="80"/>
      </w:pPr>
      <w:r>
        <w:rPr>
          <w:rFonts w:ascii="Georgia" w:hAnsi="Georgia"/>
          <w:b/>
          <w:color w:val="2C1A10"/>
          <w:sz w:val="26"/>
        </w:rPr>
        <w:t>21 · Quiet Sans   —  25/40</w:t>
      </w:r>
    </w:p>
    <w:p>
      <w:pPr>
        <w:spacing w:after="40"/>
      </w:pPr>
      <w:r>
        <w:rPr>
          <w:i w:val="0"/>
          <w:color w:val="232323"/>
          <w:sz w:val="21"/>
        </w:rPr>
        <w:t>Stripped monoline sans wordmark in the current luxury-rebrand idiom.</w:t>
      </w:r>
    </w:p>
    <w:p>
      <w:pPr>
        <w:spacing w:after="40"/>
      </w:pPr>
      <w:r>
        <w:rPr>
          <w:b/>
          <w:color w:val="A58F7A"/>
          <w:sz w:val="19"/>
        </w:rPr>
        <w:t xml:space="preserve">Strategic rationale  </w:t>
      </w:r>
      <w:r>
        <w:rPr>
          <w:sz w:val="19"/>
        </w:rPr>
        <w:t>Signals contemporary minimalism.</w:t>
      </w:r>
    </w:p>
    <w:p>
      <w:pPr>
        <w:spacing w:after="40"/>
      </w:pPr>
      <w:r>
        <w:rPr>
          <w:b/>
          <w:color w:val="A58F7A"/>
          <w:sz w:val="19"/>
        </w:rPr>
        <w:t xml:space="preserve">Psychological effect  </w:t>
      </w:r>
      <w:r>
        <w:rPr>
          <w:sz w:val="19"/>
        </w:rPr>
        <w:t>Cool detachment.</w:t>
      </w:r>
    </w:p>
    <w:p>
      <w:pPr>
        <w:spacing w:after="40"/>
      </w:pPr>
      <w:r>
        <w:rPr>
          <w:b/>
          <w:color w:val="A58F7A"/>
          <w:sz w:val="19"/>
        </w:rPr>
        <w:t xml:space="preserve">Scores  </w:t>
      </w:r>
      <w:r>
        <w:rPr>
          <w:sz w:val="19"/>
        </w:rPr>
        <w:t>Luxury 6 · Memorability 5 · Scalability 9 · Ownership 5</w:t>
      </w:r>
    </w:p>
    <w:p>
      <w:pPr>
        <w:spacing w:after="160"/>
      </w:pPr>
      <w:r>
        <w:rPr>
          <w:b/>
          <w:color w:val="8B2C1A"/>
          <w:sz w:val="19"/>
        </w:rPr>
        <w:t xml:space="preserve">Risk  </w:t>
      </w:r>
      <w:r>
        <w:rPr>
          <w:sz w:val="19"/>
        </w:rPr>
        <w:t>Loses HIMA’s warmth/femininity; rides a cycle that will reverse; crowded.</w:t>
      </w:r>
    </w:p>
    <w:p>
      <w:pPr>
        <w:spacing w:before="240" w:after="80"/>
      </w:pPr>
      <w:r>
        <w:rPr>
          <w:rFonts w:ascii="Georgia" w:hAnsi="Georgia"/>
          <w:b/>
          <w:color w:val="2C1A10"/>
          <w:sz w:val="26"/>
        </w:rPr>
        <w:t>08 · Crescent Counter   —  21/40</w:t>
      </w:r>
    </w:p>
    <w:p>
      <w:pPr>
        <w:spacing w:after="40"/>
      </w:pPr>
      <w:r>
        <w:rPr>
          <w:i w:val="0"/>
          <w:color w:val="232323"/>
          <w:sz w:val="21"/>
        </w:rPr>
        <w:t>A crescent shape hidden in a letter counter.</w:t>
      </w:r>
    </w:p>
    <w:p>
      <w:pPr>
        <w:spacing w:after="40"/>
      </w:pPr>
      <w:r>
        <w:rPr>
          <w:b/>
          <w:color w:val="A58F7A"/>
          <w:sz w:val="19"/>
        </w:rPr>
        <w:t xml:space="preserve">Strategic rationale  </w:t>
      </w:r>
      <w:r>
        <w:rPr>
          <w:sz w:val="19"/>
        </w:rPr>
        <w:t>Nods to cultural identity covertly.</w:t>
      </w:r>
    </w:p>
    <w:p>
      <w:pPr>
        <w:spacing w:after="40"/>
      </w:pPr>
      <w:r>
        <w:rPr>
          <w:b/>
          <w:color w:val="A58F7A"/>
          <w:sz w:val="19"/>
        </w:rPr>
        <w:t xml:space="preserve">Psychological effect  </w:t>
      </w:r>
      <w:r>
        <w:rPr>
          <w:sz w:val="19"/>
        </w:rPr>
        <w:t>Recognition for insiders.</w:t>
      </w:r>
    </w:p>
    <w:p>
      <w:pPr>
        <w:spacing w:after="40"/>
      </w:pPr>
      <w:r>
        <w:rPr>
          <w:b/>
          <w:color w:val="A58F7A"/>
          <w:sz w:val="19"/>
        </w:rPr>
        <w:t xml:space="preserve">Scores  </w:t>
      </w:r>
      <w:r>
        <w:rPr>
          <w:sz w:val="19"/>
        </w:rPr>
        <w:t>Luxury 4 · Memorability 6 · Scalability 6 · Ownership 5</w:t>
      </w:r>
    </w:p>
    <w:p>
      <w:pPr>
        <w:spacing w:after="160"/>
      </w:pPr>
      <w:r>
        <w:rPr>
          <w:b/>
          <w:color w:val="8B2C1A"/>
          <w:sz w:val="19"/>
        </w:rPr>
        <w:t xml:space="preserve">Risk  </w:t>
      </w:r>
      <w:r>
        <w:rPr>
          <w:sz w:val="19"/>
        </w:rPr>
        <w:t>Violates the no-religious-symbol brief even when subtle; risks category-capping.</w:t>
      </w:r>
    </w:p>
    <w:p>
      <w:r>
        <w:br w:type="page"/>
      </w:r>
    </w:p>
    <w:p>
      <w:pPr>
        <w:spacing w:before="360" w:after="160"/>
        <w:pBdr>
          <w:bottom w:val="single" w:sz="6" w:space="4" w:color="A58F7A"/>
        </w:pBdr>
      </w:pPr>
      <w:r>
        <w:rPr>
          <w:rFonts w:ascii="Georgia" w:hAnsi="Georgia"/>
          <w:b/>
          <w:color w:val="2C1A10"/>
          <w:sz w:val="36"/>
        </w:rPr>
        <w:t>5. Ranking &amp; Elimination</w:t>
      </w:r>
    </w:p>
    <w:p>
      <w:pPr>
        <w:spacing w:after="120"/>
      </w:pPr>
      <w:r>
        <w:rPr>
          <w:i w:val="0"/>
          <w:color w:val="232323"/>
          <w:sz w:val="21"/>
        </w:rPr>
        <w:t>Ranked by total score, then by ownership potential as the tie-breaker — because in a crowded market, the ability to own a mark outright is worth more than incremental beauty.</w:t>
      </w:r>
    </w:p>
    <w:p>
      <w:pPr>
        <w:spacing w:after="120"/>
      </w:pPr>
      <w:r>
        <w:rPr>
          <w:i w:val="0"/>
          <w:color w:val="232323"/>
          <w:sz w:val="21"/>
        </w:rPr>
        <w:t>The field of thirty collapses to three. Everything below the shortlist either capped the brand in a religious/regional niche, leaned on borrowed luxury defaults with no ownable detail, rode a trend cycle, or failed the scalability test for foil seals and embroidery.</w:t>
      </w:r>
    </w:p>
    <w:p>
      <w:pPr>
        <w:spacing w:before="240" w:after="80"/>
      </w:pPr>
      <w:r>
        <w:rPr>
          <w:rFonts w:ascii="Georgia" w:hAnsi="Georgia"/>
          <w:b/>
          <w:color w:val="2C1A10"/>
          <w:sz w:val="26"/>
        </w:rPr>
        <w:t>The Final Three</w:t>
      </w:r>
    </w:p>
    <w:p>
      <w:pPr>
        <w:spacing w:after="120"/>
      </w:pPr>
      <w:r>
        <w:rPr>
          <w:i w:val="0"/>
          <w:color w:val="2C1A10"/>
          <w:sz w:val="21"/>
        </w:rPr>
        <w:t>1.  The Shelter Line  (39/40)</w:t>
      </w:r>
    </w:p>
    <w:p>
      <w:pPr>
        <w:spacing w:after="120"/>
      </w:pPr>
      <w:r>
        <w:rPr>
          <w:i w:val="0"/>
          <w:color w:val="2C1A10"/>
          <w:sz w:val="21"/>
        </w:rPr>
        <w:t>2.  Sculpted H Monogram  (36/40)</w:t>
      </w:r>
    </w:p>
    <w:p>
      <w:pPr>
        <w:spacing w:after="120"/>
      </w:pPr>
      <w:r>
        <w:rPr>
          <w:i w:val="0"/>
          <w:color w:val="2C1A10"/>
          <w:sz w:val="21"/>
        </w:rPr>
        <w:t>3.  Contemporary Contrast Cut  (35/40)</w:t>
      </w:r>
    </w:p>
    <w:p>
      <w:pPr>
        <w:spacing w:before="360" w:after="160"/>
        <w:pBdr>
          <w:bottom w:val="single" w:sz="6" w:space="4" w:color="A58F7A"/>
        </w:pBdr>
      </w:pPr>
      <w:r>
        <w:rPr>
          <w:rFonts w:ascii="Georgia" w:hAnsi="Georgia"/>
          <w:b/>
          <w:color w:val="2C1A10"/>
          <w:sz w:val="36"/>
        </w:rPr>
        <w:t>6. Final Recommendation — The Shelter Line</w:t>
      </w:r>
    </w:p>
    <w:p>
      <w:pPr>
        <w:spacing w:after="120"/>
      </w:pPr>
      <w:r>
        <w:rPr>
          <w:i w:val="0"/>
          <w:color w:val="232323"/>
          <w:sz w:val="21"/>
        </w:rPr>
        <w:t>Recommended direction: a proprietary high-contrast Didone wordmark, HIMA, set in wide-tracked capitals, in which the crossbar of the H is extended into a fine horizontal line that shelters the word. That line is the brand’s ownable signature: it detaches to sit above any product name, becomes the rule on a hang tag, the emboss on a dust bag, the divider in an editorial, and — condensed into the sculpted H — the app and hardware icon.</w:t>
      </w:r>
    </w:p>
    <w:p>
      <w:pPr>
        <w:spacing w:before="240" w:after="80"/>
      </w:pPr>
      <w:r>
        <w:rPr>
          <w:rFonts w:ascii="Georgia" w:hAnsi="Georgia"/>
          <w:b/>
          <w:color w:val="2C1A10"/>
          <w:sz w:val="26"/>
        </w:rPr>
        <w:t>Why it beats the other twenty-nine</w:t>
      </w:r>
    </w:p>
    <w:p>
      <w:pPr>
        <w:pStyle w:val="ListBullet"/>
        <w:spacing w:after="60"/>
      </w:pPr>
      <w:r>
        <w:rPr>
          <w:b/>
          <w:color w:val="2C1A10"/>
        </w:rPr>
        <w:t xml:space="preserve">Balance — </w:t>
      </w:r>
      <w:r>
        <w:rPr>
          <w:color w:val="232323"/>
        </w:rPr>
        <w:t>it wins on all four axes at once (Luxury 10, Memorability 9, Scalability 10, Ownership 10) where rivals trade one for another — the editorial Didone is beautiful but generic; the quiet sans scales but loses warmth; the Arabic dyad has depth but caps the niche.</w:t>
      </w:r>
    </w:p>
    <w:p>
      <w:pPr>
        <w:pStyle w:val="ListBullet"/>
        <w:spacing w:after="60"/>
      </w:pPr>
      <w:r>
        <w:rPr>
          <w:b/>
          <w:color w:val="2C1A10"/>
        </w:rPr>
        <w:t xml:space="preserve">Meaning — </w:t>
      </w:r>
      <w:r>
        <w:rPr>
          <w:color w:val="232323"/>
        </w:rPr>
        <w:t>it carries meaning without symbolism. Protection, embrace and sanctuary emerge from the act of one letter sheltering the others — the brief’s exact demand that ‘symbolism emerge from typography itself.’</w:t>
      </w:r>
    </w:p>
    <w:p>
      <w:pPr>
        <w:pStyle w:val="ListBullet"/>
        <w:spacing w:after="60"/>
      </w:pPr>
      <w:r>
        <w:rPr>
          <w:b/>
          <w:color w:val="2C1A10"/>
        </w:rPr>
        <w:t xml:space="preserve">System — </w:t>
      </w:r>
      <w:r>
        <w:rPr>
          <w:color w:val="232323"/>
        </w:rPr>
        <w:t>the shelter line is a system, not a picture. One device unifies logo, packaging, retail, app and future categories without ever locking HIMA into hijabs.</w:t>
      </w:r>
    </w:p>
    <w:p>
      <w:pPr>
        <w:spacing w:before="240" w:after="80"/>
      </w:pPr>
      <w:r>
        <w:rPr>
          <w:rFonts w:ascii="Georgia" w:hAnsi="Georgia"/>
          <w:b/>
          <w:color w:val="2C1A10"/>
          <w:sz w:val="26"/>
        </w:rPr>
        <w:t>Why customers will remember it</w:t>
      </w:r>
    </w:p>
    <w:p>
      <w:pPr>
        <w:spacing w:after="120"/>
      </w:pPr>
      <w:r>
        <w:rPr>
          <w:i w:val="0"/>
          <w:color w:val="232323"/>
          <w:sz w:val="21"/>
        </w:rPr>
        <w:t>Memory in luxury comes from a discoverable secret, not a loud shape. A customer first reads a refined fashion wordmark; on second exposure she notices the line that holds the word; she then understands it means protection — the brand’s name. That three-step discovery (read → notice → understand) is exactly the “they finally understand me” moment HIMA is built on, and it is the mechanism by which quiet marks become unforgettable.</w:t>
      </w:r>
    </w:p>
    <w:p>
      <w:pPr>
        <w:spacing w:before="240" w:after="80"/>
      </w:pPr>
      <w:r>
        <w:rPr>
          <w:rFonts w:ascii="Georgia" w:hAnsi="Georgia"/>
          <w:b/>
          <w:color w:val="2C1A10"/>
          <w:sz w:val="26"/>
        </w:rPr>
        <w:t>Why competitors cannot easily copy it</w:t>
      </w:r>
    </w:p>
    <w:p>
      <w:pPr>
        <w:spacing w:after="120"/>
      </w:pPr>
      <w:r>
        <w:rPr>
          <w:i w:val="0"/>
          <w:color w:val="232323"/>
          <w:sz w:val="21"/>
        </w:rPr>
        <w:t>A crescent or a script can be traced in an afternoon. The Shelter Line cannot be copied without copying the idea — and the idea is tied to the meaning of the specific word HIMA. Any imitator extending a crossbar over a different name produces a hollow gesture with no semantic root, while a custom-drawn Didone with engineered contrast is itself non-trivial to reproduce. The brand is protected by concept, not just by shape.</w:t>
      </w:r>
    </w:p>
    <w:p>
      <w:pPr>
        <w:spacing w:before="240" w:after="80"/>
      </w:pPr>
      <w:r>
        <w:rPr>
          <w:rFonts w:ascii="Georgia" w:hAnsi="Georgia"/>
          <w:b/>
          <w:color w:val="2C1A10"/>
          <w:sz w:val="26"/>
        </w:rPr>
        <w:t>Why it is the defining mark of the next decade</w:t>
      </w:r>
    </w:p>
    <w:p>
      <w:pPr>
        <w:spacing w:after="120"/>
      </w:pPr>
      <w:r>
        <w:rPr>
          <w:i w:val="0"/>
          <w:color w:val="232323"/>
          <w:sz w:val="21"/>
        </w:rPr>
        <w:t>It sits natively beside The Row and Celine, so it is taken seriously by the luxury customer from day one; it refuses every religious and trend signal, so it never reads as merchandise or fast fashion; it is monochrome and geometry-driven, so it survives twenty years and every category from beauty to home; and it holds a single proprietary secret, so it is ownable and defensible. No competitor in modest fashion currently occupies editorial typographic luxury with an encoded protective symbol. That uncontested position, entered first with discipline, is the highest-probability route to category leadership.</w:t>
      </w:r>
    </w:p>
    <w:p>
      <w:pPr>
        <w:spacing w:before="240" w:after="80"/>
      </w:pPr>
      <w:r>
        <w:rPr>
          <w:rFonts w:ascii="Georgia" w:hAnsi="Georgia"/>
          <w:b/>
          <w:color w:val="2C1A10"/>
          <w:sz w:val="26"/>
        </w:rPr>
        <w:t>Execution notes</w:t>
      </w:r>
    </w:p>
    <w:p>
      <w:pPr>
        <w:pStyle w:val="ListBullet"/>
        <w:spacing w:after="60"/>
      </w:pPr>
      <w:r>
        <w:rPr>
          <w:b/>
          <w:color w:val="2C1A10"/>
        </w:rPr>
        <w:t xml:space="preserve">Wordmark — </w:t>
      </w:r>
      <w:r>
        <w:rPr>
          <w:color w:val="232323"/>
        </w:rPr>
        <w:t>Didone family with strong thick/thin contrast; capitals; tracking roughly 80–140 units depending on size; the shelter line at hairline-to-fine weight, length matching the wordmark, optically centred on the H crossbar height.</w:t>
      </w:r>
    </w:p>
    <w:p>
      <w:pPr>
        <w:pStyle w:val="ListBullet"/>
        <w:spacing w:after="60"/>
      </w:pPr>
      <w:r>
        <w:rPr>
          <w:b/>
          <w:color w:val="2C1A10"/>
        </w:rPr>
        <w:t xml:space="preserve">Colour — </w:t>
      </w:r>
      <w:r>
        <w:rPr>
          <w:color w:val="232323"/>
        </w:rPr>
        <w:t>Warm Ivory #F4EFE6 and Deep Espresso #2C1A10 as primary; Sand #DCCCB6 and Taupe #A58F7A as supporting; Charcoal #232323 for text. No gold gradient, ever.</w:t>
      </w:r>
    </w:p>
    <w:p>
      <w:pPr>
        <w:pStyle w:val="ListBullet"/>
        <w:spacing w:after="60"/>
      </w:pPr>
      <w:r>
        <w:rPr>
          <w:b/>
          <w:color w:val="2C1A10"/>
        </w:rPr>
        <w:t xml:space="preserve">Marks — </w:t>
      </w:r>
      <w:r>
        <w:rPr>
          <w:color w:val="232323"/>
        </w:rPr>
        <w:t>the sculpted H monogram with its sheltering crossbar for app, NFC hardware, embroidery and the foil seal; the detached shelter line as a universal divider.</w:t>
      </w:r>
    </w:p>
    <w:p>
      <w:pPr>
        <w:pStyle w:val="ListBullet"/>
        <w:spacing w:after="60"/>
      </w:pPr>
      <w:r>
        <w:rPr>
          <w:b/>
          <w:color w:val="2C1A10"/>
        </w:rPr>
        <w:t xml:space="preserve">Honest limit — </w:t>
      </w:r>
      <w:r>
        <w:rPr>
          <w:color w:val="232323"/>
        </w:rPr>
        <w:t>the launch Canva execution approximates this with a Didone face (e.g. a Bodoni/Didot-class font) plus a precise hairline rule standing in for the engineered crossbar. A type designer should later draw the true proprietary letterforms — this is the one upgrade that converts a strong launch identity into a fully ownable asset.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Calibri" w:hAnsi="Calibri"/>
      <w:color w:val="232323"/>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