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273EB6"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r>
                          <w:rPr>
                            <w:rFonts w:ascii="Cambria" w:hAnsi="Cambria" w:cs="Tahoma"/>
                            <w:b/>
                            <w:color w:val="FFFFFF" w:themeColor="background1"/>
                            <w:sz w:val="20"/>
                            <w:szCs w:val="20"/>
                          </w:rPr>
                          <w:t xml:space="preserve">ENGINEER  ||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ETL TESTING</w:t>
                        </w:r>
                      </w:p>
                      <w:p w:rsidR="00265A2E" w:rsidRPr="00DA453B" w:rsidRDefault="00265A2E" w:rsidP="00265A2E">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24500E" w:rsidP="009A7647">
                        <w:pPr>
                          <w:rPr>
                            <w:rFonts w:ascii="Cambria" w:hAnsi="Cambria" w:cs="Tahoma"/>
                            <w:color w:val="808080" w:themeColor="background1" w:themeShade="80"/>
                            <w:sz w:val="18"/>
                            <w:szCs w:val="18"/>
                          </w:rPr>
                        </w:pPr>
                        <w:r>
                          <w:rPr>
                            <w:rFonts w:ascii="Cambria" w:hAnsi="Cambria" w:cs="Tahoma"/>
                            <w:b/>
                            <w:color w:val="0976A9"/>
                            <w:sz w:val="18"/>
                            <w:szCs w:val="18"/>
                          </w:rPr>
                          <w:t xml:space="preserve">  </w:t>
                        </w:r>
                        <w:r w:rsidR="008D0979">
                          <w:rPr>
                            <w:rFonts w:ascii="Cambria" w:hAnsi="Cambria" w:cs="Tahoma"/>
                            <w:b/>
                            <w:color w:val="0976A9"/>
                            <w:sz w:val="18"/>
                            <w:szCs w:val="18"/>
                          </w:rPr>
                          <w:t xml:space="preserve">    </w:t>
                        </w:r>
                        <w:r w:rsidR="009A7647">
                          <w:rPr>
                            <w:rFonts w:ascii="Cambria" w:hAnsi="Cambria" w:cs="Tahoma"/>
                            <w:noProof/>
                            <w:color w:val="0976A9"/>
                            <w:sz w:val="18"/>
                            <w:szCs w:val="18"/>
                            <w:lang w:val="en-IN" w:eastAsia="en-IN"/>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009A7647" w:rsidRPr="009A7647">
                          <w:rPr>
                            <w:rFonts w:ascii="Cambria" w:hAnsi="Cambria" w:cs="Tahoma"/>
                            <w:b/>
                            <w:color w:val="0976A9"/>
                            <w:sz w:val="18"/>
                            <w:szCs w:val="18"/>
                          </w:rPr>
                          <w:t>PRUDIVDS@gmail.com</w:t>
                        </w:r>
                        <w:r w:rsidR="009A7647">
                          <w:rPr>
                            <w:rFonts w:ascii="Cambria" w:hAnsi="Cambria" w:cs="Tahoma"/>
                            <w:color w:val="0976A9"/>
                            <w:sz w:val="18"/>
                            <w:szCs w:val="18"/>
                          </w:rPr>
                          <w:t xml:space="preserve">                                          </w:t>
                        </w:r>
                        <w:r>
                          <w:rPr>
                            <w:rFonts w:ascii="Cambria" w:hAnsi="Cambria" w:cs="Tahoma"/>
                            <w:color w:val="0976A9"/>
                            <w:sz w:val="18"/>
                            <w:szCs w:val="18"/>
                          </w:rPr>
                          <w:t xml:space="preserve">     </w:t>
                        </w:r>
                        <w:r w:rsidR="009A7647">
                          <w:rPr>
                            <w:rFonts w:ascii="Cambria" w:hAnsi="Cambria" w:cs="Tahoma"/>
                            <w:color w:val="0976A9"/>
                            <w:sz w:val="18"/>
                            <w:szCs w:val="18"/>
                          </w:rPr>
                          <w:t xml:space="preserve"> DOB: 19</w:t>
                        </w:r>
                        <w:r w:rsidR="009A7647">
                          <w:rPr>
                            <w:rFonts w:ascii="Cambria" w:hAnsi="Cambria" w:cs="Tahoma"/>
                            <w:color w:val="0976A9"/>
                            <w:sz w:val="18"/>
                            <w:szCs w:val="18"/>
                            <w:vertAlign w:val="superscript"/>
                          </w:rPr>
                          <w:t xml:space="preserve">th </w:t>
                        </w:r>
                        <w:r w:rsidR="009A7647">
                          <w:rPr>
                            <w:rFonts w:ascii="Cambria" w:hAnsi="Cambria" w:cs="Tahoma"/>
                            <w:color w:val="0976A9"/>
                            <w:sz w:val="18"/>
                            <w:szCs w:val="18"/>
                          </w:rPr>
                          <w:t xml:space="preserve">May </w:t>
                        </w:r>
                        <w:r>
                          <w:rPr>
                            <w:rFonts w:ascii="Cambria" w:hAnsi="Cambria" w:cs="Tahoma"/>
                            <w:color w:val="0976A9"/>
                            <w:sz w:val="18"/>
                            <w:szCs w:val="18"/>
                          </w:rPr>
                          <w:t xml:space="preserve">1990                                                  </w:t>
                        </w:r>
                        <w:r w:rsidR="008D0979">
                          <w:rPr>
                            <w:rFonts w:ascii="Cambria" w:hAnsi="Cambria" w:cs="Tahoma"/>
                            <w:color w:val="0976A9"/>
                            <w:sz w:val="18"/>
                            <w:szCs w:val="18"/>
                          </w:rPr>
                          <w:t xml:space="preserve">          </w:t>
                        </w:r>
                        <w:r w:rsidR="009A7647">
                          <w:rPr>
                            <w:rFonts w:ascii="Cambria" w:hAnsi="Cambria" w:cs="Tahoma"/>
                            <w:color w:val="0976A9"/>
                            <w:sz w:val="18"/>
                            <w:szCs w:val="18"/>
                          </w:rPr>
                          <w:t xml:space="preserve"> </w:t>
                        </w:r>
                        <w:r w:rsidR="009A7647" w:rsidRPr="006E26F9">
                          <w:rPr>
                            <w:rFonts w:ascii="Cambria" w:hAnsi="Cambria" w:cs="Tahoma"/>
                            <w:noProof/>
                            <w:color w:val="0976A9"/>
                            <w:sz w:val="18"/>
                            <w:szCs w:val="18"/>
                            <w:lang w:val="en-IN" w:eastAsia="en-IN"/>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9A7647" w:rsidRPr="006E26F9">
                          <w:rPr>
                            <w:rFonts w:ascii="Cambria" w:hAnsi="Cambria" w:cs="Tahoma"/>
                            <w:color w:val="0976A9"/>
                            <w:sz w:val="18"/>
                            <w:szCs w:val="18"/>
                          </w:rPr>
                          <w:t xml:space="preserve"> </w:t>
                        </w:r>
                        <w:r w:rsidR="009A7647"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IN" w:eastAsia="en-IN"/>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273EB6" w:rsidP="00BF529A">
            <w:pPr>
              <w:overflowPunct w:val="0"/>
              <w:autoSpaceDE w:val="0"/>
              <w:autoSpaceDN w:val="0"/>
              <w:adjustRightInd w:val="0"/>
              <w:textAlignment w:val="baseline"/>
              <w:rPr>
                <w:rFonts w:ascii="Cambria" w:hAnsi="Cambria" w:cs="Tahoma"/>
                <w:color w:val="0976A9"/>
                <w:sz w:val="28"/>
                <w:szCs w:val="28"/>
              </w:rPr>
            </w:pPr>
            <w:r>
              <w:rPr>
                <w:rFonts w:ascii="Cambria" w:hAnsi="Cambria"/>
                <w:noProof/>
                <w:color w:val="70AD47"/>
                <w:lang w:val="en-US"/>
              </w:rPr>
              <w:pict>
                <v:shape id="Picture 8" o:spid="_x0000_i1028"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273EB6" w:rsidP="00BF529A">
            <w:pPr>
              <w:rPr>
                <w:rFonts w:ascii="Cambria" w:hAnsi="Cambria" w:cs="Tahoma"/>
                <w:color w:val="0976A9"/>
                <w:sz w:val="28"/>
                <w:szCs w:val="28"/>
              </w:rPr>
            </w:pPr>
            <w:r>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IN" w:eastAsia="en-IN"/>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IN" w:eastAsia="en-IN"/>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IN" w:eastAsia="en-IN"/>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273EB6" w:rsidP="00BF529A">
            <w:pPr>
              <w:rPr>
                <w:rFonts w:ascii="Cambria" w:hAnsi="Cambria" w:cs="Tahoma"/>
                <w:color w:val="426602"/>
                <w:sz w:val="28"/>
                <w:szCs w:val="28"/>
              </w:rPr>
            </w:pPr>
            <w:r>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IN" w:eastAsia="en-IN"/>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IN" w:eastAsia="en-IN"/>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IN" w:eastAsia="en-IN"/>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IN" w:eastAsia="en-IN"/>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IN" w:eastAsia="en-IN"/>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IN" w:eastAsia="en-IN"/>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Hadoop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Sklearn, Keras, TensorFlow, Matplotlib, Seaborn, NumPy, Pandas, NLTK, Gensim, Spacy</w:t>
            </w:r>
            <w:r>
              <w:rPr>
                <w:rFonts w:ascii="Cambria" w:hAnsi="Cambria" w:cs="Tahoma"/>
                <w:color w:val="000000" w:themeColor="text1"/>
                <w:sz w:val="20"/>
                <w:szCs w:val="20"/>
                <w:lang w:eastAsia="en-GB"/>
              </w:rPr>
              <w:t>, Sqlite3, Statsmodels</w:t>
            </w:r>
            <w:r w:rsidR="008B6008">
              <w:rPr>
                <w:rFonts w:ascii="Cambria" w:hAnsi="Cambria" w:cs="Tahoma"/>
                <w:color w:val="000000" w:themeColor="text1"/>
                <w:sz w:val="20"/>
                <w:szCs w:val="20"/>
                <w:lang w:eastAsia="en-GB"/>
              </w:rPr>
              <w:t xml:space="preserve">, Scipy, </w:t>
            </w:r>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Salesforce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MySQL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GitHub</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HiveQL</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Jupyter Notebook, Spyder, WinScp,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IN" w:eastAsia="en-IN"/>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273EB6" w:rsidP="00BF529A">
            <w:pPr>
              <w:rPr>
                <w:rFonts w:ascii="Cambria" w:hAnsi="Cambria" w:cs="Tahoma"/>
                <w:color w:val="0976A9"/>
                <w:sz w:val="28"/>
                <w:szCs w:val="28"/>
              </w:rPr>
            </w:pPr>
            <w:r>
              <w:rPr>
                <w:rFonts w:ascii="Cambria" w:hAnsi="Cambria"/>
                <w:noProof/>
                <w:lang w:val="en-US"/>
              </w:rPr>
              <w:pict>
                <v:shape id="Picture 13" o:spid="_x0000_i1029"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Sep 25th, 2014 to Mar 17th, 2016 worked with Capgemini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273EB6" w:rsidP="00BF529A">
            <w:pPr>
              <w:tabs>
                <w:tab w:val="left" w:pos="10782"/>
              </w:tabs>
              <w:ind w:right="-198"/>
              <w:rPr>
                <w:rFonts w:ascii="Cambria" w:hAnsi="Cambria" w:cs="Tahoma"/>
                <w:color w:val="943634" w:themeColor="accent2" w:themeShade="BF"/>
              </w:rPr>
            </w:pPr>
            <w:r>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r w:rsidRPr="00B815C9">
                          <w:rPr>
                            <w:rFonts w:asciiTheme="majorHAnsi" w:hAnsiTheme="majorHAnsi" w:cs="Tahoma"/>
                            <w:b/>
                            <w:color w:val="000000" w:themeColor="text1"/>
                            <w:sz w:val="18"/>
                            <w:szCs w:val="18"/>
                          </w:rPr>
                          <w:t>Capgemini India</w:t>
                        </w:r>
                        <w:r w:rsidR="00B815C9">
                          <w:rPr>
                            <w:rFonts w:asciiTheme="majorHAnsi" w:hAnsiTheme="majorHAnsi" w:cs="Tahoma"/>
                            <w:color w:val="000000" w:themeColor="text1"/>
                            <w:sz w:val="18"/>
                            <w:szCs w:val="18"/>
                          </w:rPr>
                          <w:t xml:space="preserve"> and </w:t>
                        </w:r>
                        <w:r w:rsidR="00B815C9" w:rsidRPr="00B815C9">
                          <w:rPr>
                            <w:rFonts w:asciiTheme="majorHAnsi" w:hAnsiTheme="majorHAnsi" w:cs="Tahoma"/>
                            <w:b/>
                            <w:color w:val="000000" w:themeColor="text1"/>
                            <w:sz w:val="18"/>
                            <w:szCs w:val="18"/>
                          </w:rPr>
                          <w:t>Infosys</w:t>
                        </w:r>
                        <w:r w:rsidR="00B815C9">
                          <w:rPr>
                            <w:rFonts w:asciiTheme="majorHAnsi" w:hAnsiTheme="majorHAnsi" w:cs="Tahoma"/>
                            <w:color w:val="000000" w:themeColor="text1"/>
                            <w:sz w:val="18"/>
                            <w:szCs w:val="18"/>
                          </w:rPr>
                          <w:t xml:space="preserve"> </w:t>
                        </w:r>
                        <w:r w:rsidRPr="00DC523D">
                          <w:rPr>
                            <w:rFonts w:asciiTheme="majorHAnsi" w:hAnsiTheme="majorHAnsi" w:cs="Tahoma"/>
                            <w:color w:val="000000" w:themeColor="text1"/>
                            <w:sz w:val="18"/>
                            <w:szCs w:val="18"/>
                          </w:rPr>
                          <w:t xml:space="preserve">as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IN" w:eastAsia="en-IN"/>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IN" w:eastAsia="en-IN"/>
              </w:rPr>
              <w:drawing>
                <wp:inline distT="0" distB="0" distL="0" distR="0" wp14:anchorId="20516DD5" wp14:editId="6EEF3AA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Machine Learning (Predictive Analytics, Regression Techniques, Linear Regression, Logistic Regression, SVM, Naive Bayes, KNN, K-Means, Ensemble Models,</w:t>
            </w:r>
            <w:r w:rsidR="008B6008"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 xml:space="preserve">Decision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(GBM,</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XG</w:t>
            </w:r>
            <w:r w:rsidRPr="00EA231D">
              <w:rPr>
                <w:rFonts w:ascii="Cambria" w:hAnsi="Cambria" w:cs="Tahoma"/>
                <w:color w:val="000000" w:themeColor="text1"/>
                <w:sz w:val="20"/>
                <w:szCs w:val="20"/>
                <w:lang w:eastAsia="en-GB"/>
              </w:rPr>
              <w:t>Boost</w:t>
            </w:r>
            <w:r w:rsidR="008B6008">
              <w:rPr>
                <w:rFonts w:ascii="Cambria" w:hAnsi="Cambria" w:cs="Tahoma"/>
                <w:color w:val="000000" w:themeColor="text1"/>
                <w:sz w:val="20"/>
                <w:szCs w:val="20"/>
                <w:lang w:eastAsia="en-GB"/>
              </w:rPr>
              <w:t xml:space="preserve"> and Catboost</w:t>
            </w:r>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Deep Learning (Artificial Neural Networks, Convolutional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Importing data from Oracle, MySQL int</w:t>
            </w:r>
            <w:r w:rsidR="00D375DA">
              <w:rPr>
                <w:rFonts w:ascii="Cambria" w:hAnsi="Cambria" w:cs="Tahoma"/>
                <w:color w:val="000000" w:themeColor="text1"/>
                <w:sz w:val="20"/>
                <w:szCs w:val="20"/>
                <w:lang w:eastAsia="en-GB"/>
              </w:rPr>
              <w:t>o HDFS and Hive using Sqoop</w:t>
            </w:r>
            <w:r w:rsidRPr="00EA231D">
              <w:rPr>
                <w:rFonts w:ascii="Cambria" w:hAnsi="Cambria" w:cs="Tahoma"/>
                <w:color w:val="000000" w:themeColor="text1"/>
                <w:sz w:val="20"/>
                <w:szCs w:val="20"/>
                <w:lang w:eastAsia="en-GB"/>
              </w:rPr>
              <w:t xml:space="preserve">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IN" w:eastAsia="en-IN"/>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B.Tech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Intermediate from STPP GOVT JUNIOR COLLEGE, Yanam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S.S.C from Regency public School, Yanam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Predictive Maintenance for Yanmar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Yanmar India Pvt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Pangea offers a workbench approach by enabling analytics stakeholders to collaborate, build and operationalize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bullet"/>
      </v:shape>
    </w:pict>
  </w:numPicBullet>
  <w:numPicBullet w:numPicBulletId="1">
    <w:pict>
      <v:shape id="_x0000_i1049" type="#_x0000_t75" alt="knowledge24x24icons" style="width:18pt;height:18pt;visibility:visible;mso-wrap-style:square" o:bullet="t">
        <v:imagedata r:id="rId2" o:title="knowledge24x24icons"/>
      </v:shape>
    </w:pict>
  </w:numPicBullet>
  <w:numPicBullet w:numPicBulletId="2">
    <w:pict>
      <v:shape id="_x0000_i1050" type="#_x0000_t75" alt="exp24x24icons" style="width:18pt;height:18pt;visibility:visible;mso-wrap-style:square" o:bullet="t">
        <v:imagedata r:id="rId3" o:title="exp24x24icons"/>
      </v:shape>
    </w:pict>
  </w:numPicBullet>
  <w:abstractNum w:abstractNumId="0"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A7647"/>
    <w:rsid w:val="00165C1F"/>
    <w:rsid w:val="0017333D"/>
    <w:rsid w:val="0024500E"/>
    <w:rsid w:val="00265A2E"/>
    <w:rsid w:val="00273EB6"/>
    <w:rsid w:val="00357920"/>
    <w:rsid w:val="00365C17"/>
    <w:rsid w:val="004001CC"/>
    <w:rsid w:val="00534FDA"/>
    <w:rsid w:val="005E5B66"/>
    <w:rsid w:val="00677458"/>
    <w:rsid w:val="00707C6E"/>
    <w:rsid w:val="00776AFD"/>
    <w:rsid w:val="008417F0"/>
    <w:rsid w:val="008A2708"/>
    <w:rsid w:val="008B6008"/>
    <w:rsid w:val="008D0979"/>
    <w:rsid w:val="009A6C88"/>
    <w:rsid w:val="009A7647"/>
    <w:rsid w:val="00A14138"/>
    <w:rsid w:val="00B815C9"/>
    <w:rsid w:val="00C44B49"/>
    <w:rsid w:val="00D375DA"/>
    <w:rsid w:val="00F5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5A1F894"/>
  <w15:docId w15:val="{AB45BA81-7C7A-48D5-A200-153718CC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HCL</cp:lastModifiedBy>
  <cp:revision>21</cp:revision>
  <cp:lastPrinted>2019-04-14T14:39:00Z</cp:lastPrinted>
  <dcterms:created xsi:type="dcterms:W3CDTF">2019-04-14T14:04:00Z</dcterms:created>
  <dcterms:modified xsi:type="dcterms:W3CDTF">2019-06-21T13:13:00Z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