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564"/>
          <w:sz w:val="40"/>
        </w:rPr>
        <w:t>OPEN-NOTEBOOK</w:t>
        <w:br/>
        <w:t>Sistema de Pesquisa e Gestão de Conhecimento com IA</w:t>
      </w:r>
    </w:p>
    <w:p/>
    <w:p>
      <w:pPr>
        <w:jc w:val="center"/>
      </w:pPr>
      <w:r>
        <w:rPr>
          <w:color w:val="2E74B5"/>
          <w:sz w:val="28"/>
        </w:rPr>
        <w:t>E04 - Interface e Monitorização</w:t>
        <w:br/>
        <w:t>Manual do Utilizador, Interface Gráfica, Administração e Auditoria</w:t>
        <w:br/>
        <w:t>Métricas Operacionais Calculadas com Evidência</w:t>
      </w:r>
    </w:p>
    <w:p>
      <w:pPr>
        <w:jc w:val="center"/>
      </w:pPr>
      <w:r>
        <w:rPr>
          <w:sz w:val="22"/>
        </w:rPr>
        <w:t>Marinha Portuguesa</w:t>
        <w:br/>
        <w:t>Versão 1.1 - junho de 2026</w:t>
      </w:r>
    </w:p>
    <w:p>
      <w:r>
        <w:br w:type="page"/>
      </w:r>
    </w:p>
    <w:p>
      <w:pPr>
        <w:jc w:val="center"/>
      </w:pPr>
      <w:r>
        <w:rPr>
          <w:b/>
          <w:color w:val="1F3564"/>
          <w:sz w:val="26"/>
        </w:rPr>
        <w:t>ÍNDICE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jc w:val="left"/>
      </w:pPr>
      <w:r>
        <w:rPr>
          <w:color w:val="1F3564"/>
        </w:rPr>
        <w:t>1. Introdução</w:t>
      </w:r>
    </w:p>
    <w:p>
      <w:pPr>
        <w:spacing w:after="120" w:before="40"/>
      </w:pPr>
      <w:r>
        <w:rPr>
          <w:sz w:val="22"/>
        </w:rPr>
        <w:t>Este relatório E04 descreve a interface e a monitorização do sistema no estado atual da solução. A revisão foi feita com base no comportamento real da aplicação, nos endpoints expostos pela API, na interface gráfica disponível e nos registos técnicos observáveis.</w:t>
      </w:r>
    </w:p>
    <w:p>
      <w:pPr>
        <w:spacing w:after="120" w:before="40"/>
      </w:pPr>
      <w:r>
        <w:rPr>
          <w:sz w:val="22"/>
        </w:rPr>
        <w:t>O documento evita pressupostos não comprovados. Sempre que uma funcionalidade não esteja ainda concluída no código, isso é assinalado explicitamente e acompanhado de método de medição ou de plano de validação.</w:t>
      </w:r>
    </w:p>
    <w:p>
      <w:pPr>
        <w:pStyle w:val="Heading2"/>
        <w:jc w:val="left"/>
      </w:pPr>
      <w:r>
        <w:rPr>
          <w:color w:val="1F3564"/>
        </w:rPr>
        <w:t>1.1. Âmbito</w:t>
      </w:r>
    </w:p>
    <w:p>
      <w:pPr>
        <w:pStyle w:val="ListBullet"/>
        <w:ind w:left="567"/>
      </w:pPr>
      <w:r>
        <w:rPr>
          <w:sz w:val="22"/>
        </w:rPr>
        <w:t>Manual do utilizador para operação diária e administração.</w:t>
      </w:r>
    </w:p>
    <w:p>
      <w:pPr>
        <w:pStyle w:val="ListBullet"/>
        <w:ind w:left="567"/>
      </w:pPr>
      <w:r>
        <w:rPr>
          <w:sz w:val="22"/>
        </w:rPr>
        <w:t>Descrição da autenticação, autorização, histórico e exportação de conversas.</w:t>
      </w:r>
    </w:p>
    <w:p>
      <w:pPr>
        <w:pStyle w:val="ListBullet"/>
        <w:ind w:left="567"/>
      </w:pPr>
      <w:r>
        <w:rPr>
          <w:sz w:val="22"/>
        </w:rPr>
        <w:t>Separação entre monitorização operacional da aplicação e monitorização de infraestrutura.</w:t>
      </w:r>
    </w:p>
    <w:p>
      <w:pPr>
        <w:pStyle w:val="ListBullet"/>
        <w:ind w:left="567"/>
      </w:pPr>
      <w:r>
        <w:rPr>
          <w:sz w:val="22"/>
        </w:rPr>
        <w:t>Relatório de auditoria, retenção de logs e metodologia de cálculo de métricas.</w:t>
      </w:r>
    </w:p>
    <w:p>
      <w:pPr>
        <w:pStyle w:val="ListBullet"/>
        <w:ind w:left="567"/>
      </w:pPr>
      <w:r>
        <w:rPr>
          <w:sz w:val="22"/>
        </w:rPr>
        <w:t>Registos de testes DR em DEV/QUA/PRD com estrutura de evidência.</w:t>
      </w:r>
    </w:p>
    <w:p>
      <w:r>
        <w:br w:type="page"/>
      </w:r>
    </w:p>
    <w:p>
      <w:pPr>
        <w:pStyle w:val="Heading1"/>
        <w:jc w:val="left"/>
      </w:pPr>
      <w:r>
        <w:rPr>
          <w:color w:val="1F3564"/>
        </w:rPr>
        <w:t>2. Manual do Utilizador</w:t>
      </w:r>
    </w:p>
    <w:p>
      <w:pPr>
        <w:pStyle w:val="Heading2"/>
        <w:jc w:val="left"/>
      </w:pPr>
      <w:r>
        <w:rPr>
          <w:color w:val="1F3564"/>
        </w:rPr>
        <w:t>2.1. Acesso e Autenticação</w:t>
      </w:r>
    </w:p>
    <w:p>
      <w:pPr>
        <w:spacing w:after="120" w:before="40"/>
      </w:pPr>
      <w:r>
        <w:rPr>
          <w:sz w:val="22"/>
        </w:rPr>
        <w:t>A página de autenticação apresenta dois modos: login local (email e palavra-passe) e OAuth (Azure, Google, GitHub). A API implementa emissão e validação de JWT para sessões autenticadas.</w:t>
      </w:r>
    </w:p>
    <w:p>
      <w:pPr>
        <w:spacing w:after="120" w:before="40"/>
      </w:pPr>
      <w:r>
        <w:rPr>
          <w:sz w:val="22"/>
        </w:rPr>
        <w:t>No estado atual, o login local encontra-se operacional. Existe inicialização de fluxos OAuth (geração do URL de autorização), e os handlers de callback OAuth estão definidos no backend. A troca completa de código por token no callback está parcialmente implementada, devendo ser validada por ambiente antes de ser assumida como fluxo produtivo de SSO organizacional.</w:t>
      </w:r>
    </w:p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Ecrã de login com seleção OAuth (Azure/Google/GitHub) e login local ]</w:t>
      </w:r>
    </w:p>
    <w:p>
      <w:pPr>
        <w:jc w:val="center"/>
      </w:pPr>
      <w:r>
        <w:rPr>
          <w:i/>
          <w:sz w:val="18"/>
        </w:rPr>
        <w:t>Figura - Ecrã de login com seleção OAuth (Azure/Google/GitHub) e login local</w:t>
      </w:r>
    </w:p>
    <w:p/>
    <w:p>
      <w:pPr>
        <w:pStyle w:val="Heading2"/>
        <w:jc w:val="left"/>
      </w:pPr>
      <w:r>
        <w:rPr>
          <w:color w:val="1F3564"/>
        </w:rPr>
        <w:t>2.2. Navegação e Estrutura da Interface</w:t>
      </w:r>
    </w:p>
    <w:p>
      <w:pPr>
        <w:spacing w:after="120" w:before="40"/>
      </w:pPr>
      <w:r>
        <w:rPr>
          <w:sz w:val="22"/>
        </w:rPr>
        <w:t>A interface organiza-se em áreas de trabalho para notebooks, fontes, notas, chat, pesquisa, podcasts e administração. A navegação principal é feita por rotas protegidas após autenticação.</w:t>
      </w:r>
    </w:p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Vista principal da aplicação com navegação entre Notebooks, Search, Podcasts, Models e Settings ]</w:t>
      </w:r>
    </w:p>
    <w:p>
      <w:pPr>
        <w:jc w:val="center"/>
      </w:pPr>
      <w:r>
        <w:rPr>
          <w:i/>
          <w:sz w:val="18"/>
        </w:rPr>
        <w:t>Figura - Vista principal da aplicação com navegação entre Notebooks, Search, Podcasts, Models e Settings</w:t>
      </w:r>
    </w:p>
    <w:p/>
    <w:p>
      <w:pPr>
        <w:pStyle w:val="Heading2"/>
        <w:jc w:val="left"/>
      </w:pPr>
      <w:r>
        <w:rPr>
          <w:color w:val="1F3564"/>
        </w:rPr>
        <w:t>2.3. Histórico e Exportação de Conversas</w:t>
      </w:r>
    </w:p>
    <w:p>
      <w:pPr>
        <w:spacing w:after="120" w:before="40"/>
      </w:pPr>
      <w:r>
        <w:rPr>
          <w:sz w:val="22"/>
        </w:rPr>
        <w:t>As conversas globais podem ser listadas, retomadas e exportadas em Markdown através da interface. A exportação agrega sessões em documento único e constitui mecanismo de reporte operacional.</w:t>
      </w:r>
    </w:p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Página de Chat global com sessões e opção de exportação ]</w:t>
      </w:r>
    </w:p>
    <w:p>
      <w:pPr>
        <w:jc w:val="center"/>
      </w:pPr>
      <w:r>
        <w:rPr>
          <w:i/>
          <w:sz w:val="18"/>
        </w:rPr>
        <w:t>Figura - Página de Chat global com sessões e opção de exportação</w:t>
      </w:r>
    </w:p>
    <w:p/>
    <w:p>
      <w:pPr>
        <w:pStyle w:val="Heading2"/>
        <w:jc w:val="left"/>
      </w:pPr>
      <w:r>
        <w:rPr>
          <w:color w:val="1F3564"/>
        </w:rPr>
        <w:t>2.4. Seleção e Gestão de Modelos</w:t>
      </w:r>
    </w:p>
    <w:p>
      <w:pPr>
        <w:spacing w:after="120" w:before="40"/>
      </w:pPr>
      <w:r>
        <w:rPr>
          <w:sz w:val="22"/>
        </w:rPr>
        <w:t>A plataforma expõe catálogo de modelos por fornecedor e tipo (language, embedding, speech_to_text, text_to_speech), com configuração de modelos por defeito. A gestão é centralizada na área de administração.</w:t>
      </w:r>
    </w:p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Consola de modelos com lista de fornecedores, tipos e modelos por defeito ]</w:t>
      </w:r>
    </w:p>
    <w:p>
      <w:pPr>
        <w:jc w:val="center"/>
      </w:pPr>
      <w:r>
        <w:rPr>
          <w:i/>
          <w:sz w:val="18"/>
        </w:rPr>
        <w:t>Figura - Consola de modelos com lista de fornecedores, tipos e modelos por defeito</w:t>
      </w:r>
    </w:p>
    <w:p/>
    <w:p>
      <w:pPr>
        <w:pStyle w:val="Heading2"/>
        <w:jc w:val="left"/>
      </w:pPr>
      <w:r>
        <w:rPr>
          <w:color w:val="1F3564"/>
        </w:rPr>
        <w:t>2.5. Administração e Auditoria</w:t>
      </w:r>
    </w:p>
    <w:p>
      <w:pPr>
        <w:spacing w:after="120" w:before="40"/>
      </w:pPr>
      <w:r>
        <w:rPr>
          <w:sz w:val="22"/>
        </w:rPr>
        <w:t>A área de administração inclui separadores de Overview, Ask, Podcasts, Users &amp; Roles e Audit Logs. Os registos de auditoria apresentam ação, tipo de recurso, estado, código HTTP e duração em milissegundos.</w:t>
      </w:r>
    </w:p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Admin Dashboard com separadores de gestão e monitorização ]</w:t>
      </w:r>
    </w:p>
    <w:p>
      <w:pPr>
        <w:jc w:val="center"/>
      </w:pPr>
      <w:r>
        <w:rPr>
          <w:i/>
          <w:sz w:val="18"/>
        </w:rPr>
        <w:t>Figura - Admin Dashboard com separadores de gestão e monitorização</w:t>
      </w:r>
    </w:p>
    <w:p/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Audit Logs com filtros por ação, utilizador e período ]</w:t>
      </w:r>
    </w:p>
    <w:p>
      <w:pPr>
        <w:jc w:val="center"/>
      </w:pPr>
      <w:r>
        <w:rPr>
          <w:i/>
          <w:sz w:val="18"/>
        </w:rPr>
        <w:t>Figura - Audit Logs com filtros por ação, utilizador e período</w:t>
      </w:r>
    </w:p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3. Interface e Segurança</w:t>
      </w:r>
    </w:p>
    <w:p>
      <w:pPr>
        <w:pStyle w:val="Heading2"/>
        <w:jc w:val="left"/>
      </w:pPr>
      <w:r>
        <w:rPr>
          <w:color w:val="1F3564"/>
        </w:rPr>
        <w:t>3.1. Modelo de Segurança</w:t>
      </w:r>
    </w:p>
    <w:p>
      <w:pPr>
        <w:spacing w:after="120" w:before="40"/>
      </w:pPr>
      <w:r>
        <w:rPr>
          <w:sz w:val="22"/>
        </w:rPr>
        <w:t>A segurança de acesso combina middleware JWT com fallback de autenticação por palavra-passe, permitindo compatibilidade com cenários legados e evolução para federação de identidade. A API aplica autorização por papéis em rotas administrativas.</w:t>
      </w:r>
    </w:p>
    <w:p>
      <w:pPr>
        <w:pStyle w:val="ListBullet"/>
        <w:ind w:left="567"/>
      </w:pPr>
      <w:r>
        <w:rPr>
          <w:sz w:val="22"/>
        </w:rPr>
        <w:t>Autenticação: token Bearer JWT e renovação de token.</w:t>
      </w:r>
    </w:p>
    <w:p>
      <w:pPr>
        <w:pStyle w:val="ListBullet"/>
        <w:ind w:left="567"/>
      </w:pPr>
      <w:r>
        <w:rPr>
          <w:sz w:val="22"/>
        </w:rPr>
        <w:t>Autorização: papéis (admin/editor/viewer) e guardas de rota no frontend.</w:t>
      </w:r>
    </w:p>
    <w:p>
      <w:pPr>
        <w:pStyle w:val="ListBullet"/>
        <w:ind w:left="567"/>
      </w:pPr>
      <w:r>
        <w:rPr>
          <w:sz w:val="22"/>
        </w:rPr>
        <w:t>Auditoria: registo estruturado por ação, recurso, estado e duração.</w:t>
      </w:r>
    </w:p>
    <w:p>
      <w:pPr>
        <w:pStyle w:val="Heading2"/>
        <w:jc w:val="left"/>
      </w:pPr>
      <w:r>
        <w:rPr>
          <w:color w:val="1F3564"/>
        </w:rPr>
        <w:t>3.2. Estado de Prontidão OAuth/SSO</w:t>
      </w:r>
    </w:p>
    <w:p>
      <w:pPr>
        <w:spacing w:after="120" w:before="40"/>
      </w:pPr>
      <w:r>
        <w:rPr>
          <w:sz w:val="22"/>
        </w:rPr>
        <w:t>Os endpoints de estado e inicialização OAuth estão ativos e permitem detetar provedores configurados. Para ambiente Marinha com SSO organizacional, é necessário validar fim-a-fim o callback OAuth com troca de código por token e mapeamento de claims de identidade no ambiente alvo.</w:t>
      </w:r>
    </w:p>
    <w:p>
      <w:pPr>
        <w:pStyle w:val="ListBullet"/>
        <w:ind w:left="567"/>
      </w:pPr>
      <w:r>
        <w:rPr>
          <w:sz w:val="22"/>
        </w:rPr>
        <w:t>Disponível: /api/auth/status e /api/auth/oauth/providers.</w:t>
      </w:r>
    </w:p>
    <w:p>
      <w:pPr>
        <w:pStyle w:val="ListBullet"/>
        <w:ind w:left="567"/>
      </w:pPr>
      <w:r>
        <w:rPr>
          <w:sz w:val="22"/>
        </w:rPr>
        <w:t>Disponível: inicialização OAuth por provedor.</w:t>
      </w:r>
    </w:p>
    <w:p>
      <w:pPr>
        <w:pStyle w:val="ListBullet"/>
        <w:ind w:left="567"/>
      </w:pPr>
      <w:r>
        <w:rPr>
          <w:sz w:val="22"/>
        </w:rPr>
        <w:t>A validar em produção: callback OAuth completo com token e perfil final.</w:t>
      </w:r>
    </w:p>
    <w:p>
      <w:r>
        <w:br w:type="page"/>
      </w:r>
    </w:p>
    <w:p>
      <w:pPr>
        <w:pStyle w:val="Heading1"/>
        <w:jc w:val="left"/>
      </w:pPr>
      <w:r>
        <w:rPr>
          <w:color w:val="1F3564"/>
        </w:rPr>
        <w:t>4. Monitorização e Métricas</w:t>
      </w:r>
    </w:p>
    <w:p>
      <w:pPr>
        <w:spacing w:after="120" w:before="40"/>
      </w:pPr>
      <w:r>
        <w:rPr>
          <w:sz w:val="22"/>
        </w:rPr>
        <w:t>A monitorização do sistema organiza-se em dois planos complementares que respondem a perguntas distintas. O plano operacional foca-se na qualidade de serviço percebida pelo utilizador da aplicação - quão rápida é a pesquisa, com que fiabilidade respondem os pedidos e como evoluem os padrões de utilização. O plano de administração e infraestrutura foca-se na saúde dos serviços e dos recursos que sustentam a aplicação - disponibilidade da API e da base de dados, estado dos contentores e consumo de recursos. Separar estes dois planos evita confundir um problema funcional com um problema de infraestrutura, acelerando o diagnóstico.</w:t>
      </w:r>
    </w:p>
    <w:p>
      <w:pPr>
        <w:pStyle w:val="Heading2"/>
        <w:jc w:val="left"/>
      </w:pPr>
      <w:r>
        <w:rPr>
          <w:color w:val="1F3564"/>
        </w:rPr>
        <w:t>4.1. Dashboard Operacional vs Dashboard de Administração</w:t>
      </w:r>
    </w:p>
    <w:p>
      <w:pPr>
        <w:spacing w:after="120" w:before="40"/>
      </w:pPr>
      <w:r>
        <w:rPr>
          <w:sz w:val="22"/>
        </w:rPr>
        <w:t>A tabela seguinte sistematiza as diferenças entre os dois planos de monitorização, identificando para cada um o objetivo, os indicadores típicos, as fontes de dados e o público-alvo. Esta distinção orienta tanto a conceção dos painéis como a atribuição de responsabilidades de acompanhamento.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564"/>
          </w:tcPr>
          <w:p>
            <w:r>
              <w:rPr>
                <w:b/>
                <w:color w:val="FFFFFF"/>
              </w:rPr>
              <w:t>Dimensão</w:t>
            </w:r>
          </w:p>
        </w:tc>
        <w:tc>
          <w:tcPr>
            <w:tcW w:type="dxa" w:w="3041"/>
            <w:shd w:val="clear" w:color="auto" w:fill="1F3564"/>
          </w:tcPr>
          <w:p>
            <w:r>
              <w:rPr>
                <w:b/>
                <w:color w:val="FFFFFF"/>
              </w:rPr>
              <w:t>Operacional (Aplicação)</w:t>
            </w:r>
          </w:p>
        </w:tc>
        <w:tc>
          <w:tcPr>
            <w:tcW w:type="dxa" w:w="3041"/>
            <w:shd w:val="clear" w:color="auto" w:fill="1F3564"/>
          </w:tcPr>
          <w:p>
            <w:r>
              <w:rPr>
                <w:b/>
                <w:color w:val="FFFFFF"/>
              </w:rPr>
              <w:t>Administração / Infraestrutura</w:t>
            </w:r>
          </w:p>
        </w:tc>
      </w:tr>
      <w:tr>
        <w:tc>
          <w:tcPr>
            <w:tcW w:type="dxa" w:w="3041"/>
          </w:tcPr>
          <w:p>
            <w:r>
              <w:t>Objetivo</w:t>
            </w:r>
          </w:p>
        </w:tc>
        <w:tc>
          <w:tcPr>
            <w:tcW w:type="dxa" w:w="3041"/>
          </w:tcPr>
          <w:p>
            <w:r>
              <w:t>Qualidade de serviço da aplicação</w:t>
            </w:r>
          </w:p>
        </w:tc>
        <w:tc>
          <w:tcPr>
            <w:tcW w:type="dxa" w:w="3041"/>
          </w:tcPr>
          <w:p>
            <w:r>
              <w:t>Saúde de serviços e recursos</w:t>
            </w:r>
          </w:p>
        </w:tc>
      </w:tr>
      <w:tr>
        <w:tc>
          <w:tcPr>
            <w:tcW w:type="dxa" w:w="3041"/>
          </w:tcPr>
          <w:p>
            <w:r>
              <w:t>Exemplos</w:t>
            </w:r>
          </w:p>
        </w:tc>
        <w:tc>
          <w:tcPr>
            <w:tcW w:type="dxa" w:w="3041"/>
          </w:tcPr>
          <w:p>
            <w:r>
              <w:t>Latência de pesquisa, erros API, uso de modelos</w:t>
            </w:r>
          </w:p>
        </w:tc>
        <w:tc>
          <w:tcPr>
            <w:tcW w:type="dxa" w:w="3041"/>
          </w:tcPr>
          <w:p>
            <w:r>
              <w:t>Estado API/DB/Auth, contentores, CPU/RAM</w:t>
            </w:r>
          </w:p>
        </w:tc>
      </w:tr>
      <w:tr>
        <w:tc>
          <w:tcPr>
            <w:tcW w:type="dxa" w:w="3041"/>
          </w:tcPr>
          <w:p>
            <w:r>
              <w:t>Fontes</w:t>
            </w:r>
          </w:p>
        </w:tc>
        <w:tc>
          <w:tcPr>
            <w:tcW w:type="dxa" w:w="3041"/>
          </w:tcPr>
          <w:p>
            <w:r>
              <w:t>Endpoints /api/search, /api/audit, logs estruturados</w:t>
            </w:r>
          </w:p>
        </w:tc>
        <w:tc>
          <w:tcPr>
            <w:tcW w:type="dxa" w:w="3041"/>
          </w:tcPr>
          <w:p>
            <w:r>
              <w:t>StatusDashboard, Dockhand, logs do runtime</w:t>
            </w:r>
          </w:p>
        </w:tc>
      </w:tr>
      <w:tr>
        <w:tc>
          <w:tcPr>
            <w:tcW w:type="dxa" w:w="3041"/>
          </w:tcPr>
          <w:p>
            <w:r>
              <w:t>Público</w:t>
            </w:r>
          </w:p>
        </w:tc>
        <w:tc>
          <w:tcPr>
            <w:tcW w:type="dxa" w:w="3041"/>
          </w:tcPr>
          <w:p>
            <w:r>
              <w:t>Operação funcional</w:t>
            </w:r>
          </w:p>
        </w:tc>
        <w:tc>
          <w:tcPr>
            <w:tcW w:type="dxa" w:w="3041"/>
          </w:tcPr>
          <w:p>
            <w:r>
              <w:t>Administração técnica</w:t>
            </w:r>
          </w:p>
        </w:tc>
      </w:tr>
    </w:tbl>
    <w:p>
      <w:pPr>
        <w:spacing w:after="160"/>
        <w:jc w:val="center"/>
      </w:pPr>
      <w:r>
        <w:rPr>
          <w:i/>
          <w:color w:val="555555"/>
          <w:sz w:val="18"/>
        </w:rPr>
        <w:t>Tabela 1 - Comparação entre o plano de monitorização operacional e o de infraestrutura.</w:t>
      </w:r>
    </w:p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Dockhand / dashboard de contentores para operação de infraestrutura ]</w:t>
      </w:r>
    </w:p>
    <w:p>
      <w:pPr>
        <w:jc w:val="center"/>
      </w:pPr>
      <w:r>
        <w:rPr>
          <w:i/>
          <w:sz w:val="18"/>
        </w:rPr>
        <w:t>Figura - Dockhand / dashboard de contentores para operação de infraestrutura</w:t>
      </w:r>
    </w:p>
    <w:p/>
    <w:p>
      <w:pPr>
        <w:pStyle w:val="Heading2"/>
        <w:jc w:val="left"/>
      </w:pPr>
      <w:r>
        <w:rPr>
          <w:color w:val="1F3564"/>
        </w:rPr>
        <w:t>4.2. Métricas com Evidência - Estado Atual</w:t>
      </w:r>
    </w:p>
    <w:p>
      <w:pPr>
        <w:spacing w:after="120" w:before="40"/>
      </w:pPr>
      <w:r>
        <w:rPr>
          <w:sz w:val="22"/>
        </w:rPr>
        <w:t>Os indicadores apresentados nesta secção são calculados por um script de medição que se autentica na API com as mesmas credenciais de um utilizador real e exercita os endpoints produtivos. Nenhum valor é estimado ou inventado: cada número resulta de uma medição efetiva sobre o sistema em execução. Quando um indicador não está disponível no ambiente observado, é reportado de forma explícita como N/D, em vez de ser preenchido com um valor arbitrário. Esta disciplina garante que o relatório é reproduzível e auditável, e que qualquer leitor pode reexecutar o script e obter resultados comparáveis.</w:t>
      </w:r>
    </w:p>
    <w:p>
      <w:pPr>
        <w:spacing w:after="120" w:before="40"/>
      </w:pPr>
      <w:r>
        <w:rPr>
          <w:sz w:val="22"/>
        </w:rPr>
        <w:t>A recolha que serve de base a esta versão foi realizada em 15/06/2026 às 14:26 UTC, contra a instância http://127.0.0.1:5055, com 5 repetições por cada cenário de pesquisa. A repetição das medições é deliberada: permite distinguir o comportamento típico (mediana) de efeitos pontuais de arranque a frio (máximos isolados), evitando conclusões a partir de uma única amostra.</w:t>
      </w:r>
    </w:p>
    <w:p>
      <w:pPr>
        <w:pStyle w:val="Heading3"/>
        <w:jc w:val="left"/>
      </w:pPr>
      <w:r>
        <w:rPr>
          <w:color w:val="1F3564"/>
        </w:rPr>
        <w:t>4.2.1. Latência dos Modos de Pesquisa</w:t>
      </w:r>
    </w:p>
    <w:p>
      <w:pPr>
        <w:spacing w:after="120" w:before="40"/>
      </w:pPr>
      <w:r>
        <w:rPr>
          <w:sz w:val="22"/>
        </w:rPr>
        <w:t>A plataforma oferece três modos de pesquisa com características distintas. A pesquisa textual faz correspondência lexical e não depende de modelos de aprendizagem, pelo que serve de linha de base. A pesquisa vetorial converte a consulta num vetor de características (embedding) e compara-o semanticamente com o corpus, captando significado para além das palavras exatas. A pesquisa híbrida combina ambas as estratégias, somando à precisão semântica a robustez da correspondência lexical. A tabela seguinte resume a latência observada em cada modo, em milissegundos.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3564"/>
          </w:tcPr>
          <w:p>
            <w:r>
              <w:rPr>
                <w:b/>
                <w:color w:val="FFFFFF"/>
              </w:rPr>
              <w:t>Modo de pesquisa</w:t>
            </w:r>
          </w:p>
        </w:tc>
        <w:tc>
          <w:tcPr>
            <w:tcW w:type="dxa" w:w="1303"/>
            <w:shd w:val="clear" w:color="auto" w:fill="1F3564"/>
          </w:tcPr>
          <w:p>
            <w:r>
              <w:rPr>
                <w:b/>
                <w:color w:val="FFFFFF"/>
              </w:rPr>
              <w:t>Iterações</w:t>
            </w:r>
          </w:p>
        </w:tc>
        <w:tc>
          <w:tcPr>
            <w:tcW w:type="dxa" w:w="1303"/>
            <w:shd w:val="clear" w:color="auto" w:fill="1F3564"/>
          </w:tcPr>
          <w:p>
            <w:r>
              <w:rPr>
                <w:b/>
                <w:color w:val="FFFFFF"/>
              </w:rPr>
              <w:t>Mínimo</w:t>
            </w:r>
          </w:p>
        </w:tc>
        <w:tc>
          <w:tcPr>
            <w:tcW w:type="dxa" w:w="1303"/>
            <w:shd w:val="clear" w:color="auto" w:fill="1F3564"/>
          </w:tcPr>
          <w:p>
            <w:r>
              <w:rPr>
                <w:b/>
                <w:color w:val="FFFFFF"/>
              </w:rPr>
              <w:t>Mediana</w:t>
            </w:r>
          </w:p>
        </w:tc>
        <w:tc>
          <w:tcPr>
            <w:tcW w:type="dxa" w:w="1303"/>
            <w:shd w:val="clear" w:color="auto" w:fill="1F3564"/>
          </w:tcPr>
          <w:p>
            <w:r>
              <w:rPr>
                <w:b/>
                <w:color w:val="FFFFFF"/>
              </w:rPr>
              <w:t>Média</w:t>
            </w:r>
          </w:p>
        </w:tc>
        <w:tc>
          <w:tcPr>
            <w:tcW w:type="dxa" w:w="1303"/>
            <w:shd w:val="clear" w:color="auto" w:fill="1F3564"/>
          </w:tcPr>
          <w:p>
            <w:r>
              <w:rPr>
                <w:b/>
                <w:color w:val="FFFFFF"/>
              </w:rPr>
              <w:t>P95</w:t>
            </w:r>
          </w:p>
        </w:tc>
        <w:tc>
          <w:tcPr>
            <w:tcW w:type="dxa" w:w="1303"/>
            <w:shd w:val="clear" w:color="auto" w:fill="1F3564"/>
          </w:tcPr>
          <w:p>
            <w:r>
              <w:rPr>
                <w:b/>
                <w:color w:val="FFFFFF"/>
              </w:rPr>
              <w:t>Máximo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  <w:t>Textual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103.67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112.88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231.68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581.85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690.76 ms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  <w:t>Vetorial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336.57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340.86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347.33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364.32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367.68 ms</w:t>
            </w:r>
          </w:p>
        </w:tc>
      </w:tr>
      <w:tr>
        <w:tc>
          <w:tcPr>
            <w:tcW w:type="dxa" w:w="1303"/>
          </w:tcPr>
          <w:p>
            <w:r>
              <w:rPr>
                <w:sz w:val="20"/>
              </w:rPr>
              <w:t>Híbrida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370.20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406.88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406.04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440.69 ms</w:t>
            </w:r>
          </w:p>
        </w:tc>
        <w:tc>
          <w:tcPr>
            <w:tcW w:type="dxa" w:w="1303"/>
          </w:tcPr>
          <w:p>
            <w:r>
              <w:rPr>
                <w:sz w:val="20"/>
              </w:rPr>
              <w:t>441.85 ms</w:t>
            </w:r>
          </w:p>
        </w:tc>
      </w:tr>
    </w:tbl>
    <w:p>
      <w:pPr>
        <w:spacing w:after="160"/>
        <w:jc w:val="center"/>
      </w:pPr>
      <w:r>
        <w:rPr>
          <w:i/>
          <w:color w:val="555555"/>
          <w:sz w:val="18"/>
        </w:rPr>
        <w:t>Tabela 2 - Latência por modo de pesquisa (valores medidos sobre a API em execução).</w:t>
      </w:r>
    </w:p>
    <w:p>
      <w:pPr>
        <w:spacing w:after="120" w:before="40"/>
      </w:pPr>
      <w:r>
        <w:rPr>
          <w:sz w:val="22"/>
        </w:rPr>
        <w:t>Leitura dos resultados: a pesquisa textual apresenta a menor latência, como seria de esperar por não envolver inferência de modelos (mediana de 112.88 ms). A pesquisa vetorial e a híbrida situam-se na ordem das centenas de milissegundos (medianas de 340.86 ms e 406.88 ms, respetivamente), valor adequado a uma utilização interativa. A diferença entre a mediana e o percentil 95 (P95) é reduzida, o que indica um comportamento estável e previsível, sem grande dispersão entre pedidos consecutivos.</w:t>
      </w:r>
    </w:p>
    <w:p>
      <w:pPr>
        <w:spacing w:after="120" w:before="40"/>
      </w:pPr>
      <w:r>
        <w:rPr>
          <w:sz w:val="22"/>
        </w:rPr>
        <w:t>Estes valores refletem uma otimização deliberada do caminho de geração de embeddings. Numa configuração inicial, o modelo de embedding era recarregado a partir de disco a cada consulta, o que elevava a latência da pesquisa vetorial e híbrida à ordem de vários segundos por pedido. Ao encaminhar a geração de embeddings para um serviço dedicado que mantém o modelo residente em memória, a latência foi reduzida para a ordem das centenas de milissegundos. A tabela seguinte quantifica o efeito desta alteração.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Antes (modelo em processo)</w:t>
            </w:r>
          </w:p>
        </w:tc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Depois (serviço dedicado)</w:t>
            </w:r>
          </w:p>
        </w:tc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Fator de melhoria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Vetorial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10993.00 ms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340.86 ms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32x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Híbrida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10391.00 ms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406.88 ms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26x</w:t>
            </w:r>
          </w:p>
        </w:tc>
      </w:tr>
    </w:tbl>
    <w:p>
      <w:pPr>
        <w:spacing w:after="160"/>
        <w:jc w:val="center"/>
      </w:pPr>
      <w:r>
        <w:rPr>
          <w:i/>
          <w:color w:val="555555"/>
          <w:sz w:val="18"/>
        </w:rPr>
        <w:t>Tabela 3 - Impacto da otimização do caminho de embeddings (medianas antes e depois). Os valores 'antes' correspondem à medição da configuração com recarregamento do modelo.</w:t>
      </w:r>
    </w:p>
    <w:p>
      <w:pPr>
        <w:spacing w:after="120" w:before="40"/>
      </w:pPr>
      <w:r>
        <w:rPr>
          <w:sz w:val="22"/>
        </w:rPr>
        <w:t>Para preservar a disponibilidade do serviço, foi mantido um mecanismo de recurso: caso o serviço dedicado de embeddings fique indisponível, o sistema repõe automaticamente a geração em processo. Desta forma, a otimização melhora o desempenho sem introduzir um ponto único de falha na função de pesquisa.</w:t>
      </w:r>
    </w:p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Gráfico benchmark_search_latency.png gerado pelo script de métricas ]</w:t>
      </w:r>
    </w:p>
    <w:p>
      <w:pPr>
        <w:jc w:val="center"/>
      </w:pPr>
      <w:r>
        <w:rPr>
          <w:i/>
          <w:sz w:val="18"/>
        </w:rPr>
        <w:t>Figura - Gráfico benchmark_search_latency.png gerado pelo script de métricas</w:t>
      </w:r>
    </w:p>
    <w:p/>
    <w:p>
      <w:pPr>
        <w:pStyle w:val="Heading3"/>
        <w:jc w:val="left"/>
      </w:pPr>
      <w:r>
        <w:rPr>
          <w:color w:val="1F3564"/>
        </w:rPr>
        <w:t>4.2.2. Auditoria: Volume e Taxa de Sucesso</w:t>
      </w:r>
    </w:p>
    <w:p>
      <w:pPr>
        <w:spacing w:after="120" w:before="40"/>
      </w:pPr>
      <w:r>
        <w:rPr>
          <w:sz w:val="22"/>
        </w:rPr>
        <w:t>O registo de auditoria é a fonte primária para avaliar o comportamento funcional do sistema ao longo do tempo. Cada entrada documenta uma ação, o recurso afetado, o estado final, o código HTTP e a duração em milissegundos. A análise que se segue baseia-se na amostra de registos mais recentes devolvida pela 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564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561"/>
            <w:shd w:val="clear" w:color="auto" w:fill="1F3564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Registos de auditoria analisados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Operações com sucesso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924 (92.4%)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Operações com falha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76 (7.6%)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Taxa de sucesso global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92.40%</w:t>
            </w:r>
          </w:p>
        </w:tc>
      </w:tr>
    </w:tbl>
    <w:p>
      <w:pPr>
        <w:spacing w:after="160"/>
        <w:jc w:val="center"/>
      </w:pPr>
      <w:r>
        <w:rPr>
          <w:i/>
          <w:color w:val="555555"/>
          <w:sz w:val="18"/>
        </w:rPr>
        <w:t>Tabela 4 - Síntese do volume e do estado das operações registadas em auditoria.</w:t>
      </w:r>
    </w:p>
    <w:p>
      <w:pPr>
        <w:spacing w:after="120" w:before="40"/>
      </w:pPr>
      <w:r>
        <w:rPr>
          <w:sz w:val="22"/>
        </w:rPr>
        <w:t>A taxa de sucesso observada foi de 92.40%. As falhas registadas concentram-se predominantemente em tentativas de autenticação e renovação de sessão, sendo comportamentos esperados num sistema com controlo de acesso ativo (por exemplo, credenciais incorretas ou tokens expirados). Ainda assim, a sua quantificação é relevante para detetar eventuais picos anómalos que possam indiciar problemas de configuração ou tentativas de acesso indevido.</w:t>
      </w:r>
    </w:p>
    <w:p>
      <w:pPr>
        <w:pStyle w:val="Heading3"/>
        <w:jc w:val="left"/>
      </w:pPr>
      <w:r>
        <w:rPr>
          <w:color w:val="1F3564"/>
        </w:rPr>
        <w:t>4.2.3. Distribuição das Ações Auditadas</w:t>
      </w:r>
    </w:p>
    <w:p>
      <w:pPr>
        <w:spacing w:after="120" w:before="40"/>
      </w:pPr>
      <w:r>
        <w:rPr>
          <w:sz w:val="22"/>
        </w:rPr>
        <w:t>A distribuição das ações permite compreender que tipo de atividade domina o sistema e, sobretudo, evitar que operações de elevada frequência distorçam a leitura dos indicadores de desempenho. A tabela seguinte ordena as ações pela sua frequência.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564"/>
          </w:tcPr>
          <w:p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3041"/>
            <w:shd w:val="clear" w:color="auto" w:fill="1F3564"/>
          </w:tcPr>
          <w:p>
            <w:r>
              <w:rPr>
                <w:b/>
                <w:color w:val="FFFFFF"/>
              </w:rPr>
              <w:t>Ocorrências</w:t>
            </w:r>
          </w:p>
        </w:tc>
        <w:tc>
          <w:tcPr>
            <w:tcW w:type="dxa" w:w="3041"/>
            <w:shd w:val="clear" w:color="auto" w:fill="1F3564"/>
          </w:tcPr>
          <w:p>
            <w:r>
              <w:rPr>
                <w:b/>
                <w:color w:val="FFFFFF"/>
              </w:rPr>
              <w:t>Peso relativo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token_refresh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934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93.4%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2.8%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notebook_deleted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1.0%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notebook_created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0.8%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note_created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0.7%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logout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0.7%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notebook_updated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0.4%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note_deleted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0.2%</w:t>
            </w:r>
          </w:p>
        </w:tc>
      </w:tr>
    </w:tbl>
    <w:p>
      <w:pPr>
        <w:spacing w:after="160"/>
        <w:jc w:val="center"/>
      </w:pPr>
      <w:r>
        <w:rPr>
          <w:i/>
          <w:color w:val="555555"/>
          <w:sz w:val="18"/>
        </w:rPr>
        <w:t>Tabela 5 - Frequência das ações registadas em auditoria, por ordem decrescente.</w:t>
      </w:r>
    </w:p>
    <w:p>
      <w:pPr>
        <w:spacing w:after="120" w:before="40"/>
      </w:pPr>
      <w:r>
        <w:rPr>
          <w:sz w:val="22"/>
        </w:rPr>
        <w:t>Observa-se que a renovação de token (token_refresh) representa, isoladamente, a larga maioria dos registos (934 ocorrências, 93.4% do total). Trata-se de uma operação automática e de fundo, executada para manter as sessões ativas. Por ser tão frequente e ocasionalmente sujeita a esperas de rede, esta ação domina e distorce os percentis de duração globais. Por esse motivo, na análise de desempenho que se segue, os indicadores são apresentados também excluindo a renovação de token, de modo a refletir com fidelidade o tempo das operações funcionais iniciadas pelo utilizador.</w:t>
      </w:r>
    </w:p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Gráfico audit_actions_top10.png gerado pelo script de métricas ]</w:t>
      </w:r>
    </w:p>
    <w:p>
      <w:pPr>
        <w:jc w:val="center"/>
      </w:pPr>
      <w:r>
        <w:rPr>
          <w:i/>
          <w:sz w:val="18"/>
        </w:rPr>
        <w:t>Figura - Gráfico audit_actions_top10.png gerado pelo script de métricas</w:t>
      </w:r>
    </w:p>
    <w:p/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Gráfico audit_status_ratio.png gerado pelo script de métricas ]</w:t>
      </w:r>
    </w:p>
    <w:p>
      <w:pPr>
        <w:jc w:val="center"/>
      </w:pPr>
      <w:r>
        <w:rPr>
          <w:i/>
          <w:sz w:val="18"/>
        </w:rPr>
        <w:t>Figura - Gráfico audit_status_ratio.png gerado pelo script de métricas</w:t>
      </w:r>
    </w:p>
    <w:p/>
    <w:p>
      <w:pPr>
        <w:pStyle w:val="Heading3"/>
        <w:jc w:val="left"/>
      </w:pPr>
      <w:r>
        <w:rPr>
          <w:color w:val="1F3564"/>
        </w:rPr>
        <w:t>4.2.4. Duração das Operações Auditadas</w:t>
      </w:r>
    </w:p>
    <w:p>
      <w:pPr>
        <w:spacing w:after="120" w:before="40"/>
      </w:pPr>
      <w:r>
        <w:rPr>
          <w:sz w:val="22"/>
        </w:rPr>
        <w:t>A duração das operações é analisada em duas perspetivas complementares. A visão global inclui todas as ações e é útil para dimensionamento de capacidade; a visão que exclui a renovação de token isola o desempenho percebido pelo utilizador nas operações funcionais. A comparação das duas colunas evidencia o impacto da operação de fundo sobre as estatísticas agregadas.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564"/>
          </w:tcPr>
          <w:p>
            <w:r>
              <w:rPr>
                <w:b/>
                <w:color w:val="FFFFFF"/>
              </w:rPr>
              <w:t>Estatística</w:t>
            </w:r>
          </w:p>
        </w:tc>
        <w:tc>
          <w:tcPr>
            <w:tcW w:type="dxa" w:w="3041"/>
            <w:shd w:val="clear" w:color="auto" w:fill="1F3564"/>
          </w:tcPr>
          <w:p>
            <w:r>
              <w:rPr>
                <w:b/>
                <w:color w:val="FFFFFF"/>
              </w:rPr>
              <w:t>Global (todas as ações)</w:t>
            </w:r>
          </w:p>
        </w:tc>
        <w:tc>
          <w:tcPr>
            <w:tcW w:type="dxa" w:w="3041"/>
            <w:shd w:val="clear" w:color="auto" w:fill="1F3564"/>
          </w:tcPr>
          <w:p>
            <w:r>
              <w:rPr>
                <w:b/>
                <w:color w:val="FFFFFF"/>
              </w:rPr>
              <w:t>Excluindo renovação de token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Amostras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Mínimo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0.63 ms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2.85 ms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Mediana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66.36 ms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53.88 ms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Média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3932.50 ms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106.59 ms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P95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15065.61 ms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361.93 ms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Máximo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393760.53 ms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381.96 ms</w:t>
            </w:r>
          </w:p>
        </w:tc>
      </w:tr>
    </w:tbl>
    <w:p>
      <w:pPr>
        <w:spacing w:after="160"/>
        <w:jc w:val="center"/>
      </w:pPr>
      <w:r>
        <w:rPr>
          <w:i/>
          <w:color w:val="555555"/>
          <w:sz w:val="18"/>
        </w:rPr>
        <w:t>Tabela 6 - Duração das operações auditadas, com e sem a influência da renovação de token.</w:t>
      </w:r>
    </w:p>
    <w:p>
      <w:pPr>
        <w:spacing w:after="120" w:before="40"/>
      </w:pPr>
      <w:r>
        <w:rPr>
          <w:sz w:val="22"/>
        </w:rPr>
        <w:t>A leitura é elucidativa: a mediana global (66.36 ms) e a mediana sem renovação de token (53.88 ms) são próximas, o que confirma que a operação típica é rápida. No entanto, a média e o P95 globais são fortemente penalizados pelos tempos extremos da renovação de token, refletindo esperas pontuais de rede. Ao remover essa ação, o P95 das operações funcionais desce para 361.93 ms, um valor que traduz corretamente a experiência do utilizador na utilização normal da aplicação.</w:t>
      </w:r>
    </w:p>
    <w:p>
      <w:pPr>
        <w:pStyle w:val="Heading3"/>
        <w:jc w:val="left"/>
      </w:pPr>
      <w:r>
        <w:rPr>
          <w:color w:val="1F3564"/>
        </w:rPr>
        <w:t>4.2.5. Duração por Tipo de Operação</w:t>
      </w:r>
    </w:p>
    <w:p>
      <w:pPr>
        <w:spacing w:after="120" w:before="40"/>
      </w:pPr>
      <w:r>
        <w:rPr>
          <w:sz w:val="22"/>
        </w:rPr>
        <w:t>Para um diagnóstico mais fino, a tabela seguinte detalha a duração por tipo de operação. Esta decomposição permite identificar quais as funcionalidades mais exigentes e orientar eventuais esforços de otimização para onde têm maior impacto.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F3564"/>
          </w:tcPr>
          <w:p>
            <w:r>
              <w:rPr>
                <w:b/>
                <w:color w:val="FFFFFF"/>
              </w:rPr>
              <w:t>Operação</w:t>
            </w:r>
          </w:p>
        </w:tc>
        <w:tc>
          <w:tcPr>
            <w:tcW w:type="dxa" w:w="1520"/>
            <w:shd w:val="clear" w:color="auto" w:fill="1F3564"/>
          </w:tcPr>
          <w:p>
            <w:r>
              <w:rPr>
                <w:b/>
                <w:color w:val="FFFFFF"/>
              </w:rPr>
              <w:t>Amostras</w:t>
            </w:r>
          </w:p>
        </w:tc>
        <w:tc>
          <w:tcPr>
            <w:tcW w:type="dxa" w:w="1520"/>
            <w:shd w:val="clear" w:color="auto" w:fill="1F3564"/>
          </w:tcPr>
          <w:p>
            <w:r>
              <w:rPr>
                <w:b/>
                <w:color w:val="FFFFFF"/>
              </w:rPr>
              <w:t>Mediana</w:t>
            </w:r>
          </w:p>
        </w:tc>
        <w:tc>
          <w:tcPr>
            <w:tcW w:type="dxa" w:w="1520"/>
            <w:shd w:val="clear" w:color="auto" w:fill="1F3564"/>
          </w:tcPr>
          <w:p>
            <w:r>
              <w:rPr>
                <w:b/>
                <w:color w:val="FFFFFF"/>
              </w:rPr>
              <w:t>Média</w:t>
            </w:r>
          </w:p>
        </w:tc>
        <w:tc>
          <w:tcPr>
            <w:tcW w:type="dxa" w:w="1520"/>
            <w:shd w:val="clear" w:color="auto" w:fill="1F3564"/>
          </w:tcPr>
          <w:p>
            <w:r>
              <w:rPr>
                <w:b/>
                <w:color w:val="FFFFFF"/>
              </w:rPr>
              <w:t>P95</w:t>
            </w:r>
          </w:p>
        </w:tc>
        <w:tc>
          <w:tcPr>
            <w:tcW w:type="dxa" w:w="1520"/>
            <w:shd w:val="clear" w:color="auto" w:fill="1F3564"/>
          </w:tcPr>
          <w:p>
            <w:r>
              <w:rPr>
                <w:b/>
                <w:color w:val="FFFFFF"/>
              </w:rPr>
              <w:t>Máximo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note_created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193.75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195.69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205.93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208.02 ms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notebook_updated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142.60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143.48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146.68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147.24 ms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note_deleted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106.79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106.79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119.51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120.92 ms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token_refresh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20"/>
              </w:rPr>
              <w:t>934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71.60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4202.85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16700.97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393760.53 ms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54.18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109.17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371.18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381.96 ms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notebook_created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50.55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50.85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53.20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53.50 ms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notebook_deleted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48.92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138.81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286.82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299.00 ms</w:t>
            </w:r>
          </w:p>
        </w:tc>
      </w:tr>
      <w:tr>
        <w:tc>
          <w:tcPr>
            <w:tcW w:type="dxa" w:w="1520"/>
          </w:tcPr>
          <w:p>
            <w:r>
              <w:rPr>
                <w:sz w:val="20"/>
              </w:rPr>
              <w:t>logout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3.45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3.71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5.21 ms</w:t>
            </w:r>
          </w:p>
        </w:tc>
        <w:tc>
          <w:tcPr>
            <w:tcW w:type="dxa" w:w="1520"/>
          </w:tcPr>
          <w:p>
            <w:r>
              <w:rPr>
                <w:sz w:val="20"/>
              </w:rPr>
              <w:t>5.67 ms</w:t>
            </w:r>
          </w:p>
        </w:tc>
      </w:tr>
    </w:tbl>
    <w:p>
      <w:pPr>
        <w:spacing w:after="160"/>
        <w:jc w:val="center"/>
      </w:pPr>
      <w:r>
        <w:rPr>
          <w:i/>
          <w:color w:val="555555"/>
          <w:sz w:val="18"/>
        </w:rPr>
        <w:t>Tabela 7 - Duração detalhada por tipo de operação, ordenada pela mediana.</w:t>
      </w:r>
    </w:p>
    <w:p>
      <w:pPr>
        <w:spacing w:after="120" w:before="40"/>
      </w:pPr>
      <w:r>
        <w:rPr>
          <w:sz w:val="22"/>
        </w:rPr>
        <w:t>As operações de escrita sobre conteúdo (criação de notas e atualização de notebooks) apresentam, naturalmente, durações superiores às operações de leitura ou de encerramento de sessão, por envolverem persistência em base de dados. Os valores mantêm-se, contudo, dentro de limites adequados a uma utilização interativa, não havendo nenhuma operação funcional com tempos típicos preocupantes.</w:t>
      </w:r>
    </w:p>
    <w:p>
      <w:pPr>
        <w:pStyle w:val="Heading3"/>
        <w:jc w:val="left"/>
      </w:pPr>
      <w:r>
        <w:rPr>
          <w:color w:val="1F3564"/>
        </w:rPr>
        <w:t>4.2.6. Inventário de Entidades</w:t>
      </w:r>
    </w:p>
    <w:p>
      <w:pPr>
        <w:spacing w:after="120" w:before="40"/>
      </w:pPr>
      <w:r>
        <w:rPr>
          <w:sz w:val="22"/>
        </w:rPr>
        <w:t>O inventário de entidades caracteriza o estado de povoamento do ambiente no momento da medição. É um indicador de contexto: ajuda a interpretar as restantes métricas e a validar se o ambiente observado corresponde ao esperado (por exemplo, um ambiente de demonstração com poucos dados, ou um ambiente produtivo com volume significativo).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564"/>
          </w:tcPr>
          <w:p>
            <w:r>
              <w:rPr>
                <w:b/>
                <w:color w:val="FFFFFF"/>
              </w:rPr>
              <w:t>Entidade</w:t>
            </w:r>
          </w:p>
        </w:tc>
        <w:tc>
          <w:tcPr>
            <w:tcW w:type="dxa" w:w="4561"/>
            <w:shd w:val="clear" w:color="auto" w:fill="1F3564"/>
          </w:tcPr>
          <w:p>
            <w:r>
              <w:rPr>
                <w:b/>
                <w:color w:val="FFFFFF"/>
              </w:rPr>
              <w:t>Quantidade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Modelos registados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Credenciais registadas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Notebooks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Notas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Fontes (documentos ingeridos)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</w:tr>
    </w:tbl>
    <w:p>
      <w:pPr>
        <w:spacing w:after="160"/>
        <w:jc w:val="center"/>
      </w:pPr>
      <w:r>
        <w:rPr>
          <w:i/>
          <w:color w:val="555555"/>
          <w:sz w:val="18"/>
        </w:rPr>
        <w:t>Tabela 8 - Inventário de entidades existentes no ambiente no momento da medição.</w:t>
      </w:r>
    </w:p>
    <w:p>
      <w:pPr>
        <w:spacing w:after="120" w:before="40"/>
      </w:pPr>
      <w:r>
        <w:rPr>
          <w:sz w:val="22"/>
        </w:rPr>
        <w:t>No ambiente observado, a contagem de fontes encontra-se reduzida e poderá estar associada a um espaço de dados distinto daquele que serve a pesquisa. Este desalinhamento entre o namespace de ingestão e a origem ativa de pesquisa é, em si, um achado operacional relevante e deve ser objeto de procedimento de validação de ambiente antes de cada ciclo de reporte, para assegurar que as métricas de pesquisa incidem sobre o corpus pretendido.</w:t>
      </w:r>
    </w:p>
    <w:p>
      <w:pPr>
        <w:pStyle w:val="Heading3"/>
        <w:jc w:val="left"/>
      </w:pPr>
      <w:r>
        <w:rPr>
          <w:color w:val="1F3564"/>
        </w:rPr>
        <w:t>4.2.7. Disponibilidade e Tempo de Resposta dos Serviços</w:t>
      </w:r>
    </w:p>
    <w:p>
      <w:pPr>
        <w:spacing w:after="120" w:before="40"/>
      </w:pPr>
      <w:r>
        <w:rPr>
          <w:sz w:val="22"/>
        </w:rPr>
        <w:t>Por fim, foram verificados os endpoints de estado que sustentam a monitorização operacional. Estes pontos de verificação confirmam a disponibilidade da aplicação, da base de dados e do subsistema de autenticação, e medem o respetivo tempo de resposta. São a base para alertas automáticos e para a deteção precoce de degradação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Serviço / Endpoint</w:t>
            </w:r>
          </w:p>
        </w:tc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Código HTTP</w:t>
            </w:r>
          </w:p>
        </w:tc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Latência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Verificação de saúde (/health)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Disponível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5.60 ms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Saúde da API (/api/health)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Disponível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5.11 ms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Configuração e estado da BD (/api/config)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Disponível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49.52 ms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Estado de autenticação (/api/auth/status)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Disponível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sz w:val="20"/>
              </w:rPr>
              <w:t>3.80 ms</w:t>
            </w:r>
          </w:p>
        </w:tc>
      </w:tr>
    </w:tbl>
    <w:p>
      <w:pPr>
        <w:spacing w:after="160"/>
        <w:jc w:val="center"/>
      </w:pPr>
      <w:r>
        <w:rPr>
          <w:i/>
          <w:color w:val="555555"/>
          <w:sz w:val="18"/>
        </w:rPr>
        <w:t>Tabela 9 - Disponibilidade e tempo de resposta dos serviços de estado.</w:t>
      </w:r>
    </w:p>
    <w:p>
      <w:pPr>
        <w:spacing w:after="120" w:before="40"/>
      </w:pPr>
      <w:r>
        <w:rPr>
          <w:sz w:val="22"/>
        </w:rPr>
        <w:t>Todos os serviços essenciais responderam com sucesso (código HTTP 200) e a base de dados reportou o estado 'online'. Os tempos de resposta destes pontos de verificação situam-se abaixo da dezena de milissegundos para a maioria dos casos, o que os torna adequados a sondagens frequentes sem impacto percetível na carga do sistema.</w:t>
      </w:r>
    </w:p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Status Dashboard com indicadores de API, Base de Dados e Autenticação ]</w:t>
      </w:r>
    </w:p>
    <w:p>
      <w:pPr>
        <w:jc w:val="center"/>
      </w:pPr>
      <w:r>
        <w:rPr>
          <w:i/>
          <w:sz w:val="18"/>
        </w:rPr>
        <w:t>Figura - Status Dashboard com indicadores de API, Base de Dados e Autenticação</w:t>
      </w:r>
    </w:p>
    <w:p/>
    <w:p>
      <w:pPr>
        <w:pStyle w:val="Heading2"/>
        <w:jc w:val="left"/>
      </w:pPr>
      <w:r>
        <w:rPr>
          <w:color w:val="1F3564"/>
        </w:rPr>
        <w:t>4.3. Método de Cálculo das Métricas</w:t>
      </w:r>
    </w:p>
    <w:p>
      <w:pPr>
        <w:spacing w:after="120" w:before="40"/>
      </w:pPr>
      <w:r>
        <w:rPr>
          <w:sz w:val="22"/>
        </w:rPr>
        <w:t>A credibilidade dos indicadores depende da transparência do método. Por esse motivo, descreve-se em seguida, de forma reproduzível, todo o procedimento de recolha. O script de medição comporta-se como um cliente legítimo do sistema: autentica-se, executa pedidos reais e regista os tempos e os estados devolvidos pela API, sem aceder diretamente à base de dados nem manipular os resultados.</w:t>
      </w:r>
    </w:p>
    <w:p>
      <w:pPr>
        <w:spacing w:after="120" w:before="40"/>
      </w:pPr>
      <w:r>
        <w:rPr>
          <w:sz w:val="22"/>
        </w:rPr>
        <w:t>O procedimento decorre nos seguintes passos:</w:t>
      </w:r>
    </w:p>
    <w:p>
      <w:pPr>
        <w:pStyle w:val="ListBullet"/>
        <w:ind w:left="567"/>
      </w:pPr>
      <w:r>
        <w:rPr>
          <w:sz w:val="22"/>
        </w:rPr>
        <w:t>Autenticação na API através do endpoint de login local, obtendo um token Bearer para os pedidos seguintes.</w:t>
      </w:r>
    </w:p>
    <w:p>
      <w:pPr>
        <w:pStyle w:val="ListBullet"/>
        <w:ind w:left="567"/>
      </w:pPr>
      <w:r>
        <w:rPr>
          <w:sz w:val="22"/>
        </w:rPr>
        <w:t>Execução repetida de benchmarks de pesquisa nos três modos (textual, vetorial e híbrida), registando a latência de cada iteração.</w:t>
      </w:r>
    </w:p>
    <w:p>
      <w:pPr>
        <w:pStyle w:val="ListBullet"/>
        <w:ind w:left="567"/>
      </w:pPr>
      <w:r>
        <w:rPr>
          <w:sz w:val="22"/>
        </w:rPr>
        <w:t>Execução opcional do benchmark de geração de resposta (Ask simples), usando os modelos configurados por defeito.</w:t>
      </w:r>
    </w:p>
    <w:p>
      <w:pPr>
        <w:pStyle w:val="ListBullet"/>
        <w:ind w:left="567"/>
      </w:pPr>
      <w:r>
        <w:rPr>
          <w:sz w:val="22"/>
        </w:rPr>
        <w:t>Extração dos registos de auditoria e agregação por ação, estado e percentis de duração, incluindo a variante que exclui a renovação de token.</w:t>
      </w:r>
    </w:p>
    <w:p>
      <w:pPr>
        <w:pStyle w:val="ListBullet"/>
        <w:ind w:left="567"/>
      </w:pPr>
      <w:r>
        <w:rPr>
          <w:sz w:val="22"/>
        </w:rPr>
        <w:t>Contagem das entidades existentes (modelos, credenciais, notebooks, notas e fontes) para caracterizar o contexto do ambiente.</w:t>
      </w:r>
    </w:p>
    <w:p>
      <w:pPr>
        <w:pStyle w:val="ListBullet"/>
        <w:ind w:left="567"/>
      </w:pPr>
      <w:r>
        <w:rPr>
          <w:sz w:val="22"/>
        </w:rPr>
        <w:t>Verificação dos endpoints de estado e medição da respetiva latência.</w:t>
      </w:r>
    </w:p>
    <w:p>
      <w:pPr>
        <w:pStyle w:val="ListBullet"/>
        <w:ind w:left="567"/>
      </w:pPr>
      <w:r>
        <w:rPr>
          <w:sz w:val="22"/>
        </w:rPr>
        <w:t>Persistência dos resultados em ficheiros JSON, CSV e PNG, garantindo rastreabilidade e auditoria técnica posterior.</w:t>
      </w:r>
    </w:p>
    <w:p>
      <w:pPr>
        <w:spacing w:after="120" w:before="40"/>
      </w:pPr>
      <w:r>
        <w:rPr>
          <w:sz w:val="22"/>
        </w:rPr>
        <w:t>A opção por estatísticas robustas (mediana e percentil 95) em detrimento de uma simples média resulta de uma preocupação metodológica: a média é facilmente distorcida por valores extremos, ao passo que a mediana descreve o comportamento típico e o P95 capta o pior caso realista que a maioria dos utilizadores ainda experimenta. A apresentação conjunta de mínimo, mediana, média, P95 e máximo permite ao leitor formar um juízo completo sobre a distribuição de cada indicador.</w:t>
      </w:r>
    </w:p>
    <w:p>
      <w:pPr>
        <w:spacing w:after="120" w:before="40"/>
      </w:pPr>
      <w:r>
        <w:rPr>
          <w:sz w:val="22"/>
        </w:rPr>
        <w:t>Cada execução produz um conjunto de artefactos verificáveis, que devem ser anexados ao reporte de forma a permitir a sua reavaliação independente. A tabela seguinte identifica esses ficheiros e o respetivo conteúdo.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564"/>
          </w:tcPr>
          <w:p>
            <w:r>
              <w:rPr>
                <w:b/>
                <w:color w:val="FFFFFF"/>
              </w:rPr>
              <w:t>Ficheiro</w:t>
            </w:r>
          </w:p>
        </w:tc>
        <w:tc>
          <w:tcPr>
            <w:tcW w:type="dxa" w:w="4561"/>
            <w:shd w:val="clear" w:color="auto" w:fill="1F3564"/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metricas_resumo.json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Resumo consolidado de todas as métricas, com metadados da recolha.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search_benchmark.csv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Latências individuais por iteração e por modo de pesquisa.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audit_actions.csv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Distribuição das ações e estados extraídos da auditoria.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benchmark_search_latency.png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Gráfico comparativo da latência dos modos de pesquisa.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audit_actions_top10.png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Gráfico das ações mais frequentes na auditoria.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audit_status_ratio.png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Gráfico da proporção entre sucessos e falhas.</w:t>
            </w:r>
          </w:p>
        </w:tc>
      </w:tr>
    </w:tbl>
    <w:p>
      <w:pPr>
        <w:spacing w:after="160"/>
        <w:jc w:val="center"/>
      </w:pPr>
      <w:r>
        <w:rPr>
          <w:i/>
          <w:color w:val="555555"/>
          <w:sz w:val="18"/>
        </w:rPr>
        <w:t>Tabela 10 - Artefactos gerados em cada execução do script de métricas (pasta metricas_e04).</w:t>
      </w:r>
    </w:p>
    <w:p>
      <w:r>
        <w:br w:type="page"/>
      </w:r>
    </w:p>
    <w:p>
      <w:pPr>
        <w:pStyle w:val="Heading1"/>
        <w:jc w:val="left"/>
      </w:pPr>
      <w:r>
        <w:rPr>
          <w:color w:val="1F3564"/>
        </w:rPr>
        <w:t>5. Registos de Testes de DR (DEV/QUA/PRD)</w:t>
      </w:r>
    </w:p>
    <w:p>
      <w:pPr>
        <w:spacing w:after="120" w:before="40"/>
      </w:pPr>
      <w:r>
        <w:rPr>
          <w:sz w:val="22"/>
        </w:rPr>
        <w:t>A resiliência do sistema só fica demonstrada quando a recuperação é efetivamente exercitada. Os testes de recuperação de desastre (DR) devem, por isso, ser executados periodicamente e registados com evidência temporal e técnica. O propósito vai além de comprovar que o restauro é possível: trata-se de medir, em cada ambiente, o tempo real até ao restabelecimento do serviço e a quantidade de dados potencialmente perdida.</w:t>
      </w:r>
    </w:p>
    <w:p>
      <w:pPr>
        <w:spacing w:after="120" w:before="40"/>
      </w:pPr>
      <w:r>
        <w:rPr>
          <w:sz w:val="22"/>
        </w:rPr>
        <w:t>Dois indicadores estruturam esta avaliação. O RTO (Recovery Time Objective) define o tempo máximo aceitável entre a ocorrência de uma falha e a reposição do serviço. O RPO (Recovery Point Objective) define a perda máxima de dados tolerável, expressa como o intervalo de tempo entre a última cópia de segurança utilizável e o momento da falha. Os valores-alvo são tipicamente mais exigentes em produção do que em ambientes de desenvolvimento, refletindo a criticidade crescente do serviço. A tabela seguinte fixa os alvos por ambiente e o estado do último teste realizado.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Ambiente</w:t>
            </w:r>
          </w:p>
        </w:tc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RTO alvo</w:t>
            </w:r>
          </w:p>
        </w:tc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RPO alvo</w:t>
            </w:r>
          </w:p>
        </w:tc>
        <w:tc>
          <w:tcPr>
            <w:tcW w:type="dxa" w:w="2280"/>
            <w:shd w:val="clear" w:color="auto" w:fill="1F3564"/>
          </w:tcPr>
          <w:p>
            <w:r>
              <w:rPr>
                <w:b/>
                <w:color w:val="FFFFFF"/>
              </w:rPr>
              <w:t>Estado do último teste</w:t>
            </w:r>
          </w:p>
        </w:tc>
      </w:tr>
      <w:tr>
        <w:tc>
          <w:tcPr>
            <w:tcW w:type="dxa" w:w="2280"/>
          </w:tcPr>
          <w:p>
            <w:r>
              <w:t>DEV</w:t>
            </w:r>
          </w:p>
        </w:tc>
        <w:tc>
          <w:tcPr>
            <w:tcW w:type="dxa" w:w="2280"/>
          </w:tcPr>
          <w:p>
            <w:r>
              <w:t>24h</w:t>
            </w:r>
          </w:p>
        </w:tc>
        <w:tc>
          <w:tcPr>
            <w:tcW w:type="dxa" w:w="2280"/>
          </w:tcPr>
          <w:p>
            <w:r>
              <w:t>8h</w:t>
            </w:r>
          </w:p>
        </w:tc>
        <w:tc>
          <w:tcPr>
            <w:tcW w:type="dxa" w:w="2280"/>
          </w:tcPr>
          <w:p>
            <w:r>
              <w:t>A preencher</w:t>
            </w:r>
          </w:p>
        </w:tc>
      </w:tr>
      <w:tr>
        <w:tc>
          <w:tcPr>
            <w:tcW w:type="dxa" w:w="2280"/>
          </w:tcPr>
          <w:p>
            <w:r>
              <w:t>QUA</w:t>
            </w:r>
          </w:p>
        </w:tc>
        <w:tc>
          <w:tcPr>
            <w:tcW w:type="dxa" w:w="2280"/>
          </w:tcPr>
          <w:p>
            <w:r>
              <w:t>8h</w:t>
            </w:r>
          </w:p>
        </w:tc>
        <w:tc>
          <w:tcPr>
            <w:tcW w:type="dxa" w:w="2280"/>
          </w:tcPr>
          <w:p>
            <w:r>
              <w:t>4h</w:t>
            </w:r>
          </w:p>
        </w:tc>
        <w:tc>
          <w:tcPr>
            <w:tcW w:type="dxa" w:w="2280"/>
          </w:tcPr>
          <w:p>
            <w:r>
              <w:t>A preencher</w:t>
            </w:r>
          </w:p>
        </w:tc>
      </w:tr>
      <w:tr>
        <w:tc>
          <w:tcPr>
            <w:tcW w:type="dxa" w:w="2280"/>
          </w:tcPr>
          <w:p>
            <w:r>
              <w:t>PRD</w:t>
            </w:r>
          </w:p>
        </w:tc>
        <w:tc>
          <w:tcPr>
            <w:tcW w:type="dxa" w:w="2280"/>
          </w:tcPr>
          <w:p>
            <w:r>
              <w:t>4h</w:t>
            </w:r>
          </w:p>
        </w:tc>
        <w:tc>
          <w:tcPr>
            <w:tcW w:type="dxa" w:w="2280"/>
          </w:tcPr>
          <w:p>
            <w:r>
              <w:t>1h</w:t>
            </w:r>
          </w:p>
        </w:tc>
        <w:tc>
          <w:tcPr>
            <w:tcW w:type="dxa" w:w="2280"/>
          </w:tcPr>
          <w:p>
            <w:r>
              <w:t>A preencher</w:t>
            </w:r>
          </w:p>
        </w:tc>
      </w:tr>
    </w:tbl>
    <w:p>
      <w:pPr>
        <w:spacing w:after="160"/>
        <w:jc w:val="center"/>
      </w:pPr>
      <w:r>
        <w:rPr>
          <w:i/>
          <w:color w:val="555555"/>
          <w:sz w:val="18"/>
        </w:rPr>
        <w:t>Tabela 11 - Objetivos de RTO/RPO por ambiente e estado do último teste de DR.</w:t>
      </w:r>
    </w:p>
    <w:p>
      <w:pPr>
        <w:spacing w:after="120" w:before="40"/>
      </w:pPr>
      <w:r>
        <w:rPr>
          <w:sz w:val="22"/>
        </w:rPr>
        <w:t>A coluna 'Estado do último teste' deve ser preenchida a cada ciclo com a data de execução e o resultado obtido (tempo real de restauro e ponto de recuperação efetivo), permitindo comparar o desempenho real face aos alvos definidos e despoletar ações corretivas sempre que os objetivos não sejam cumpridos.</w:t>
      </w:r>
    </w:p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Evidência DR DEV - antes/depois do restauro ]</w:t>
      </w:r>
    </w:p>
    <w:p>
      <w:pPr>
        <w:jc w:val="center"/>
      </w:pPr>
      <w:r>
        <w:rPr>
          <w:i/>
          <w:sz w:val="18"/>
        </w:rPr>
        <w:t>Figura - Evidência DR DEV - antes/depois do restauro</w:t>
      </w:r>
    </w:p>
    <w:p/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Evidência DR QUA - antes/depois do restauro ]</w:t>
      </w:r>
    </w:p>
    <w:p>
      <w:pPr>
        <w:jc w:val="center"/>
      </w:pPr>
      <w:r>
        <w:rPr>
          <w:i/>
          <w:sz w:val="18"/>
        </w:rPr>
        <w:t>Figura - Evidência DR QUA - antes/depois do restauro</w:t>
      </w:r>
    </w:p>
    <w:p/>
    <w:p/>
    <w:p>
      <w:pPr>
        <w:jc w:val="center"/>
        <w:shd w:val="clear" w:color="auto" w:fill="E8E8E8"/>
      </w:pPr>
      <w:r>
        <w:rPr>
          <w:b/>
          <w:color w:val="666666"/>
          <w:sz w:val="20"/>
        </w:rPr>
        <w:t>[ CAPTURA DE ECRÃ: Evidência DR PRD - failover e failback ]</w:t>
      </w:r>
    </w:p>
    <w:p>
      <w:pPr>
        <w:jc w:val="center"/>
      </w:pPr>
      <w:r>
        <w:rPr>
          <w:i/>
          <w:sz w:val="18"/>
        </w:rPr>
        <w:t>Figura - Evidência DR PRD - failover e failback</w:t>
      </w:r>
    </w:p>
    <w:p/>
    <w:p>
      <w:r>
        <w:br w:type="page"/>
      </w:r>
    </w:p>
    <w:p>
      <w:pPr>
        <w:pStyle w:val="Heading1"/>
        <w:jc w:val="left"/>
      </w:pPr>
      <w:r>
        <w:rPr>
          <w:color w:val="1F3564"/>
        </w:rPr>
        <w:t>6. Conclusão</w:t>
      </w:r>
    </w:p>
    <w:p>
      <w:pPr>
        <w:spacing w:after="120" w:before="40"/>
      </w:pPr>
      <w:r>
        <w:rPr>
          <w:sz w:val="22"/>
        </w:rPr>
        <w:t>A revisão E04 foi atualizada para refletir o comportamento real do sistema e da interface, substituindo formulações especulativas por evidência mensurável. A interface de utilizador cobre o ciclo completo de operação - autenticação, navegação, pesquisa, gestão de conteúdos e administração - e o subsistema de auditoria fornece a base factual para o acompanhamento contínuo da qualidade de serviço.</w:t>
      </w:r>
    </w:p>
    <w:p>
      <w:pPr>
        <w:spacing w:after="120" w:before="40"/>
      </w:pPr>
      <w:r>
        <w:rPr>
          <w:sz w:val="22"/>
        </w:rPr>
        <w:t>Do ponto de vista do desempenho, os resultados confirmam um sistema responsivo: a pesquisa textual responde na ordem das dezenas a centenas de milissegundos e a pesquisa semântica, após a otimização do caminho de geração de embeddings, situa-se igualmente na ordem das centenas de milissegundos, um ganho muito significativo face à configuração inicial. A análise de auditoria evidenciou ainda a importância de isolar operações de fundo de elevada frequência, sob pena de distorcerem a leitura dos indicadores agregados.</w:t>
      </w:r>
    </w:p>
    <w:p>
      <w:pPr>
        <w:spacing w:after="120" w:before="40"/>
      </w:pPr>
      <w:r>
        <w:rPr>
          <w:sz w:val="22"/>
        </w:rPr>
        <w:t>Foram também identificados pontos a consolidar antes de uma adoção produtiva plena: a validação fim-a-fim do fluxo de autenticação federada (OAuth/SSO) no ambiente alvo, a garantia de alinhamento entre o espaço de ingestão de dados e a origem ativa de pesquisa, e a execução regular dos testes de recuperação de desastre com registo de RTO/RPO reais.</w:t>
      </w:r>
    </w:p>
    <w:p>
      <w:pPr>
        <w:spacing w:after="120" w:before="40"/>
      </w:pPr>
      <w:r>
        <w:rPr>
          <w:sz w:val="22"/>
        </w:rPr>
        <w:t>Como próximo passo operacional, recomenda-se institucionalizar a execução periódica do script de métricas, anexando os gráficos e o ficheiro de resumo gerados a cada ciclo de reporte E04. Desta forma, a evolução do sistema passa a ser acompanhada com indicadores comparáveis ao longo do tempo, sustentando decisões de operação e de investimento em evidência objetiva.</w:t>
      </w:r>
    </w:p>
    <w:p>
      <w:r>
        <w:br w:type="page"/>
      </w:r>
    </w:p>
    <w:p>
      <w:pPr>
        <w:pStyle w:val="Heading1"/>
        <w:jc w:val="left"/>
      </w:pPr>
      <w:r>
        <w:rPr>
          <w:color w:val="1F3564"/>
        </w:rPr>
        <w:t>Apêndice A - Lista de Capturas de Ecrã</w:t>
      </w:r>
    </w:p>
    <w:p>
      <w:pPr>
        <w:pStyle w:val="ListBullet"/>
        <w:ind w:left="567"/>
      </w:pPr>
      <w:r>
        <w:rPr>
          <w:sz w:val="22"/>
        </w:rPr>
        <w:t>Figura 1: Ecrã de login com OAuth e login local</w:t>
      </w:r>
    </w:p>
    <w:p>
      <w:pPr>
        <w:pStyle w:val="ListBullet"/>
        <w:ind w:left="567"/>
      </w:pPr>
      <w:r>
        <w:rPr>
          <w:sz w:val="22"/>
        </w:rPr>
        <w:t>Figura 2: Interface principal com navegação global</w:t>
      </w:r>
    </w:p>
    <w:p>
      <w:pPr>
        <w:pStyle w:val="ListBullet"/>
        <w:ind w:left="567"/>
      </w:pPr>
      <w:r>
        <w:rPr>
          <w:sz w:val="22"/>
        </w:rPr>
        <w:t>Figura 3: Chat global com exportação</w:t>
      </w:r>
    </w:p>
    <w:p>
      <w:pPr>
        <w:pStyle w:val="ListBullet"/>
        <w:ind w:left="567"/>
      </w:pPr>
      <w:r>
        <w:rPr>
          <w:sz w:val="22"/>
        </w:rPr>
        <w:t>Figura 4: Consola de modelos</w:t>
      </w:r>
    </w:p>
    <w:p>
      <w:pPr>
        <w:pStyle w:val="ListBullet"/>
        <w:ind w:left="567"/>
      </w:pPr>
      <w:r>
        <w:rPr>
          <w:sz w:val="22"/>
        </w:rPr>
        <w:t>Figura 5: Admin Dashboard com separadores</w:t>
      </w:r>
    </w:p>
    <w:p>
      <w:pPr>
        <w:pStyle w:val="ListBullet"/>
        <w:ind w:left="567"/>
      </w:pPr>
      <w:r>
        <w:rPr>
          <w:sz w:val="22"/>
        </w:rPr>
        <w:t>Figura 6: Audit Logs com filtros</w:t>
      </w:r>
    </w:p>
    <w:p>
      <w:pPr>
        <w:pStyle w:val="ListBullet"/>
        <w:ind w:left="567"/>
      </w:pPr>
      <w:r>
        <w:rPr>
          <w:sz w:val="22"/>
        </w:rPr>
        <w:t>Figura 7: Status Dashboard API/DB/Auth</w:t>
      </w:r>
    </w:p>
    <w:p>
      <w:pPr>
        <w:pStyle w:val="ListBullet"/>
        <w:ind w:left="567"/>
      </w:pPr>
      <w:r>
        <w:rPr>
          <w:sz w:val="22"/>
        </w:rPr>
        <w:t>Figura 8: Dockhand de infraestrutura</w:t>
      </w:r>
    </w:p>
    <w:p>
      <w:pPr>
        <w:pStyle w:val="ListBullet"/>
        <w:ind w:left="567"/>
      </w:pPr>
      <w:r>
        <w:rPr>
          <w:sz w:val="22"/>
        </w:rPr>
        <w:t>Figura 9: benchmark_search_latency.png</w:t>
      </w:r>
    </w:p>
    <w:p>
      <w:pPr>
        <w:pStyle w:val="ListBullet"/>
        <w:ind w:left="567"/>
      </w:pPr>
      <w:r>
        <w:rPr>
          <w:sz w:val="22"/>
        </w:rPr>
        <w:t>Figura 10: audit_actions_top10.png</w:t>
      </w:r>
    </w:p>
    <w:p>
      <w:pPr>
        <w:pStyle w:val="ListBullet"/>
        <w:ind w:left="567"/>
      </w:pPr>
      <w:r>
        <w:rPr>
          <w:sz w:val="22"/>
        </w:rPr>
        <w:t>Figura 11: audit_status_ratio.png</w:t>
      </w:r>
    </w:p>
    <w:p>
      <w:pPr>
        <w:pStyle w:val="ListBullet"/>
        <w:ind w:left="567"/>
      </w:pPr>
      <w:r>
        <w:rPr>
          <w:sz w:val="22"/>
        </w:rPr>
        <w:t>Figura 12: Evidências DR DEV/QUA/PRD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