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1E3A5F"/>
        </w:rPr>
        <w:t>Version 116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1E141B01" w14:textId="77777777" w:rsidR="00197421" w:rsidRPr="006048FC" w:rsidRDefault="00000000">
      <w:pPr>
        <w:spacing w:after="220" w:line="280" w:lineRule="exact"/>
        <w:jc w:val="both"/>
        <w:rPr>
          <w:rFonts w:cs="Times New Roman"/>
          <w:sz w:val="28"/>
          <w:szCs w:val="28"/>
        </w:rPr>
      </w:pPr>
      <w:r>
        <w:rPr>
          <w:rFonts w:cs="Times New Roman"/>
          <w:color w:val="111827"/>
        </w:rPr>
        <w:t>The Maqāṣid al-Sharī‘ah — the objectives of Islamic law — were systematically formulated by al-Ghazālī (c. 1095) and developed by subsequent jurists including al-ʼiẓẓ ibn ʼard-Dabbāgh and al-Shāṭibiʼ (d. 1388). In their classical formulation, the Maqāṣid specify five necessary conditions that any legitimate legal arrangement must protect: life (nafs), intellect (ʻaql), lineage (nasl), wealth (māl), and religion (dīn). Some later jurists, including Ibn ʼaāshūr, added dignity (karāma) as a sixth. The relevant structural feature is that the Maqāṣid generate a floor criterion: an arrangement fails not because it fails to maximize some positive good, but because it fails to protect conditions without which human existence as such is not possible. This is a threshold formulation, not a maximizing formulation — and it generates the same asymmetric structure as PMN’s minimal anchor.</w:t>
      </w:r>
    </w:p>
    <w:p w14:paraId="1E141B02" w14:textId="77777777" w:rsidR="00197421" w:rsidRPr="006048FC" w:rsidRDefault="00000000">
      <w:pPr>
        <w:spacing w:after="220" w:line="280" w:lineRule="exact"/>
        <w:jc w:val="both"/>
        <w:rPr>
          <w:rFonts w:cs="Times New Roman"/>
          <w:sz w:val="28"/>
          <w:szCs w:val="28"/>
        </w:rPr>
      </w:pPr>
      <w:r>
        <w:rPr>
          <w:rFonts w:cs="Times New Roman"/>
          <w:color w:val="111827"/>
        </w:rPr>
        <w:t>The convergence is structural, not textual. PMN does not derive its floor criterion from the Maqāṣid; it derives it from the biological analysis of unnecessary suffering in Part III. What the Maqāṣid provide is independent corroboration: a tradition beginning from jurisprudential reasoning about divine intent, operating across centuries in a completely different civilizational context, arrives at a structurally similar distinction between threshold conditions that cannot be violated without destroying the subject of value, and positive goods that can be pursued in multiple legitimate ways. Life (nafs) is an analogue of the biological floor. Intellect (ʻaql) is an analogue of the becoming criterion: the capacity for reasoning, deliberation, and self-governance that PMN identifies as the anti-foreclosure criterion. The Maqāṣid do not reduce to PMN’s framework — religion (dīn) has no PMN equivalent — but the convergence on the floor/anti-foreclosure structure is not coincidental. It reflects a recurring feature of sustained ethical reasoning under material constraints: the distinction between what must be protected and what can be pursued.</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1E14200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minimal anchor generates a threshold: arrangements that produce suffering the institutional alternative could prevent fail the criterion. But it does not by itself generate a ranking of arrangements that both pass the threshold. Two societies may both clear the biological floor while differing substantially in the degree to which they enable becoming — the expansion of cognitive, relational, and creative capacity that 4.5 develops. Section 4.2 specifies how PMN generates comparative evaluations above the floor: the criterion is not binary but directional. Better arrangements are those that preserve and expand adaptive response capacity across the population, reduce the structural conditions that foreclose it, and do so by means that do not restore floor-level violations in other populations or in future generations. The comparative criterion is distributional, not aggregate: an arrangement that expands adaptive response capacity for a majority while foreclosing it for a minority produces unnecessary suffering in the foreclosed population — a floor violation in the temporal dimension — and is not straightforwardly better than one that preserves anti-foreclosure across all.</w:t>
      </w:r>
    </w:p>
    <w:p w14:paraId="1E142002" w14:textId="77777777" w:rsidR="00197421" w:rsidRPr="006048FC" w:rsidRDefault="00000000">
      <w:pPr>
        <w:spacing w:after="220" w:line="280" w:lineRule="exact"/>
        <w:jc w:val="both"/>
        <w:rPr>
          <w:rFonts w:cs="Times New Roman"/>
          <w:sz w:val="28"/>
          <w:szCs w:val="28"/>
        </w:rPr>
      </w:pPr>
      <w:r>
        <w:rPr>
          <w:rFonts w:cs="Times New Roman"/>
          <w:color w:val="111827"/>
        </w:rPr>
        <w:t>A clarification about the relationship between this criterion and the Epicurean tradition: both PMN and Epicureanism are grounded in the material conditions of embodied organisms, both treat unnecessary suffering as something to be reduced, and both resist purely idealist ethics. The structural difference is decisive. Epicureanism is pleasure-positive: hedone (pleasure) is the goal, ataraxia (tranquility) is the achievement, and the good life is characterized by its positive content. PMN is suffering-negative: the floor criterion identifies what must be absent, and becoming identifies capacity expansion rather than positive experience. Suffering as a floor is not the mirror image of pleasure as a ceiling — it is a different evaluative structure. A person in conditions of adaptive response capacity may experience significant hardship; the criterion is not that their experience is pleasant but that their structural conditions enable the exercise of cognitive, relational, and creative capacity. The second divergence is political: Epicurus’ practical conclusion was withdrawal (λάθε βιώσας — live hidden), because structural suffering was not his object of analysis. PMN’s practical conclusion is institutional contestation, because structural suffering is produced by institutional arrangements that can in principle be changed.</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2A73E8E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adaptive response capacity is most consequential, because the structural conditions they encounter in their developmental years shape what they can become in ways that no subsequent arrangement can fully reverse. 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w:t>
      </w:r>
      <w:r>
        <w:rPr>
          <w:rFonts w:cs="Times New Roman"/>
          <w:color w:val="111827"/>
        </w:rPr>
        <w:lastRenderedPageBreak/>
        <w:t>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lastRenderedPageBreak/>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lastRenderedPageBreak/>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common association in political thought. In the Marxist tradition, material conditions refers primarily to the economic relations of production — to who owns what, </w:t>
      </w:r>
      <w:r>
        <w:rPr>
          <w:rFonts w:cs="Times New Roman"/>
        </w:rPr>
        <w:lastRenderedPageBreak/>
        <w:t>who works for whom, how the products of labor are distributed. That is a subset of what this framework means by material. Here, material refers to the full range of physical and biological conditions that constrain and shape what remains possible when adaptive response capacity is preserved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1E110001" w14:textId="77777777" w:rsidR="00197421" w:rsidRPr="006048FC" w:rsidRDefault="00000000">
      <w:pPr>
        <w:spacing w:after="220" w:line="280" w:lineRule="exact"/>
        <w:jc w:val="both"/>
        <w:rPr>
          <w:rFonts w:cs="Times New Roman"/>
          <w:sz w:val="28"/>
          <w:szCs w:val="28"/>
        </w:rPr>
      </w:pPr>
      <w:r>
        <w:rPr>
          <w:rFonts w:cs="Times New Roman"/>
          <w:color w:val="111827"/>
        </w:rPr>
        <w:t>Eleven levels of engagement are available below. They are cumulative rather than exclusive: a reader who enters at Level 3 will have missed the foundations of Levels 1 and 2, but the framework is designed so that each level is internally coherent enough to be legible on its own terms, with references back to what it presupposes. A note on the visual conventions used throughout the document follows the level descriptions.</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what counts as wrong when it is unnecessary), and becoming is shorthand for the anti-foreclosure criterion: what the floor criterion requires when its causal implications are traced temporally, namely that institutional arrangements not foreclose the adaptive response capacity of future populations. The biological floor is a floor, not a ceiling: it establishes the minimum constraint, not the full content of what the framework values. Section 3.3 now explicitly bridges the is-ought gap for the anti-foreclosure criterion as well as the floor: existential suffering (the Last Man condition) meets the four criteria of unnecessary suffering and generates physiological and social harm. Section 4.5d (Becoming as Epistemic Capacity) specifies 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 xml:space="preserve">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w:t>
      </w:r>
      <w:r>
        <w:rPr>
          <w:rFonts w:cs="Times New Roman"/>
        </w:rPr>
        <w:lastRenderedPageBreak/>
        <w:t>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Level 7 — Parts XII and XIII: How the framework operates, and what it cannot resolve. Part XII addresses the analytical methodology in practice, including the misuse resistance architecture (12.5d), the technocratic drift safeguard (12.8), and the comparative 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w:t>
      </w:r>
    </w:p>
    <w:p w14:paraId="70004F0C" w14:textId="77777777" w:rsidR="00197421" w:rsidRPr="006048FC" w:rsidRDefault="00000000">
      <w:pPr>
        <w:spacing w:after="220" w:line="280" w:lineRule="exact"/>
        <w:jc w:val="both"/>
        <w:rPr>
          <w:rFonts w:cs="Times New Roman"/>
          <w:sz w:val="28"/>
          <w:szCs w:val="28"/>
        </w:rPr>
      </w:pPr>
      <w:r>
        <w:rPr>
          <w:rFonts w:cs="Times New Roman"/>
        </w:rPr>
        <w:lastRenderedPageBreak/>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1E140011" w14:textId="77777777" w:rsidR="00197421" w:rsidRPr="006048FC" w:rsidRDefault="00000000">
      <w:pPr>
        <w:spacing w:after="220" w:line="280" w:lineRule="exact"/>
        <w:jc w:val="both"/>
        <w:rPr>
          <w:rFonts w:cs="Times New Roman"/>
          <w:sz w:val="28"/>
          <w:szCs w:val="28"/>
        </w:rPr>
      </w:pPr>
      <w:r>
        <w:rPr>
          <w:rFonts w:cs="Times New Roman"/>
        </w:rPr>
        <w:t>Level 11 — Part XIV: Framework, doctrine, and what remains open. Part XIV is the living summary — positioned last because it must be read last to be read honestly. It synthesizes the analytical commitments of Parts I–XIII with the operationalization of Parts XV–XVII, states the current doctrinal positions across all major domains (14.2), distinguishes what the framework has argued from what it assumes and what it does not know (14.3), specifies the conditions under which it would be surpassed rather than merely revised (14.4), and addresses the institutional requirements for transmitting the framework without capturing it (14.5–14.6). Part XIV is updated as the framework develops: it is not a conclusion but a current position. The three-tier axiom hierarchy in 14.3 (Foundational/Structural/Empirical-hypothetical) is the most condensed statement of the framework’s epistemological architecture. Read 14.4b before applying the framework to any situation where you suspect the framework itself may be the problem.</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lastRenderedPageBreak/>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w:t>
      </w:r>
      <w:r>
        <w:rPr>
          <w:rFonts w:cs="Times New Roman"/>
        </w:rPr>
        <w:lastRenderedPageBreak/>
        <w:t xml:space="preserve">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Section 12.5 identifies the specific failure modes available to this framework. Section 12.7 is the genealogical interrogation of the framework itself — who produced it, under what conditions, and what structural blind spots follow. Part XIV (14.3–14.4) is positioned at the end of the document, after Part XVII, for this reason: its self-assessment is most credible once the entire argument has been read. Section 14.4 specifies what surpassing this framework would actually look like. These are the document’s most honest passages. They read differently — more convincingly, or more disturbingly — after everything else has been read first.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does it look like when a framework answers the prior question badly? Three failure modes are diagnostic. The first is self-sealing: the framework's internal logic is used to evaluate claims made against the framework itself. Challenges are processed </w:t>
      </w:r>
      <w:r>
        <w:rPr>
          <w:rFonts w:cs="Times New Roman"/>
          <w:color w:val="111827"/>
        </w:rPr>
        <w:lastRenderedPageBreak/>
        <w:t>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w:t>
      </w:r>
      <w:r>
        <w:rPr>
          <w:rFonts w:cs="Times New Roman"/>
        </w:rPr>
        <w:lastRenderedPageBreak/>
        <w:t>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 xml:space="preserve">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w:t>
      </w:r>
      <w:r>
        <w:rPr>
          <w:rFonts w:cs="Times New Roman"/>
          <w:color w:val="111827"/>
        </w:rPr>
        <w:lastRenderedPageBreak/>
        <w:t>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 xml:space="preserve">Apparent contingency in historical and social events conceals structural forces that can be identified and worked with, even when they cannot be precisely predicted — which is not determinism, and not the fatalism that sometimes masquerades as realism, but </w:t>
      </w:r>
      <w:r>
        <w:rPr>
          <w:rFonts w:cs="Times New Roman"/>
        </w:rPr>
        <w:lastRenderedPageBreak/>
        <w:t>something more demanding than either: the recognition that structure shapes what remains possible when adaptive response capacity is preserved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remains possible when adaptive response capacity is preserved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 xml:space="preserve">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w:t>
      </w:r>
      <w:r>
        <w:rPr>
          <w:rFonts w:cs="Times New Roman"/>
        </w:rPr>
        <w:lastRenderedPageBreak/>
        <w:t>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lastRenderedPageBreak/>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 xml:space="preserve">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w:t>
      </w:r>
      <w:r>
        <w:rPr>
          <w:rFonts w:cs="Times New Roman"/>
          <w:color w:val="111827"/>
        </w:rPr>
        <w:lastRenderedPageBreak/>
        <w:t>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lastRenderedPageBreak/>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The claim that inaction is a decision with material consequences is not primarily a moral claim, though it has moral implications. It is an analytical one: the default state of a social arrangement under no external intervention is not preservation of its current form but 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w:t>
      </w:r>
      <w:r>
        <w:rPr>
          <w:rFonts w:cs="Times New Roman"/>
        </w:rPr>
        <w:lastRenderedPageBreak/>
        <w:t>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 xml:space="preserve">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w:t>
      </w:r>
      <w:r>
        <w:rPr>
          <w:rFonts w:cs="Times New Roman"/>
        </w:rPr>
        <w:lastRenderedPageBreak/>
        <w:t>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 xml:space="preserve">The productive equilibrium between belief and doubt is genuinely difficult to maintain, and the difficulty is not symmetric. Excessive </w:t>
      </w:r>
      <w:r>
        <w:rPr>
          <w:rFonts w:cs="Times New Roman"/>
          <w:color w:val="111827"/>
        </w:rPr>
        <w:lastRenderedPageBreak/>
        <w:t>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 xml:space="preserve">This applies to this framework itself. The framework is produced from a specific position, drawing on intellectual traditions more accessible to some than to others. Its blind spots are not correctable by the framework alone. They require engagement with </w:t>
      </w:r>
      <w:r>
        <w:rPr>
          <w:rFonts w:cs="Times New Roman"/>
        </w:rPr>
        <w:lastRenderedPageBreak/>
        <w:t>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 xml:space="preserve">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w:t>
      </w:r>
      <w:r>
        <w:rPr>
          <w:rFonts w:cs="Times New Roman"/>
          <w:color w:val="111827"/>
        </w:rPr>
        <w:lastRenderedPageBreak/>
        <w:t>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w:t>
      </w:r>
      <w:r>
        <w:rPr>
          <w:rFonts w:cs="Times New Roman"/>
          <w:color w:val="111827"/>
        </w:rPr>
        <w:lastRenderedPageBreak/>
        <w:t>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lastRenderedPageBreak/>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Part I established that knowledge production has a social address: what is produced, what circulates, and what acquires standing are all shaped by material conditions. Sections 1.8–1.12 extend that analysis to the infrastructure level — the systems through which 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 xml:space="preserve">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w:t>
      </w:r>
      <w:r>
        <w:rPr>
          <w:rFonts w:cs="Times New Roman"/>
          <w:color w:val="111827"/>
        </w:rPr>
        <w:lastRenderedPageBreak/>
        <w:t>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Infrastructure failure is politically distinctive because it is less visible than production failure. 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infrastructure repair is a political project:  </w:t>
      </w:r>
      <w:r>
        <w:rPr>
          <w:rFonts w:cs="Times New Roman"/>
          <w:color w:val="111827"/>
        </w:rPr>
        <w:t>Repairing the epistemic infrastructure is not primarily a technical problem of improving media quality or academic standards. It is a political project because the infrastructure in its current state is 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w:t>
      </w:r>
      <w:r>
        <w:rPr>
          <w:rFonts w:cs="Times New Roman"/>
          <w:color w:val="111827"/>
        </w:rPr>
        <w:lastRenderedPageBreak/>
        <w:t>knowledge about a structural problem — can generate documentation, analysis, and 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operational implication: the visibility variable V in the structural suffering formula is not only a function of narrative and media dynamics, as 8.4c analyzes. It is 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counter-authority problem: communities that are systematically excluded from credentialed knowledge production develop their own epistemic authority systems — </w:t>
      </w:r>
      <w:r>
        <w:rPr>
          <w:rFonts w:cs="Times New Roman"/>
          <w:color w:val="111827"/>
        </w:rPr>
        <w:lastRenderedPageBreak/>
        <w:t>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t xml:space="preserve">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w:t>
      </w:r>
      <w:r>
        <w:rPr>
          <w:rFonts w:cs="Times New Roman"/>
        </w:rPr>
        <w:lastRenderedPageBreak/>
        <w:t>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visibility variable again: information asymmetry is one of the primary mechanisms through which V is suppressed. Structural suffering that is experienced by populations without the resources to document it, translate it into credentialed form, and 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w:t>
      </w:r>
      <w:r>
        <w:rPr>
          <w:rFonts w:cs="Times New Roman"/>
        </w:rPr>
        <w:lastRenderedPageBreak/>
        <w:t>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 xml:space="preserve">The most recent developments in epistemic infrastructure disruption extend the mechanism described above into territory that the existing analysis of misinformation </w:t>
      </w:r>
      <w:r>
        <w:rPr>
          <w:rFonts w:cs="Times New Roman"/>
        </w:rPr>
        <w:lastRenderedPageBreak/>
        <w:t>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The mechanism of algorithmic visibility suppression is the optimization of engagement metrics as a proxy for value. Recommendation systems trained to maximize time-on-platform, click-through rate, or emotional response do not suppress information by removing 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 xml:space="preserve">This structural feature of algorithmic information architecture has specific consequences for the framework's analysis of counter-power formation. The coalition width </w:t>
      </w:r>
      <w:r>
        <w:rPr>
          <w:rFonts w:cs="Times New Roman"/>
        </w:rPr>
        <w:lastRenderedPageBreak/>
        <w:t>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 xml:space="preserve">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w:t>
      </w:r>
      <w:r>
        <w:rPr>
          <w:rFonts w:cs="Times New Roman"/>
        </w:rPr>
        <w:lastRenderedPageBreak/>
        <w:t>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material processes, it is still suffering, it is still produced by identifiable structural arrangements, and it still requires the </w:t>
      </w:r>
      <w:r>
        <w:rPr>
          <w:rFonts w:cs="Times New Roman"/>
          <w:i/>
          <w:iCs/>
          <w:color w:val="333333"/>
          <w:sz w:val="22"/>
          <w:szCs w:val="22"/>
        </w:rPr>
        <w:lastRenderedPageBreak/>
        <w:t>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1E2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requires a postulate stated explicitly: </w:t>
      </w:r>
      <w:r>
        <w:rPr>
          <w:rFonts w:cs="Times New Roman"/>
          <w:i/>
          <w:iCs/>
          <w:color w:val="111827"/>
          <w:sz w:val="28"/>
          <w:szCs w:val="28"/>
        </w:rPr>
        <w:t>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Pr>
          <w:rFonts w:cs="Times New Roman"/>
          <w:color w:val="111827"/>
        </w:rPr>
        <w:t xml:space="preserve"> 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lastRenderedPageBreak/>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 xml:space="preserve">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w:t>
      </w:r>
      <w:r>
        <w:rPr>
          <w:rFonts w:cs="Times New Roman"/>
        </w:rPr>
        <w:lastRenderedPageBreak/>
        <w:t>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The biological foundation of this framework is therefore a grounding claim, not a reduction claim. Biology specifies the conditions that social arrangements must meet — the 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w:t>
      </w:r>
      <w:r>
        <w:rPr>
          <w:rFonts w:cs="Times New Roman"/>
        </w:rPr>
        <w:lastRenderedPageBreak/>
        <w:t>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 xml:space="preserve">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w:t>
      </w:r>
      <w:r>
        <w:rPr>
          <w:rFonts w:cs="Times New Roman"/>
        </w:rPr>
        <w:lastRenderedPageBreak/>
        <w:t>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w:t>
      </w:r>
      <w:r>
        <w:rPr>
          <w:rFonts w:cs="Times New Roman"/>
        </w:rPr>
        <w:lastRenderedPageBreak/>
        <w:t>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w:t>
      </w:r>
      <w:r>
        <w:rPr>
          <w:rFonts w:cs="Times New Roman"/>
          <w:color w:val="111827"/>
        </w:rPr>
        <w:lastRenderedPageBreak/>
        <w:t>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w:t>
      </w:r>
      <w:r>
        <w:rPr>
          <w:rFonts w:cs="Times New Roman"/>
          <w:color w:val="111827"/>
        </w:rPr>
        <w:lastRenderedPageBreak/>
        <w:t>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The agnosticism extends to this specific question too: whether necessary being is personal or impersonal, whether the source level has something analogous to intention or is pure structure without orientation, is not resolvable from within this framework. 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w:t>
      </w:r>
      <w:r>
        <w:rPr>
          <w:rFonts w:cs="Times New Roman"/>
          <w:color w:val="111827"/>
        </w:rPr>
        <w:lastRenderedPageBreak/>
        <w:t>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differentiated, not uniform. The framework is agnostic about necessary being as a metaphysical question while being committed to specific claims at every other level: to the reality of the material substrate, to the causal efficacy of 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w:t>
      </w:r>
      <w:r>
        <w:rPr>
          <w:rFonts w:cs="Times New Roman"/>
        </w:rPr>
        <w:lastRenderedPageBreak/>
        <w:t>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remains possible when adaptive response capacity is preserved at the ideological level — but the ideological level also has genuine causal properties that shape what remains possible when adaptive response capacity is preserved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ontological status of institutions:  </w:t>
      </w:r>
      <w:r>
        <w:rPr>
          <w:rFonts w:cs="Times New Roman"/>
          <w:color w:val="111827"/>
        </w:rPr>
        <w:t>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lastRenderedPageBreak/>
        <w:t>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w:t>
      </w:r>
      <w:r>
        <w:rPr>
          <w:rFonts w:cs="Times New Roman"/>
          <w:color w:val="111827"/>
        </w:rPr>
        <w:lastRenderedPageBreak/>
        <w:t>are intellectually understandable given 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w:t>
      </w:r>
      <w:r>
        <w:rPr>
          <w:rFonts w:cs="Times New Roman"/>
        </w:rPr>
        <w:lastRenderedPageBreak/>
        <w:t>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but does not engage the latter: its most forceful arguments target specific interventionist claims made in God’s name — miracles, answered prayer, young-earth geology — rather than the thesis of necessary being as a metaphysical category, and these are not the same argument. Harris’ moral landscape arguments are valuable within their domain — demonstrating that wellbeing has an objective dimension that can be investigated empirically — but do not resolve the meta-question of why wellbeing matters in the first place, which is precisely the ground the necessary being thesis occupies. The pattern across much contemporary skeptical rationalist discourse is to conflate two distinct positions: presumption of atheism as an epistemic starting point — which is defensible as a working heuristic for evaluating empirical claims — and atheism as a settled philosophical conclusion about the nature of ultimate reality, which requires substantially more argument than the working heuristic supplies.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 xml:space="preserve">The projecting fallacy is the error of applying a category of thought — formed within a specific domain of experience and valid there — to a domain where the category does not apply, and then treating the resulting confusion as a refutation of the target rather </w:t>
      </w:r>
      <w:r>
        <w:rPr>
          <w:rFonts w:cs="Times New Roman"/>
        </w:rPr>
        <w:lastRenderedPageBreak/>
        <w:t>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w:t>
      </w:r>
      <w:r>
        <w:rPr>
          <w:rFonts w:cs="Times New Roman"/>
          <w:i/>
          <w:iCs/>
          <w:color w:val="7B3F3F"/>
          <w:sz w:val="22"/>
          <w:szCs w:val="22"/>
        </w:rPr>
        <w:lastRenderedPageBreak/>
        <w:t>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 xml:space="preserve">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w:t>
      </w:r>
      <w:r>
        <w:rPr>
          <w:rFonts w:cs="Times New Roman"/>
        </w:rPr>
        <w:lastRenderedPageBreak/>
        <w:t>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 xml:space="preserve">This question is worth addressing directly because the answer is structural, not rhetorical. If a necessary being exists that </w:t>
      </w:r>
      <w:r>
        <w:rPr>
          <w:rFonts w:cs="Times New Roman"/>
        </w:rPr>
        <w:lastRenderedPageBreak/>
        <w:t>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The strongest version of this challenge, articulated within contemporary Islamic apologetics and with analogues in apophatic Christian and Vedantic traditions, runs as follows: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 xml:space="preserve">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w:t>
      </w:r>
      <w:r>
        <w:rPr>
          <w:rFonts w:cs="Times New Roman"/>
        </w:rPr>
        <w:lastRenderedPageBreak/>
        <w:t>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rationality-as-divine argument: PMN’s response: This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analyze arrangements that theism regards as subject to moral evaluation, using a criterion (suffering matters) that theism generally endorses. The dispute about whether God exists does not touch the work PMN is doing within that shared territory. What this challenge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 xml:space="preserve">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w:t>
      </w:r>
      <w:r>
        <w:rPr>
          <w:rFonts w:cs="Times New Roman"/>
        </w:rPr>
        <w:lastRenderedPageBreak/>
        <w:t>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 xml:space="preserve">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w:t>
      </w:r>
      <w:r>
        <w:rPr>
          <w:rFonts w:cs="Times New Roman"/>
        </w:rPr>
        <w:lastRenderedPageBreak/>
        <w:t>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preserved adaptive response capacity,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w:t>
      </w:r>
      <w:r>
        <w:rPr>
          <w:rFonts w:cs="Times New Roman"/>
          <w:i/>
          <w:iCs/>
          <w:color w:val="333333"/>
          <w:sz w:val="22"/>
          <w:szCs w:val="22"/>
        </w:rPr>
        <w:lastRenderedPageBreak/>
        <w:t>(Part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 xml:space="preserve">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w:t>
      </w:r>
      <w:r>
        <w:rPr>
          <w:rFonts w:cs="Times New Roman"/>
        </w:rPr>
        <w:lastRenderedPageBreak/>
        <w:t>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w:t>
      </w:r>
      <w:r>
        <w:rPr>
          <w:rFonts w:cs="Times New Roman"/>
        </w:rPr>
        <w:lastRenderedPageBreak/>
        <w:t>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anti-foreclosure criterion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 xml:space="preserve">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w:t>
      </w:r>
      <w:r>
        <w:rPr>
          <w:rFonts w:cs="Times New Roman"/>
          <w:color w:val="111827"/>
        </w:rPr>
        <w:lastRenderedPageBreak/>
        <w:t>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anti-foreclosure criterion concerns the preservation of adaptive response capacity. The floor is specified in terms of suffering because suffering is what is most directly identifiable and most directly preventable through institutional design. The anti-foreclosure criterion concerns adaptive response capacity because the conditions for genuine response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w:t>
      </w:r>
      <w:r>
        <w:rPr>
          <w:rFonts w:cs="Times New Roman"/>
          <w:color w:val="111827"/>
        </w:rPr>
        <w:lastRenderedPageBreak/>
        <w:t>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The significance of grounding the framework ontologically in life rather than in suffering is that it preserves the framework's 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anti-foreclosure criterion (the temporal extension of the floor):  </w:t>
      </w:r>
      <w:r>
        <w:rPr>
          <w:rFonts w:cs="Times New Roman"/>
          <w:color w:val="111827"/>
        </w:rPr>
        <w:t xml:space="preserve">The two-level architecture also clarifies the relationship between the minimal anchor (floor) and the anti-foreclosure criterion (temporal extension of the floor).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anti-foreclosure criterion specifies what institutional arrangements must preserve: the adaptive response </w:t>
      </w:r>
      <w:r>
        <w:rPr>
          <w:rFonts w:cs="Times New Roman"/>
          <w:color w:val="111827"/>
        </w:rPr>
        <w:lastRenderedPageBreak/>
        <w:t>capacity that, if foreclosed, constitutes structural suffering imposed temporally.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anti-foreclosure criterion (welfare expansionism) or restricting evaluation to the floor and ignoring the temporal extension of the floor (a minimalism that mistakes the cross-sectional application of the criterion for the complete criterion).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 xml:space="preserve">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w:t>
      </w:r>
      <w:r>
        <w:rPr>
          <w:rFonts w:cs="Times New Roman"/>
        </w:rPr>
        <w:lastRenderedPageBreak/>
        <w:t>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1E3A5F"/>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One implication of the descriptive starting point must be stated clearly, because the misreading is common and its consequences are significant. The biological foundation 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qualification: beginning from a descriptive biological observation does not eliminate normative judgment from the framework — Part IV is explicitly normative. What it does is ground the normative judgment in something more stable than competing </w:t>
      </w:r>
      <w:r>
        <w:rPr>
          <w:rFonts w:cs="Times New Roman"/>
          <w:color w:val="111827"/>
        </w:rPr>
        <w:lastRenderedPageBreak/>
        <w:t>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The descriptive egoism starting point in 3.2 — that organisms avoid pain and seek resources as a biological fact — operates at a different level of analysis from a claim found 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w:t>
      </w:r>
      <w:r>
        <w:rPr>
          <w:rFonts w:cs="Times New Roman"/>
        </w:rPr>
        <w:lastRenderedPageBreak/>
        <w:t>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w:t>
      </w:r>
      <w:r>
        <w:rPr>
          <w:rFonts w:cs="Times New Roman"/>
          <w:i/>
          <w:iCs/>
          <w:color w:val="333333"/>
          <w:sz w:val="22"/>
          <w:szCs w:val="22"/>
        </w:rPr>
        <w:lastRenderedPageBreak/>
        <w:t>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w:t>
      </w:r>
      <w:r>
        <w:rPr>
          <w:rFonts w:cs="Times New Roman"/>
          <w:i/>
          <w:iCs/>
          <w:color w:val="7B3F3F"/>
          <w:sz w:val="22"/>
          <w:szCs w:val="22"/>
        </w:rPr>
        <w:lastRenderedPageBreak/>
        <w:t>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 xml:space="preserve">The is-ought bridge established above operates primarily for the floor criterion: structural suffering produces observable systemic instability, and agents with any long-horizon orientation have material reasons to address it. A separate question follows immediately: does the anti-foreclosure criterion — the expansion of becoming capacity </w:t>
      </w:r>
      <w:r>
        <w:rPr>
          <w:rFonts w:cs="Times New Roman"/>
        </w:rPr>
        <w:lastRenderedPageBreak/>
        <w:t>(4.5)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anti-foreclosure criterion is whether the same grounding is available. It is, through a mechanism that the floor/anti-foreclosure distinction can obscure: the Last Man condition — material needs met, becoming foreclosed — is not a anti-foreclosure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anti-foreclosure concerns.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preserved adaptive response capacity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foreclosing adaptive response capacity produces ex</w:t>
      </w:r>
      <w:r>
        <w:rPr>
          <w:rFonts w:cs="Times New Roman"/>
        </w:rPr>
        <w:lastRenderedPageBreak/>
        <w:t>istential suffering that operates through the same destabilizing mechanisms as immediate floor violations — at a different timescale; existential suffering produces physiological floor-level harm to those who bear it; and existential suffering at scale produces structural suffering in others through the political mechanisms that convert developmental foreclosure into authoritarian mobilization. The floor criterion and the anti-foreclosure criterion are not two separate normative commitments requiring two separate is-ought bridges. They are one commitment, stated at two levels of causal depth. The minimal anchor, rigorously applied, already requires attention to the anti-foreclosure criterion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A comparative note on the capabilities approach (Sen, Nussbaum) clarifies what PMN is and is not doing. The capabilities tradition asks what people are actually able to do and be — it identifies central human capabilities whose combined achievement constitutes a 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an anti-foreclosure criterion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 xml:space="preserve">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w:t>
      </w:r>
      <w:r>
        <w:rPr>
          <w:rFonts w:cs="Times New Roman"/>
        </w:rPr>
        <w:lastRenderedPageBreak/>
        <w:t>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 Two positions that appear to challenge this starting point do not actually do so. The </w:t>
      </w:r>
      <w:r>
        <w:rPr>
          <w:rFonts w:cs="Times New Roman"/>
          <w:color w:val="111827"/>
        </w:rPr>
        <w:lastRenderedPageBreak/>
        <w:t>claim that all evaluative criteria are socially constructed and therefore arbitrary does not escape the minimal anchor: the person making that claim, if hungry, experiences the hunger as non-arbitrary regardless of their theoretical commitments, and an institution that produces hunger they could avoid producing fails the criterion whether or not its operators accept the criterion’s philosophical grounding. The claim that voluntary exchange between consenting parties is always legitimate also does not escape it: consent under conditions of severe material deprivation is not the same as consent under conditions of genuine alternatives, and an arrangement that produces one party’s consent only because the alternative is worse deprivation fails the criterion at the floor level regardless of its formal voluntariness. Both challenges are answered by the biology, not by the philosophy.</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designed differently, by distributions of resources and power that could be structured differently, and by the systematic suppression of the conditions for preserved adaptive response capacity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w:t>
      </w:r>
      <w:r>
        <w:rPr>
          <w:rFonts w:cs="Times New Roman"/>
          <w:color w:val="111827"/>
        </w:rPr>
        <w:lastRenderedPageBreak/>
        <w:t>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w:t>
      </w:r>
      <w:r>
        <w:rPr>
          <w:rFonts w:cs="Times New Roman"/>
          <w:color w:val="111827"/>
        </w:rPr>
        <w:lastRenderedPageBreak/>
        <w:t>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 xml:space="preserve">The minimal anchor — the reduction of unnecessary suffering — requires greater precision than the single formulation allows. Not all suffering is the same kind of thing, </w:t>
      </w:r>
      <w:r>
        <w:rPr>
          <w:rFonts w:cs="Times New Roman"/>
        </w:rPr>
        <w:lastRenderedPageBreak/>
        <w:t>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The framework targets suffering that is preventable given current material conditions — current technology, current knowledge, current productive capacity. Suffering that is genuinely irreducible given 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 xml:space="preserve">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w:t>
      </w:r>
      <w:r>
        <w:rPr>
          <w:rFonts w:cs="Times New Roman"/>
        </w:rPr>
        <w:lastRenderedPageBreak/>
        <w:t>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temporal level — institutional arrangements foreclose adaptive response capacity rather than immediately violating the floor. A society with high material welfare and high existential suffering is not satisfying the anti-foreclosure criterion.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anti-foreclosure criterion — the temporal extension the floor makes necessary.</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anti-foreclosure failure </w:t>
      </w:r>
      <w:r>
        <w:rPr>
          <w:i/>
          <w:iCs/>
          <w:color w:val="1E3A5F"/>
          <w:sz w:val="20"/>
          <w:szCs w:val="20"/>
        </w:rPr>
        <w:t>—</w:t>
      </w:r>
      <w:r>
        <w:rPr>
          <w:rFonts w:cs="Times New Roman"/>
          <w:i/>
          <w:iCs/>
          <w:color w:val="1E3A5F"/>
          <w:sz w:val="20"/>
          <w:szCs w:val="20"/>
        </w:rPr>
        <w:t xml:space="preserve"> one that asks not whether S is elevated but whether the conditions for preserved adaptive response capacity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 xml:space="preserve">The framework's typology of suffering did not emerge without predecessors. The most durable and widely adopted systems for categorizing harm in human history have been theological: the seven deadly sins of Catholic tradition, the al-kaba'ir (major sins) of </w:t>
      </w:r>
      <w:r>
        <w:rPr>
          <w:rFonts w:cs="Times New Roman"/>
        </w:rPr>
        <w:lastRenderedPageBreak/>
        <w:t>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lastRenderedPageBreak/>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 xml:space="preserve">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w:t>
      </w:r>
      <w:r>
        <w:rPr>
          <w:rFonts w:cs="Times New Roman"/>
        </w:rPr>
        <w:lastRenderedPageBreak/>
        <w:t>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 xml:space="preserve">Physical suffering that does not have structural causes — the unavoidable pain of aging, the grief of natural loss, the physical limits of the body that no arrangement can fully remove — is not within the scope of institutional responsibility in the same way. </w:t>
      </w:r>
      <w:r>
        <w:rPr>
          <w:rFonts w:cs="Times New Roman"/>
        </w:rPr>
        <w:lastRenderedPageBreak/>
        <w:t>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anti-foreclosure level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anti-foreclosure level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lastRenderedPageBreak/>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t>The first possible explanation is anti-foreclosure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 xml:space="preserve">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w:t>
      </w:r>
      <w:r>
        <w:rPr>
          <w:rFonts w:cs="Times New Roman"/>
        </w:rPr>
        <w:lastRenderedPageBreak/>
        <w:t>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high-welfare/high-distress cases: (1) Map distress distribution — is it concentrated in populations with constrained development pathways, or broadly distributed across welfare and development levels? Concentration suggests anti-foreclosure failure. (2) Correlate with institutional change — does distress track the erosion of specific meaning-providing institutions, or the design of development-blocking arrangements? The former suggests meaning infrastructure collapse; the latter suggests anti-foreclosure failure. (3) Examine qualitative form — frustrated capacity and blocked ambition suggest anti-foreclosure failure; purposelessness and disorientation suggest meaning infrastructure collapse; the weight of freedom and finitude in the presence of adequate conditions suggests the irreducible component. (4) Test institutional response — anti-foreclosure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lastRenderedPageBreak/>
        <w:t>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the anti-foreclosure criterion (temporal extension of the floor), and why 4.5 establishes that a framework 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w:t>
      </w:r>
      <w:r>
        <w:rPr>
          <w:rFonts w:cs="Times New Roman"/>
          <w:i/>
          <w:iCs/>
          <w:color w:val="333333"/>
          <w:sz w:val="22"/>
          <w:szCs w:val="22"/>
        </w:rPr>
        <w:lastRenderedPageBreak/>
        <w:t>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w:t>
      </w:r>
      <w:r>
        <w:rPr>
          <w:rFonts w:cs="Times New Roman"/>
          <w:i/>
          <w:iCs/>
          <w:color w:val="7B3F3F"/>
          <w:sz w:val="22"/>
          <w:szCs w:val="22"/>
        </w:rPr>
        <w:lastRenderedPageBreak/>
        <w:t>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The causal chain from stigma to harm runs through a specific mechanism that can be called the invisibility cascade. When a disposition is defined exclusively in terms of its worst-case behavioral expression — when "pedophile" means only "child abuser," when "violent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lastRenderedPageBreak/>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 xml:space="preserve">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w:t>
      </w:r>
      <w:r>
        <w:rPr>
          <w:rFonts w:cs="Times New Roman"/>
        </w:rPr>
        <w:lastRenderedPageBreak/>
        <w:t>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w:t>
      </w:r>
      <w:r>
        <w:rPr>
          <w:rFonts w:cs="Times New Roman"/>
        </w:rPr>
        <w:lastRenderedPageBreak/>
        <w:t>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 xml:space="preserve">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w:t>
      </w:r>
      <w:r>
        <w:rPr>
          <w:rFonts w:cs="Times New Roman"/>
        </w:rPr>
        <w:lastRenderedPageBreak/>
        <w:t>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w:t>
      </w:r>
      <w:r>
        <w:rPr>
          <w:rFonts w:cs="Times New Roman"/>
          <w:i/>
          <w:iCs/>
          <w:color w:val="333333"/>
          <w:sz w:val="22"/>
          <w:szCs w:val="22"/>
        </w:rPr>
        <w:lastRenderedPageBreak/>
        <w:t>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intervention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Third: dispositional status is not behavioral status. Carrying a disposition is not a crime, not a moral failing in itself, and not evidence of intent. It is a risk factor whose probability 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Dispositional harm prevention institutional assessment: (1) Invisibility cascade check — does the current institutional design make disclosure of dispositional risk </w:t>
      </w:r>
      <w:r>
        <w:rPr>
          <w:rFonts w:cs="Times New Roman"/>
          <w:i/>
          <w:iCs/>
          <w:color w:val="7B3F3F"/>
          <w:sz w:val="22"/>
          <w:szCs w:val="22"/>
        </w:rPr>
        <w:lastRenderedPageBreak/>
        <w:t>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 xml:space="preserve">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w:t>
      </w:r>
      <w:r>
        <w:rPr>
          <w:rFonts w:cs="Times New Roman"/>
        </w:rPr>
        <w:lastRenderedPageBreak/>
        <w:t>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 xml:space="preserve">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w:t>
      </w:r>
      <w:r>
        <w:rPr>
          <w:rFonts w:cs="Times New Roman"/>
        </w:rPr>
        <w:lastRenderedPageBreak/>
        <w:t>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The first condition is biological augmentation — the enhancement of human capacities through technologies that extend what the biological organism can do without replacing 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 xml:space="preserve">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w:t>
      </w:r>
      <w:r>
        <w:rPr>
          <w:rFonts w:cs="Times New Roman"/>
        </w:rPr>
        <w:lastRenderedPageBreak/>
        <w:t>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remains possible when adaptive response capacity is preserved.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 xml:space="preserve">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w:t>
      </w:r>
      <w:r>
        <w:rPr>
          <w:rFonts w:cs="Times New Roman"/>
        </w:rPr>
        <w:lastRenderedPageBreak/>
        <w:t>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lastRenderedPageBreak/>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w:t>
      </w:r>
      <w:r>
        <w:rPr>
          <w:rFonts w:cs="Times New Roman"/>
          <w:i/>
          <w:iCs/>
          <w:color w:val="333333"/>
          <w:sz w:val="22"/>
          <w:szCs w:val="22"/>
        </w:rPr>
        <w:lastRenderedPageBreak/>
        <w:t>traditions developed in response to industrial capitalism. A post-scarcity configuration governed by accountable institutions that prevent access capture would represent the most significant expansion of adaptive response capacity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Transformative biotechnology and artificial augmentation raise a question that the framework must acknowledge even though it cannot answer from within its own terms: at what 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adaptive response capacity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adaptive response capacity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 xml:space="preserve">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w:t>
      </w:r>
      <w:r>
        <w:rPr>
          <w:rFonts w:cs="Times New Roman"/>
        </w:rPr>
        <w:lastRenderedPageBreak/>
        <w:t>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 xml:space="preserve">It is not currently technologically available. But it is already structurally present in the framework's commitments. The framework claims that its evaluative criterion is grounded in biology but not restricted to biological substrate; that what matters is the capacity </w:t>
      </w:r>
      <w:r>
        <w:rPr>
          <w:rFonts w:cs="Times New Roman"/>
          <w:color w:val="111827"/>
        </w:rPr>
        <w:lastRenderedPageBreak/>
        <w:t>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anti-foreclosure criterion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anti-foreclosure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anti-foreclosure criterion active. (3) Does it retain 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t>
      </w:r>
      <w:r>
        <w:rPr>
          <w:rFonts w:cs="Times New Roman"/>
        </w:rPr>
        <w:lastRenderedPageBreak/>
        <w:t>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lastRenderedPageBreak/>
        <w:t>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aggregation of individual suffering into systemic transformation pressure </w:t>
      </w:r>
      <w:r>
        <w:rPr>
          <w:i/>
          <w:iCs/>
          <w:color w:val="1E3A5F"/>
          <w:sz w:val="20"/>
          <w:szCs w:val="20"/>
        </w:rPr>
        <w:t>—</w:t>
      </w:r>
      <w:r>
        <w:rPr>
          <w:rFonts w:cs="Times New Roman"/>
          <w:i/>
          <w:iCs/>
          <w:color w:val="1E3A5F"/>
          <w:sz w:val="20"/>
          <w:szCs w:val="20"/>
        </w:rPr>
        <w:t xml:space="preserve"> including Duration (D), Scale (P), and Intergenerational Transmission (G) multipliers </w:t>
      </w:r>
      <w:r>
        <w:rPr>
          <w:i/>
          <w:iCs/>
          <w:color w:val="1E3A5F"/>
          <w:sz w:val="20"/>
          <w:szCs w:val="20"/>
        </w:rPr>
        <w:t>—</w:t>
      </w:r>
      <w:r>
        <w:rPr>
          <w:rFonts w:cs="Times New Roman"/>
          <w:i/>
          <w:iCs/>
          <w:color w:val="1E3A5F"/>
          <w:sz w:val="20"/>
          <w:szCs w:val="20"/>
        </w:rPr>
        <w:t xml:space="preserve"> is formalized in Part XV, 15.3</w:t>
      </w:r>
      <w:r>
        <w:rPr>
          <w:i/>
          <w:iCs/>
          <w:color w:val="1E3A5F"/>
          <w:sz w:val="20"/>
          <w:szCs w:val="20"/>
        </w:rPr>
        <w:t>–</w:t>
      </w:r>
      <w:r>
        <w:rPr>
          <w:rFonts w:cs="Times New Roman"/>
          <w:i/>
          <w:iCs/>
          <w:color w:val="1E3A5F"/>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coordination threshold:  </w:t>
      </w:r>
      <w:r>
        <w:rPr>
          <w:rFonts w:cs="Times New Roman"/>
          <w:color w:val="111827"/>
        </w:rPr>
        <w:t xml:space="preserve">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w:t>
      </w:r>
      <w:r>
        <w:rPr>
          <w:rFonts w:cs="Times New Roman"/>
          <w:color w:val="111827"/>
        </w:rPr>
        <w:lastRenderedPageBreak/>
        <w:t>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As the scale of coordination increases, the problems change in kind, not just degree. Coordinating fifty people requires different mechanisms than coordinating five thousand. 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 xml:space="preserve">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w:t>
      </w:r>
      <w:r>
        <w:rPr>
          <w:rFonts w:cs="Times New Roman"/>
          <w:color w:val="111827"/>
        </w:rPr>
        <w:lastRenderedPageBreak/>
        <w:t>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 xml:space="preserve">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w:t>
      </w:r>
      <w:r>
        <w:rPr>
          <w:rFonts w:cs="Times New Roman"/>
        </w:rPr>
        <w:lastRenderedPageBreak/>
        <w:t>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remains possible when adaptive response capacity is preserved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 xml:space="preserve">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w:t>
      </w:r>
      <w:r>
        <w:rPr>
          <w:rFonts w:cs="Times New Roman"/>
          <w:color w:val="111827"/>
        </w:rPr>
        <w:lastRenderedPageBreak/>
        <w:t>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 xml:space="preserve">Section 3.8 analyzed cognitive constraints — the features of human cognition that limit what institutional forms are viable and how political communication must be designed </w:t>
      </w:r>
      <w:r>
        <w:rPr>
          <w:rFonts w:cs="Times New Roman"/>
        </w:rPr>
        <w:lastRenderedPageBreak/>
        <w:t>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Fear is the most consistently powerful affective mobilizer in political history, and its political structure is specific. Fear requires an identifiable threat, an identifiable source, and a credible claim that the correct political response can reduce the threat. When all three 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 xml:space="preserve">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w:t>
      </w:r>
      <w:r>
        <w:rPr>
          <w:rFonts w:cs="Times New Roman"/>
        </w:rPr>
        <w:lastRenderedPageBreak/>
        <w:t>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w:t>
      </w:r>
      <w:r>
        <w:rPr>
          <w:rFonts w:cs="Times New Roman"/>
        </w:rPr>
        <w:lastRenderedPageBreak/>
        <w:t>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w:t>
      </w:r>
      <w:r>
        <w:rPr>
          <w:rFonts w:cs="Times New Roman"/>
          <w:color w:val="111827"/>
        </w:rPr>
        <w:lastRenderedPageBreak/>
        <w:t>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w:t>
      </w:r>
      <w:r>
        <w:rPr>
          <w:rFonts w:cs="Times New Roman"/>
        </w:rPr>
        <w:lastRenderedPageBreak/>
        <w:t>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lastRenderedPageBreak/>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w:t>
      </w:r>
      <w:r>
        <w:rPr>
          <w:rFonts w:cs="Times New Roman"/>
        </w:rPr>
        <w:lastRenderedPageBreak/>
        <w:t>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remains possible when adaptive response capacity is preserved.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lastRenderedPageBreak/>
        <w:t>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 xml:space="preserve">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w:t>
      </w:r>
      <w:r>
        <w:rPr>
          <w:rFonts w:cs="Times New Roman"/>
        </w:rPr>
        <w:lastRenderedPageBreak/>
        <w:t>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w:t>
      </w:r>
      <w:r>
        <w:rPr>
          <w:rFonts w:cs="Times New Roman"/>
        </w:rPr>
        <w:lastRenderedPageBreak/>
        <w:t>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w:t>
      </w:r>
      <w:r>
        <w:rPr>
          <w:rFonts w:cs="Times New Roman"/>
          <w:i/>
          <w:iCs/>
          <w:color w:val="333333"/>
          <w:sz w:val="22"/>
          <w:szCs w:val="22"/>
        </w:rPr>
        <w:lastRenderedPageBreak/>
        <w:t>conditions — and the planetary boundary framework gives it its most precise formulation: the institutional form that systematically externalizes ecological costs is not merely inefficient or unjust. It is structurally 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cases below are not exhaustive or representative — they are illustrative of specific links in the causal chain from biological constraint to institutional outcome. </w:t>
      </w:r>
      <w:r>
        <w:rPr>
          <w:rFonts w:cs="Times New Roman"/>
          <w:color w:val="111827"/>
        </w:rPr>
        <w:lastRenderedPageBreak/>
        <w:t>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w:t>
      </w:r>
      <w:r>
        <w:rPr>
          <w:rFonts w:cs="Times New Roman"/>
          <w:color w:val="111827"/>
        </w:rPr>
        <w:lastRenderedPageBreak/>
        <w:t>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analytical implication: when assessing any arrangement where individual behavior diverges from collectively optimal outcomes, the relevant question is not only what incentive mechanism would align individual and collective rationality, but what 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t xml:space="preserve">Marx refused to ground his critique of capitalism in moral philosophy — famously declining to specify what justice required, insisting instead that the analysis of capital would show that the system contradicted its own conditions of reproduction. This was </w:t>
      </w:r>
      <w:r>
        <w:rPr>
          <w:rFonts w:cs="Times New Roman"/>
        </w:rPr>
        <w:lastRenderedPageBreak/>
        <w:t>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lastRenderedPageBreak/>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acceptable cost. The becoming framework adds the anti-foreclosure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anti-foreclosure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w:t>
      </w:r>
      <w:r>
        <w:rPr>
          <w:rFonts w:cs="Times New Roman"/>
          <w:color w:val="111827"/>
        </w:rPr>
        <w:lastRenderedPageBreak/>
        <w:t>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adaptive response capacity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 xml:space="preserve">s analysis of meaning infrastructure in Part V: the framework of meaning through which </w:t>
      </w:r>
      <w:r>
        <w:rPr>
          <w:rFonts w:cs="Times New Roman"/>
          <w:color w:val="111827"/>
        </w:rPr>
        <w:lastRenderedPageBreak/>
        <w:t>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41C2FE64" w14:textId="77777777"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the consequences honestly, including the consequences that are inconvenient for the conclusion you started with.</w:t>
      </w:r>
    </w:p>
    <w:p w14:paraId="2EB32769" w14:textId="77777777" w:rsidR="00197421" w:rsidRPr="006048FC" w:rsidRDefault="00000000">
      <w:pPr>
        <w:spacing w:after="220" w:line="280" w:lineRule="exact"/>
        <w:jc w:val="both"/>
        <w:rPr>
          <w:rFonts w:cs="Times New Roman"/>
          <w:sz w:val="28"/>
          <w:szCs w:val="28"/>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 xml:space="preserve">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w:t>
      </w:r>
      <w:r>
        <w:rPr>
          <w:rFonts w:cs="Times New Roman"/>
          <w:color w:val="111827"/>
        </w:rPr>
        <w:lastRenderedPageBreak/>
        <w:t>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The insistence that better and worse arrangements can be distinguished, that the distinction is not merely subjective, and that working toward better arrangements is a legitimate 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Progress in this sense has happened. The abolition of formal slavery across most of the world is a real change in structural conditions — not completed, not uniform, not without regressions, but real. The reduction of child mortality through vaccination and 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Pr="006048FC" w:rsidRDefault="00000000">
      <w:pPr>
        <w:spacing w:after="220" w:line="280" w:lineRule="exact"/>
        <w:jc w:val="both"/>
        <w:rPr>
          <w:rFonts w:cs="Times New Roman"/>
          <w:sz w:val="28"/>
          <w:szCs w:val="28"/>
        </w:rPr>
      </w:pPr>
      <w:r>
        <w:rPr>
          <w:rFonts w:cs="Times New Roman"/>
        </w:rPr>
        <w:t>But each of these changes also illustrates the reversibility that the framework insists upon. Formal abolition of slavery coexisted with systems of debt bondage, prison la</w:t>
      </w:r>
      <w:r>
        <w:rPr>
          <w:rFonts w:cs="Times New Roman"/>
        </w:rPr>
        <w:lastRenderedPageBreak/>
        <w:t>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w:t>
      </w:r>
      <w:r>
        <w:rPr>
          <w:rFonts w:cs="Times New Roman"/>
        </w:rPr>
        <w:lastRenderedPageBreak/>
        <w:t>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 xml:space="preserve">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w:t>
      </w:r>
      <w:r>
        <w:rPr>
          <w:rFonts w:cs="Times New Roman"/>
        </w:rPr>
        <w:lastRenderedPageBreak/>
        <w:t>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adaptive response capacity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adaptive response capac</w:t>
      </w:r>
      <w:r>
        <w:rPr>
          <w:rFonts w:cs="Times New Roman"/>
        </w:rPr>
        <w:lastRenderedPageBreak/>
        <w:t>ity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 xml:space="preserve">The materialist tradition recognized that political actors are not transparent to themselves or to others — that stated motivations and actual material interests diverge in </w:t>
      </w:r>
      <w:r>
        <w:rPr>
          <w:rFonts w:cs="Times New Roman"/>
        </w:rPr>
        <w:lastRenderedPageBreak/>
        <w:t>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w:t>
      </w:r>
      <w:r>
        <w:rPr>
          <w:rFonts w:cs="Times New Roman"/>
        </w:rPr>
        <w:lastRenderedPageBreak/>
        <w:t>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t xml:space="preserve">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anti-foreclosure outcomes.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adaptive response capacity for all people is achievable, while maintaining explicit revision mechanisms and without sacrificing present floor conditions, is using a horizon instrumentally rather than claiming it cosmologically. This form is not rejected by PMN and is in fact required for any </w:t>
      </w:r>
      <w:r>
        <w:rPr>
          <w:rFonts w:cs="Times New Roman"/>
        </w:rPr>
        <w:lastRenderedPageBreak/>
        <w:t>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Diagnostic for strong vs as-if teleology: (1) Self-sealing test — is failure explained as “not yet time” or “strategy needs revision”? The first is strong teleology operating; the second is as-if teleology with intact revision mechanisms. (2) Sacrifice test — is present floor suffering being justified by reference to guaranteed future anti-foreclosure?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lastRenderedPageBreak/>
        <w:t>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Both failure modes are avoided through the distinction between floor and anti-foreclosure criterion. The minimal anchor is necessary but not sufficient. An arrangement that achieves the floor and stops there has prevented the worst outcome but has not created the conditions for adaptive response capacity.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adaptive response capacity,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lastRenderedPageBreak/>
        <w:t>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the destination. Nor is the floor self-sustaining: adaptive response capacity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adaptive response capacity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adaptive response capacity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adaptive response capacity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preserved adaptive response capacity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The structural conditions for becoming are not only material in the sense of resources, institutions, and freedom from deprivation. They include a dimension that the materialist 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 xml:space="preserve">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w:t>
      </w:r>
      <w:r>
        <w:rPr>
          <w:rFonts w:cs="Times New Roman"/>
        </w:rPr>
        <w:lastRenderedPageBreak/>
        <w:t>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adaptive response capacity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 xml:space="preserve">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t>
      </w:r>
      <w:r>
        <w:rPr>
          <w:rFonts w:cs="Times New Roman"/>
        </w:rPr>
        <w:lastRenderedPageBreak/>
        <w:t>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The anarchist misreading also has a Nietzschean variant: the claim that the framework's agent ecology, with its distributed coordination and functional differentiation, 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2A45B001"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How Becoming Emerges: The Sentient-Material Response Loop</w:t>
      </w:r>
    </w:p>
    <w:p w14:paraId="2A45B002" w14:textId="77777777" w:rsidR="00197421" w:rsidRPr="006048FC" w:rsidRDefault="00000000">
      <w:pPr>
        <w:spacing w:after="220" w:line="280" w:lineRule="exact"/>
        <w:jc w:val="both"/>
        <w:rPr>
          <w:rFonts w:cs="Times New Roman"/>
          <w:sz w:val="28"/>
          <w:szCs w:val="28"/>
        </w:rPr>
      </w:pPr>
      <w:r>
        <w:rPr>
          <w:rFonts w:cs="Times New Roman"/>
          <w:color w:val="111827"/>
        </w:rPr>
        <w:t>Becoming is not a teleological destination. It is the observable pattern that emerges when sentient systems respond repeatedly to material constraints. Suffering — or more precisely, the conditions that produce it: deprivation, damage, vulnerability, dependency, limitation — triggers responses. Responses reduce some suffering while generating new configurations of constraint. Successful response patterns get encoded: in habit, in institutional procedure, in cultural knowledge, in built infrastructure. Encoded patterns reduce the cost of future responses to similar constraints. They also create new vulnerabilities and new dependencies. The loop does not terminate at a destination. It continues as long as sentient systems exist in material conditions that produce constraint.</w:t>
      </w:r>
    </w:p>
    <w:p w14:paraId="2A45B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food example illustrates the structure without romanticizing it. Hunger produces suffering. Suffering triggers response: foraging, hunting, agriculture, food preservation, trade networks, cuisine, industrial production. Each development reduces some suffering while producing new configurations: agricultural communities face drought </w:t>
      </w:r>
      <w:r>
        <w:rPr>
          <w:rFonts w:cs="Times New Roman"/>
          <w:color w:val="111827"/>
        </w:rPr>
        <w:lastRenderedPageBreak/>
        <w:t>vulnerability that foragers do not; industrial food systems produce obesity and food deserts that subsistence communities do not. None of this is automatically good. The loop does not have a moral direction built into it. What it has is a causal structure: sentient systems embedded in material conditions develop response patterns that expand their repertoire, and that expanded repertoire is what, from the outside, looks like becoming. The same structure applies to learning, relational development, political organization, technological development, and the accumulation of institutional knowledge. None of these is automatically good. All of them emerge from the same sentient-material response dynamics.</w:t>
      </w:r>
    </w:p>
    <w:p w14:paraId="2A45B004" w14:textId="77777777" w:rsidR="00197421" w:rsidRPr="006048FC" w:rsidRDefault="00000000">
      <w:pPr>
        <w:spacing w:after="220" w:line="280" w:lineRule="exact"/>
        <w:jc w:val="both"/>
        <w:rPr>
          <w:rFonts w:cs="Times New Roman"/>
          <w:sz w:val="28"/>
          <w:szCs w:val="28"/>
        </w:rPr>
      </w:pPr>
      <w:r>
        <w:rPr>
          <w:rFonts w:cs="Times New Roman"/>
          <w:color w:val="111827"/>
        </w:rPr>
        <w:t>The loop model has a consequence that earlier formulations did not adequately acknowledge: becoming can produce suffering. Expanded cognitive capacity generates the capacity to suffer from abstract causes — injustice, finitude, meaninglessness — that simpler organisms do not experience. Deeper relational attachment generates the capacity for grief, betrayal, and loss at depths not available to beings with shallower relational lives. Greater social complexity generates new forms of structural suffering: exclusion from complex institutions, inequality indexed to institutional position, status-based harm that has no equivalent in simpler arrangements. Becoming produces suffering as a structural feature of the loop, not as an anomaly within it. This means becoming cannot be straightforwardly positioned as a moral ceiling opposite to suffering as floor — because the two are not on separate axes. They are co-constitutive features of the same causal loop.</w:t>
      </w:r>
    </w:p>
    <w:p w14:paraId="2A45B005"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Evaluative Criterion Remains Suffering: Why Becoming Matters</w:t>
      </w:r>
    </w:p>
    <w:p w14:paraId="2A45B006" w14:textId="77777777" w:rsidR="00197421" w:rsidRPr="006048FC" w:rsidRDefault="00000000">
      <w:pPr>
        <w:spacing w:after="220" w:line="280" w:lineRule="exact"/>
        <w:jc w:val="both"/>
        <w:rPr>
          <w:rFonts w:cs="Times New Roman"/>
          <w:sz w:val="28"/>
          <w:szCs w:val="28"/>
        </w:rPr>
      </w:pPr>
      <w:r>
        <w:rPr>
          <w:rFonts w:cs="Times New Roman"/>
          <w:color w:val="111827"/>
        </w:rPr>
        <w:t>The loop model is a descriptive account. The evaluative question is separate: what makes one arrangement better than another? The answer remains what 3.3 established: structural suffering produces systemic instability, and arrangements that generate less unnecessary suffering are therefore better — not because suffering is intrinsically bad as a first principle, but because its material consequences for cooperative systems are traceable and documentable. Becoming enters the evaluative framework not as an independent good but through a specific causal claim: foreclosing the response capacity of sentient systems is a way of producing unnecessary suffering that operates on a longer timescale. An arrangement that forecloses adaptive response capacity does not produce immediate floor-level deprivation. It produces something structurally equivalent: it reduces the probability that future suffering can be addressed, and it imposes that reduction on populations that did not choose it. This is structural suffering imposed in the temporal dimension. It falls under the same evaluative criterion as floor-level suffering — not because becoming is a separate good but because foreclosing it is a form of the same bad.</w:t>
      </w:r>
    </w:p>
    <w:p w14:paraId="2A45B0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reformulation has a consequence for the framework’s architecture. Earlier versions described becoming as the “anti-foreclosure criterion” — the positive aspiration that complements the floor criterion’s negative constraint. That description is misleading if it suggests becoming is an independent evaluative criterion with moral force of its own. The more accurate description: becoming is what the floor criterion requires when its causal implications are traced temporally. Reducing unnecessary suffering is not only a cross-sectional task — it extends forward in time, because arrangements </w:t>
      </w:r>
      <w:r>
        <w:rPr>
          <w:rFonts w:cs="Times New Roman"/>
          <w:color w:val="111827"/>
        </w:rPr>
        <w:lastRenderedPageBreak/>
        <w:t>that foreclose response capacity guarantee future populations will be less able to address the suffering their conditions produce. The floor criterion, rigorously applied across time, generates the commitment to anti-foreclosure. Becoming is the name for the property being protected by that commitment — not the reason the commitment has moral force. Where this document uses “becoming” as shorthand for the evaluative criterion above the floor, that shorthand should be read as: “the anti-foreclosure criterion — the floor criterion applied temporally.”</w:t>
      </w:r>
    </w:p>
    <w:p w14:paraId="2A45B008"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Against Becoming for Its Own Sake</w:t>
      </w:r>
    </w:p>
    <w:p w14:paraId="2A45B009" w14:textId="77777777" w:rsidR="00197421" w:rsidRPr="006048FC" w:rsidRDefault="00000000">
      <w:pPr>
        <w:spacing w:after="220" w:line="280" w:lineRule="exact"/>
        <w:jc w:val="both"/>
        <w:rPr>
          <w:rFonts w:cs="Times New Roman"/>
          <w:sz w:val="28"/>
          <w:szCs w:val="28"/>
        </w:rPr>
      </w:pPr>
      <w:r>
        <w:rPr>
          <w:rFonts w:cs="Times New Roman"/>
          <w:color w:val="111827"/>
        </w:rPr>
        <w:t>The loop model makes explicit a rejection that was implicit in earlier formulations but not sufficiently stated: becoming for its own sake is not a PMN value. Expansion of cognitive capacity, relational depth, social complexity, institutional sophistication, or technological capability is not automatically good. The historical record of development pursued as its own justification — industrial development that produces immiseration, technological capability that produces mass destruction, social complexity that produces new forms of exclusion — is not a series of anomalies within an otherwise progressive trajectory. It is the expected output of a loop in which response patterns expand without evaluation against the suffering criterion. Becoming that increases the total quantum of unnecessary suffering — even while expanding capacity — is not better than the alternatives it displaced. The evaluative question is always: does this development reduce unnecessary suffering, including the suffering it will generate by foreclosing future populations’ response capacity? If the answer is no, the development is not recommended by this framework regardless of how much capacity it expands.</w:t>
      </w:r>
    </w:p>
    <w:p w14:paraId="2A45B010"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Functional and Disfunctional Suffering: Regrounded</w:t>
      </w:r>
    </w:p>
    <w:p w14:paraId="2A45B011" w14:textId="77777777" w:rsidR="00197421" w:rsidRPr="006048FC" w:rsidRDefault="00000000">
      <w:pPr>
        <w:spacing w:after="220" w:line="280" w:lineRule="exact"/>
        <w:jc w:val="both"/>
        <w:rPr>
          <w:rFonts w:cs="Times New Roman"/>
          <w:sz w:val="28"/>
          <w:szCs w:val="28"/>
        </w:rPr>
      </w:pPr>
      <w:r>
        <w:rPr>
          <w:rFonts w:cs="Times New Roman"/>
          <w:color w:val="111827"/>
        </w:rPr>
        <w:t>Section 3.4b distinguishes functional from disfunctional suffering. The distinction is real and important, but its grounds require clarification under the loop model. Earlier versions risked grounding it in becoming: disfunctional suffering was defined as suffering that serves no developmental purpose, making becoming the criterion for evaluating suffering. That has the wrong causal direction. The correct grounding runs through suffering itself, traced forward. Disfunctional suffering is suffering that is (1) unnecessary — institutional alternatives exist that would not produce it; and (2) produces further suffering without producing the response capacity that would enable that further suffering to be addressed. The discomfort of learning is functional not because it serves becoming as an independent good, but because it is part of a response pattern that reduces the probability of the suffering that motivated the learning. The suffering of chronic blocked development is disfunctional not because it fails to contribute to becoming, but because it is unnecessary and produces further suffering without generating any increase in response capacity. The becoming criterion is not doing the evaluative work. The suffering criterion, traced through its causal implications, is.</w:t>
      </w:r>
    </w:p>
    <w:p w14:paraId="2A45B012"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Distributional Requirement</w:t>
      </w:r>
    </w:p>
    <w:p w14:paraId="2A45B01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distributional requirement that follows from the anti-aggregation commitment (3.4c) applies to the anti-foreclosure criterion as it does to the floor criterion, for the same reasons. An arrangement that expands adaptive response capacity for a majority while foreclosing it for a minority produces unnecessary suffering in the foreclosed minority — not a anti-foreclosure failure, a floor failure in the temporal dimension. </w:t>
      </w:r>
      <w:r>
        <w:rPr>
          <w:rFonts w:cs="Times New Roman"/>
          <w:color w:val="111827"/>
        </w:rPr>
        <w:lastRenderedPageBreak/>
        <w:t>Colonialism is not a difficult trade-off between floor and anti-foreclosure criterion values. It is a floor violation across time: the destruction of institutional capacity, knowledge systems, ecological relationships, and governance structures in colonized populations imposes structural suffering on future generations who would otherwise have had the response capacity to address their own conditions. No separate normative premise about the value of becoming is required to evaluate this as a failure. The floor criterion, applied temporally and distributionally, does the work.</w:t>
      </w:r>
    </w:p>
    <w:p w14:paraId="2A45B014"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analysis and the capabilities tradition (Sen, Nussbaum) is worth specifying. The capabilities approach identifies central human capabilities whose combined achievement constitutes a life of human dignity. PMN’s anti-foreclosure criterion, as reformulated here, is not a capabilities list and does not require one. It requires only: (1) that adaptive response capacity — the capacity of sentient systems to develop new responses to their material constraints — not be foreclosed by institutional design; and (2) that the evaluation of any specific development (of any specific capability, skill, institution, or practice) run through the suffering criterion rather than through a prior commitment to the value of development as such. This makes PMN’s evaluative criterion more minimal than the capabilities approach — it does not specify which capabilities matter — but more structurally demanding: it prohibits not just the absence of central capabilities but any arrangement that systematically forecloses the development of response capacity across populations and time.</w:t>
      </w:r>
    </w:p>
    <w:p w14:paraId="2A45B015" w14:textId="77777777" w:rsidR="00197421" w:rsidRPr="006048FC" w:rsidRDefault="00000000">
      <w:pPr>
        <w:spacing w:after="220" w:line="280" w:lineRule="exact"/>
        <w:jc w:val="both"/>
        <w:rPr>
          <w:rFonts w:cs="Times New Roman"/>
          <w:sz w:val="28"/>
          <w:szCs w:val="28"/>
        </w:rPr>
      </w:pPr>
      <w:r>
        <w:rPr>
          <w:rFonts w:cs="Times New Roman"/>
          <w:color w:val="374151"/>
          <w:sz w:val="26"/>
          <w:szCs w:val="26"/>
        </w:rPr>
        <w:t>[Terminological note: Throughout this document, ‘becoming’ functions as shorthand for the anti-foreclosure criterion developed in this section: the floor criterion applied temporally. Where earlier sections or diagnostic callouts use ‘becoming’ as if it were an independent positive aspiration, that language should be read as shorthand for anti-foreclosure. The substantive claim is always: arrangements that foreclose adaptive response capacity produce structural suffering in the temporal dimension. No claim about the intrinsic value of development, progress, or capability expansion is implied.]</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adaptive response capacity.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 xml:space="preserve">What the framework can specify without overstepping is the structural conditions under which adaptive response capacity — whatever form its development takes for a given individual or community — is not foreclosed. This is the procedural account: </w:t>
      </w:r>
      <w:r>
        <w:rPr>
          <w:rFonts w:cs="Times New Roman"/>
        </w:rPr>
        <w:lastRenderedPageBreak/>
        <w:t>rather than identifying what genuine development consists in, it identifies what arrangements must be present for adaptive response capacity to remain open. The procedural account is not neutral in the thin sense of making no evaluative commitments; it is substantive in its identification of the structural conditions that count as enabling rather than obstructing development. But its substantive commitments are at the level 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preserved adaptive response capacity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Relationship to liberalism: the procedural account shares liberalism’s commitment to not specifying the content of the good life, but it differs in two ways that matter for the </w:t>
      </w:r>
      <w:r>
        <w:rPr>
          <w:rFonts w:cs="Times New Roman"/>
          <w:i/>
          <w:iCs/>
          <w:color w:val="1E3A5F"/>
          <w:sz w:val="22"/>
          <w:szCs w:val="22"/>
        </w:rPr>
        <w:lastRenderedPageBreak/>
        <w:t>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Section 4.5b establishes that preserving adaptive response capacity requires cognitive surplus, cooperative surplus, and institutional trust — these are the conditions whose foreclosure constitutes temporal floor violations. These are the conditions under which response capacity remains open to already-known threats and conditions already experienced. This section addresses a structural gap: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anti-foreclosure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 xml:space="preserve">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w:t>
      </w:r>
      <w:r>
        <w:rPr>
          <w:rFonts w:cs="Times New Roman"/>
        </w:rPr>
        <w:lastRenderedPageBreak/>
        <w:t>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account of why suffering has meaning, what obligation connects individuals to each other across generations, and what the </w:t>
      </w:r>
      <w:r>
        <w:rPr>
          <w:rFonts w:cs="Times New Roman"/>
        </w:rPr>
        <w:lastRenderedPageBreak/>
        <w:t>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w:t>
      </w:r>
      <w:r>
        <w:rPr>
          <w:rFonts w:cs="Times New Roman"/>
          <w:color w:val="111827"/>
        </w:rPr>
        <w:lastRenderedPageBreak/>
        <w:t>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preserved adaptive response capacity.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w:t>
      </w:r>
      <w:r>
        <w:rPr>
          <w:rFonts w:cs="Times New Roman"/>
        </w:rPr>
        <w:lastRenderedPageBreak/>
        <w:t>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w:t>
      </w:r>
      <w:r>
        <w:rPr>
          <w:rFonts w:cs="Times New Roman"/>
          <w:color w:val="111827"/>
        </w:rPr>
        <w:lastRenderedPageBreak/>
        <w:t>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 xml:space="preserve">The interface level — what appears when consciousness meets whatever is there to meet — is the level at which </w:t>
      </w:r>
      <w:r>
        <w:rPr>
          <w:rFonts w:cs="Times New Roman"/>
          <w:color w:val="111827"/>
        </w:rPr>
        <w:lastRenderedPageBreak/>
        <w:t>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 xml:space="preserve">The concept of emergence is not exotic. It appears wherever complex systems generate properties at higher levels of organization that are not present in the components of </w:t>
      </w:r>
      <w:r>
        <w:rPr>
          <w:rFonts w:cs="Times New Roman"/>
        </w:rPr>
        <w:lastRenderedPageBreak/>
        <w:t>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w:t>
      </w:r>
      <w:r>
        <w:rPr>
          <w:rFonts w:cs="Times New Roman"/>
          <w:color w:val="111827"/>
        </w:rPr>
        <w:lastRenderedPageBreak/>
        <w:t>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The operationalization question: "interface intensity" can be approximated through behavioral and survey proxies that do not require settling the source-level question. Relevant components include: ritual participation frequency; doctrinal centrality (self-reported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 xml:space="preserve">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w:t>
      </w:r>
      <w:r>
        <w:rPr>
          <w:rFonts w:cs="Times New Roman"/>
          <w:color w:val="111827"/>
        </w:rPr>
        <w:lastRenderedPageBreak/>
        <w:t>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preserved adaptive response capacity.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 xml:space="preserve">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w:t>
      </w:r>
      <w:r>
        <w:rPr>
          <w:rFonts w:cs="Times New Roman"/>
          <w:color w:val="111827"/>
        </w:rPr>
        <w:lastRenderedPageBreak/>
        <w:t>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 xml:space="preserve">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w:t>
      </w:r>
      <w:r>
        <w:rPr>
          <w:rFonts w:cs="Times New Roman"/>
        </w:rPr>
        <w:lastRenderedPageBreak/>
        <w:t>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handles individual engagement with religious or metaphysical commitments by bracketing the source level and analyzing interface consequences. A 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preserved adaptive response capacity,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w:t>
      </w:r>
      <w:r>
        <w:rPr>
          <w:rFonts w:cs="Times New Roman"/>
          <w:color w:val="111827"/>
        </w:rPr>
        <w:lastRenderedPageBreak/>
        <w:t>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Adjudication diagnostic for competing interface claims: (1) What material consequences does each claim produce for the populations it directly affects and for third 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 xml:space="preserve">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w:t>
      </w:r>
      <w:r>
        <w:rPr>
          <w:rFonts w:cs="Times New Roman"/>
        </w:rPr>
        <w:lastRenderedPageBreak/>
        <w:t>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Second, the relationship between a tradition's metaphysical content and its political expression is not fixed. The Gutiérrez case is paradigmatic precisely because it demonstrates 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 xml:space="preserve">What eschatology does that ordinary meaning systems do not is answer the questions that remain open after structural analysis has done everything it can: whether the suffering of those who died before justice arrived matters; whether sacrifice that produces </w:t>
      </w:r>
      <w:r>
        <w:rPr>
          <w:rFonts w:cs="Times New Roman"/>
        </w:rPr>
        <w:lastRenderedPageBreak/>
        <w:t>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lastRenderedPageBreak/>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 xml:space="preserve">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w:t>
      </w:r>
      <w:r>
        <w:rPr>
          <w:rFonts w:cs="Times New Roman"/>
        </w:rPr>
        <w:lastRenderedPageBreak/>
        <w:t>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w:t>
      </w:r>
      <w:r>
        <w:rPr>
          <w:rFonts w:cs="Times New Roman"/>
          <w:i/>
          <w:iCs/>
          <w:color w:val="7B3F3F"/>
          <w:sz w:val="22"/>
          <w:szCs w:val="22"/>
        </w:rPr>
        <w:lastRenderedPageBreak/>
        <w:t>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 xml:space="preserve">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w:t>
      </w:r>
      <w:r>
        <w:rPr>
          <w:rFonts w:cs="Times New Roman"/>
        </w:rPr>
        <w:lastRenderedPageBreak/>
        <w:t>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w:t>
      </w:r>
      <w:r>
        <w:rPr>
          <w:rFonts w:cs="Times New Roman"/>
          <w:color w:val="111827"/>
        </w:rPr>
        <w:lastRenderedPageBreak/>
        <w:t>had obscured. The fence-jumper, by contrast, 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t>Meaning infrastructure — the systems of shared narrative, ritual, community, and interpretive framework through which populations make sense of suffering, organize ob</w:t>
      </w:r>
      <w:r>
        <w:rPr>
          <w:rFonts w:cs="Times New Roman"/>
        </w:rPr>
        <w:lastRenderedPageBreak/>
        <w:t>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adaptive response capacity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analytical seriousness brought to their material infrastructure of resources, institutions, and power. A framework that ignores meaning infrastructure while claiming to analyze the conditions for preserved adaptive response capacity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lastRenderedPageBreak/>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 xml:space="preserve">Section 5.6 establishes meaning infrastructure as a material condition and section 5.6b develops the diagnostic questions for identifying whether it is present, degraded, or collapsing. This section addresses a prior operational question: how does an analyst </w:t>
      </w:r>
      <w:r>
        <w:rPr>
          <w:rFonts w:cs="Times New Roman"/>
        </w:rPr>
        <w:lastRenderedPageBreak/>
        <w:t>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t xml:space="preserve">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w:t>
      </w:r>
      <w:r>
        <w:rPr>
          <w:rFonts w:cs="Times New Roman"/>
        </w:rPr>
        <w:lastRenderedPageBreak/>
        <w:t>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A bridge narrative is a temporary interpretive frame designed to reduce acute disorientation without displacing longer-term meaning reconstruction. Bridge narratives must meet three conditions: accurate about current conditions (bridge narratives 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w:t>
      </w:r>
      <w:r>
        <w:rPr>
          <w:rFonts w:cs="Times New Roman"/>
          <w:i/>
          <w:iCs/>
          <w:color w:val="333333"/>
          <w:sz w:val="22"/>
          <w:szCs w:val="22"/>
        </w:rPr>
        <w:lastRenderedPageBreak/>
        <w:t>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w:t>
      </w:r>
      <w:r>
        <w:rPr>
          <w:rFonts w:cs="Times New Roman"/>
          <w:color w:val="111827"/>
        </w:rPr>
        <w:lastRenderedPageBreak/>
        <w:t>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w:t>
      </w:r>
      <w:r>
        <w:rPr>
          <w:rFonts w:cs="Times New Roman"/>
          <w:color w:val="111827"/>
        </w:rPr>
        <w:lastRenderedPageBreak/>
        <w:t>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w:t>
      </w:r>
      <w:r>
        <w:rPr>
          <w:rFonts w:cs="Times New Roman"/>
          <w:color w:val="111827"/>
        </w:rPr>
        <w:lastRenderedPageBreak/>
        <w:t>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Solidarity — the principle that human beings are genuinely interdependent and that this interdependence generates moral obligations across social, national, and generational 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 xml:space="preserve">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w:t>
      </w:r>
      <w:r>
        <w:rPr>
          <w:rFonts w:cs="Times New Roman"/>
          <w:color w:val="111827"/>
        </w:rPr>
        <w:lastRenderedPageBreak/>
        <w:t>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 xml:space="preserve">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w:t>
      </w:r>
      <w:r>
        <w:rPr>
          <w:rFonts w:cs="Times New Roman"/>
        </w:rPr>
        <w:lastRenderedPageBreak/>
        <w:t>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lastRenderedPageBreak/>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t xml:space="preserve">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w:t>
      </w:r>
      <w:r>
        <w:rPr>
          <w:rFonts w:cs="Times New Roman"/>
        </w:rPr>
        <w:lastRenderedPageBreak/>
        <w:t>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 xml:space="preserve">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w:t>
      </w:r>
      <w:r>
        <w:rPr>
          <w:rFonts w:cs="Times New Roman"/>
        </w:rPr>
        <w:lastRenderedPageBreak/>
        <w:t>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w:t>
      </w:r>
      <w:r>
        <w:rPr>
          <w:rFonts w:cs="Times New Roman"/>
        </w:rPr>
        <w:lastRenderedPageBreak/>
        <w:t>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w:t>
      </w:r>
      <w:r>
        <w:rPr>
          <w:rFonts w:cs="Times New Roman"/>
          <w:color w:val="111827"/>
        </w:rPr>
        <w:lastRenderedPageBreak/>
        <w:t>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The core observation is that every stable system of power produces a class of actors — an elite in the structural sense of those who occupy the positions from which the most consequential decisions are made — and that this class reproduces itself through mechanisms 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lastRenderedPageBreak/>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1E3A5F"/>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power actually is in this framework:  </w:t>
      </w:r>
      <w:r>
        <w:rPr>
          <w:rFonts w:cs="Times New Roman"/>
          <w:color w:val="111827"/>
        </w:rPr>
        <w:t xml:space="preserve">Power is the differential capacity to shape outcomes — to determine what happens, to define what counts as legitimate, to set the terms within which others operate. This definition is intentionally </w:t>
      </w:r>
      <w:r>
        <w:rPr>
          <w:rFonts w:cs="Times New Roman"/>
          <w:color w:val="111827"/>
        </w:rPr>
        <w:lastRenderedPageBreak/>
        <w:t>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remains possible when adaptive response capacity is preserved,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w:t>
      </w:r>
      <w:r>
        <w:rPr>
          <w:rFonts w:cs="Times New Roman"/>
          <w:i/>
          <w:iCs/>
          <w:color w:val="333333"/>
          <w:sz w:val="22"/>
          <w:szCs w:val="22"/>
        </w:rPr>
        <w:lastRenderedPageBreak/>
        <w:t>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There is a further implication that runs against common assumptions about coalition building. If power is structural rather than personal, then acquiring political allies </w:t>
      </w:r>
      <w:r>
        <w:rPr>
          <w:rFonts w:cs="Times New Roman"/>
          <w:color w:val="111827"/>
        </w:rPr>
        <w:lastRenderedPageBreak/>
        <w:t>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The starting point for analysis is not a baseline of equal power that has been distorted, but a recognition that power asymmetry is the 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 xml:space="preserve">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w:t>
      </w:r>
      <w:r>
        <w:rPr>
          <w:rFonts w:cs="Times New Roman"/>
          <w:color w:val="111827"/>
        </w:rPr>
        <w:lastRenderedPageBreak/>
        <w:t>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The three dynamics — asymmetry, capture, and information — interact as a mutually reinforcing system. Structural power asymmetry provides the resources to invest in capture. 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 xml:space="preserve">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w:t>
      </w:r>
      <w:r>
        <w:rPr>
          <w:rFonts w:cs="Times New Roman"/>
          <w:color w:val="111827"/>
        </w:rPr>
        <w:lastRenderedPageBreak/>
        <w:t>—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 xml:space="preserve">Institutions develop self-preservation mechanisms that operate largely independently of their ostensible purpose. No conspiracy is required. Institutions are operated by </w:t>
      </w:r>
      <w:r>
        <w:rPr>
          <w:rFonts w:cs="Times New Roman"/>
        </w:rPr>
        <w:lastRenderedPageBreak/>
        <w:t>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The third mechanism is information asymmetry. Institutions control what information is produced about their activities, how it is framed, and who has access to it. The asymmetry 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w:t>
      </w:r>
      <w:r>
        <w:rPr>
          <w:rFonts w:cs="Times New Roman"/>
          <w:color w:val="111827"/>
        </w:rPr>
        <w:lastRenderedPageBreak/>
        <w:t>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 xml:space="preserve">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w:t>
      </w:r>
      <w:r>
        <w:rPr>
          <w:rFonts w:cs="Times New Roman"/>
          <w:color w:val="111827"/>
        </w:rPr>
        <w:lastRenderedPageBreak/>
        <w:t>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 xml:space="preserve">Legitimacy depletion is not linear. Populations tolerate significant gaps between institutional promise and performance for extended periods, sustained by cultural inertia, by the genuine costs of coordination failure, and by the effective deployment of the </w:t>
      </w:r>
      <w:r>
        <w:rPr>
          <w:rFonts w:cs="Times New Roman"/>
        </w:rPr>
        <w:lastRenderedPageBreak/>
        <w:t>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 xml:space="preserve">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w:t>
      </w:r>
      <w:r>
        <w:rPr>
          <w:rFonts w:cs="Times New Roman"/>
        </w:rPr>
        <w:lastRenderedPageBreak/>
        <w:t>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w:t>
      </w:r>
      <w:r>
        <w:rPr>
          <w:rFonts w:cs="Times New Roman"/>
          <w:color w:val="111827"/>
        </w:rPr>
        <w:lastRenderedPageBreak/>
        <w:t>Systems that lack all 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t xml:space="preserve">Three levels of analysis run simultaneously through what follows, and collapsing them — treating observations at one level as automatically valid at another — is the source </w:t>
      </w:r>
      <w:r>
        <w:rPr>
          <w:rFonts w:cs="Times New Roman"/>
        </w:rPr>
        <w:lastRenderedPageBreak/>
        <w:t>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remains possible when adaptive response capacity is preserved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remains possible when adaptive response capacity is preserved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of individual behavior is produced by structural conditions </w:t>
      </w:r>
      <w:r>
        <w:rPr>
          <w:rFonts w:cs="Times New Roman"/>
          <w:color w:val="111827"/>
        </w:rPr>
        <w:lastRenderedPageBreak/>
        <w:t>—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w:t>
      </w:r>
      <w:r>
        <w:rPr>
          <w:rFonts w:cs="Times New Roman"/>
          <w:color w:val="111827"/>
        </w:rPr>
        <w:lastRenderedPageBreak/>
        <w:t>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w:t>
      </w:r>
      <w:r>
        <w:rPr>
          <w:rFonts w:cs="Times New Roman"/>
        </w:rPr>
        <w:lastRenderedPageBreak/>
        <w:t>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The relationship between scale and the anti-foreclosure criterion requires separate attention. The conditions for preserved adaptive response capacity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that the anti-foreclosure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The conclusion the tradition drew — that the state would eventually wither away as class contradictions were resolved — was not merely historically wrong. It was structurally 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lastRenderedPageBreak/>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7.1b 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The standard treatment of military institutions in political analysis positions them as instruments of state power — the organized monopoly on legitimate force that the executive 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 xml:space="preserve">The military's structural distinctiveness as an institution follows from three features that distinguish it from other state institutions. The first is its monopoly on organized </w:t>
      </w:r>
      <w:r>
        <w:rPr>
          <w:rFonts w:cs="Times New Roman"/>
        </w:rPr>
        <w:lastRenderedPageBreak/>
        <w:t>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 xml:space="preserve">The liberal commitment to institutions as necessary for stable coordination, and to reform as preferable to breakdown when reform remains possible — these are correct. Where liberalism goes wrong is in treating existing institutional </w:t>
      </w:r>
      <w:r>
        <w:rPr>
          <w:rFonts w:cs="Times New Roman"/>
        </w:rPr>
        <w:lastRenderedPageBreak/>
        <w:t>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w:t>
      </w:r>
      <w:r>
        <w:rPr>
          <w:rFonts w:cs="Times New Roman"/>
          <w:i/>
          <w:iCs/>
          <w:color w:val="333333"/>
          <w:sz w:val="22"/>
          <w:szCs w:val="22"/>
        </w:rPr>
        <w:lastRenderedPageBreak/>
        <w:t>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w:t>
      </w:r>
      <w:r>
        <w:rPr>
          <w:rFonts w:cs="Times New Roman"/>
          <w:color w:val="111827"/>
        </w:rPr>
        <w:lastRenderedPageBreak/>
        <w:t>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lastRenderedPageBreak/>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w:t>
      </w:r>
      <w:r>
        <w:rPr>
          <w:rFonts w:cs="Times New Roman"/>
        </w:rPr>
        <w:lastRenderedPageBreak/>
        <w:t>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w:t>
      </w:r>
      <w:r>
        <w:rPr>
          <w:rFonts w:cs="Times New Roman"/>
        </w:rPr>
        <w:lastRenderedPageBreak/>
        <w:t>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The structural vulnerability of the judiciary is symmetrical with this strength. The same insulation from immediate political pressure that makes courts useful for protecting minority interests makes them opaque sites of elite capture that are difficult to detect and 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adaptive response capacity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 xml:space="preserve">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w:t>
      </w:r>
      <w:r>
        <w:rPr>
          <w:rFonts w:cs="Times New Roman"/>
        </w:rPr>
        <w:lastRenderedPageBreak/>
        <w:t>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w:t>
      </w:r>
      <w:r>
        <w:rPr>
          <w:rFonts w:cs="Times New Roman"/>
        </w:rPr>
        <w:lastRenderedPageBreak/>
        <w:t>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Incentive architecture analysis produces a specific diagnostic question that the custodian problem analysis and the capture sequence analysis do not: not whether this institution is being captured from outside, but whether its internal incentive </w:t>
      </w:r>
      <w:r>
        <w:rPr>
          <w:rFonts w:cs="Times New Roman"/>
          <w:i/>
          <w:iCs/>
          <w:color w:val="333333"/>
          <w:sz w:val="22"/>
          <w:szCs w:val="22"/>
        </w:rPr>
        <w:lastRenderedPageBreak/>
        <w:t>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w:t>
      </w:r>
      <w:r>
        <w:rPr>
          <w:rFonts w:cs="Times New Roman"/>
        </w:rPr>
        <w:lastRenderedPageBreak/>
        <w:t>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w:t>
      </w:r>
      <w:r>
        <w:rPr>
          <w:rFonts w:cs="Times New Roman"/>
        </w:rPr>
        <w:lastRenderedPageBreak/>
        <w:t>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lastRenderedPageBreak/>
        <w:t>The general capture theory of section 7.3c identifies the mechanism through which institutional decision-making is progressively redirected from its stated purpose toward the 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w:t>
      </w:r>
      <w:r>
        <w:rPr>
          <w:rFonts w:cs="Times New Roman"/>
        </w:rPr>
        <w:lastRenderedPageBreak/>
        <w:t>visibly and demonstrably increase structural 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w:t>
      </w:r>
      <w:r>
        <w:rPr>
          <w:rFonts w:cs="Times New Roman"/>
        </w:rPr>
        <w:lastRenderedPageBreak/>
        <w:t>committed 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w:t>
      </w:r>
      <w:r>
        <w:rPr>
          <w:rFonts w:cs="Times New Roman"/>
        </w:rPr>
        <w:lastRenderedPageBreak/>
        <w:t>cost disruption to impose 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(5) Boundary tightening under </w:t>
      </w:r>
      <w:r>
        <w:rPr>
          <w:rFonts w:cs="Times New Roman"/>
          <w:i/>
          <w:iCs/>
          <w:color w:val="7B3F3F"/>
          <w:sz w:val="22"/>
          <w:szCs w:val="22"/>
        </w:rPr>
        <w:lastRenderedPageBreak/>
        <w:t>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roles are filled by election or appointment, actors with interests in favorable oversight have structural incentives to invest in influencing the selection process; over </w:t>
      </w:r>
      <w:r>
        <w:rPr>
          <w:rFonts w:cs="Times New Roman"/>
        </w:rPr>
        <w:lastRenderedPageBreak/>
        <w:t>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lastRenderedPageBreak/>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tension between the short-term incentive structure of states and the long-term direction the framework identifies is not incidental. States are organized to compete with each other, to manage the immediate interests of their governing coalitions, and </w:t>
      </w:r>
      <w:r>
        <w:rPr>
          <w:rFonts w:cs="Times New Roman"/>
          <w:color w:val="111827"/>
        </w:rPr>
        <w:lastRenderedPageBreak/>
        <w:t>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t xml:space="preserve">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w:t>
      </w:r>
      <w:r>
        <w:rPr>
          <w:rFonts w:cs="Times New Roman"/>
        </w:rPr>
        <w:lastRenderedPageBreak/>
        <w:t>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lastRenderedPageBreak/>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w:t>
      </w:r>
      <w:r>
        <w:rPr>
          <w:rFonts w:cs="Times New Roman"/>
          <w:color w:val="111827"/>
        </w:rPr>
        <w:lastRenderedPageBreak/>
        <w:t>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w:t>
      </w:r>
      <w:r>
        <w:rPr>
          <w:rFonts w:cs="Times New Roman"/>
        </w:rPr>
        <w:lastRenderedPageBreak/>
        <w:t>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Not all path dependence is the unintended byproduct of investment and adaptation. Actors who benefit from existing arrangements 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anti-foreclosure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 xml:space="preserve">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w:t>
      </w:r>
      <w:r>
        <w:rPr>
          <w:rFonts w:cs="Times New Roman"/>
          <w:color w:val="111827"/>
        </w:rPr>
        <w:lastRenderedPageBreak/>
        <w:t>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lastRenderedPageBreak/>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lastRenderedPageBreak/>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Honest evaluation requires acknowledging what totalitarian regimes have produced before evaluating why they fail. Soviet industrialization achieved rapid expansion of industrial capacity, dramatic expansion of literacy — from roughly 20 percent literate to over 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lastRenderedPageBreak/>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adaptive response capacity is preserved. By both floor and anti-foreclosure criterion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 xml:space="preserve">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w:t>
      </w:r>
      <w:r>
        <w:rPr>
          <w:rFonts w:cs="Times New Roman"/>
          <w:color w:val="111827"/>
        </w:rPr>
        <w:lastRenderedPageBreak/>
        <w:t>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w:t>
      </w:r>
      <w:r>
        <w:rPr>
          <w:rFonts w:cs="Times New Roman"/>
          <w:color w:val="111827"/>
        </w:rPr>
        <w:lastRenderedPageBreak/>
        <w:t>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It also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 xml:space="preserve">What the Chinese model structurally gets wrong, by the framework’s criterion, is not its material achievements but its ceiling architecture. The meritocracy claim is partially a noble lie: selection for governance positions tracks loyalty to the Party as a prior </w:t>
      </w:r>
      <w:r>
        <w:rPr>
          <w:rFonts w:cs="Times New Roman"/>
        </w:rPr>
        <w:lastRenderedPageBreak/>
        <w:t>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minimal anchor criterion to such practices is a form of cultural imperialism </w:t>
      </w:r>
      <w:r>
        <w:rPr>
          <w:rFonts w:cs="Times New Roman"/>
          <w:color w:val="111827"/>
        </w:rPr>
        <w:lastRenderedPageBreak/>
        <w:t>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while simultaneously performing functions that those same members depend on: the institution that oppresses and also sustains. The moral-functional tension analyzed in 13.4h applies here directly. What the framework requires in those cases is </w:t>
      </w:r>
      <w:r>
        <w:rPr>
          <w:rFonts w:cs="Times New Roman"/>
          <w:color w:val="111827"/>
        </w:rPr>
        <w:lastRenderedPageBreak/>
        <w:t>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lastRenderedPageBreak/>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w:t>
      </w:r>
      <w:r>
        <w:rPr>
          <w:rFonts w:cs="Times New Roman"/>
          <w:color w:val="111827"/>
        </w:rPr>
        <w:lastRenderedPageBreak/>
        <w:t>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lastRenderedPageBreak/>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lastRenderedPageBreak/>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 xml:space="preserve">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t>
      </w:r>
      <w:r>
        <w:rPr>
          <w:rFonts w:cs="Times New Roman"/>
        </w:rPr>
        <w:lastRenderedPageBreak/>
        <w:t>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lastRenderedPageBreak/>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preserved adaptive response capacity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lastRenderedPageBreak/>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w:t>
      </w:r>
      <w:r>
        <w:rPr>
          <w:rFonts w:cs="Times New Roman"/>
          <w:color w:val="111827"/>
        </w:rPr>
        <w:lastRenderedPageBreak/>
        <w:t>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 xml:space="preserve">The term used here requires immediate clarification. A governing narrative — what this section calls a fable, in the specific sense of a story that structures action regardless </w:t>
      </w:r>
      <w:r>
        <w:rPr>
          <w:rFonts w:cs="Times New Roman"/>
        </w:rPr>
        <w:lastRenderedPageBreak/>
        <w:t>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 xml:space="preserve">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w:t>
      </w:r>
      <w:r>
        <w:rPr>
          <w:rFonts w:cs="Times New Roman"/>
        </w:rPr>
        <w:lastRenderedPageBreak/>
        <w:t>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 xml:space="preserve">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w:t>
      </w:r>
      <w:r>
        <w:rPr>
          <w:rFonts w:cs="Times New Roman"/>
        </w:rPr>
        <w:lastRenderedPageBreak/>
        <w:t>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lastRenderedPageBreak/>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 xml:space="preserve">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w:t>
      </w:r>
      <w:r>
        <w:rPr>
          <w:rFonts w:cs="Times New Roman"/>
        </w:rPr>
        <w:lastRenderedPageBreak/>
        <w:t>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 xml:space="preserve">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w:t>
      </w:r>
      <w:r>
        <w:rPr>
          <w:rFonts w:cs="Times New Roman"/>
        </w:rPr>
        <w:lastRenderedPageBreak/>
        <w:t>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w:t>
      </w:r>
      <w:r>
        <w:rPr>
          <w:rFonts w:cs="Times New Roman"/>
          <w:i/>
          <w:iCs/>
          <w:color w:val="333333"/>
          <w:sz w:val="22"/>
          <w:szCs w:val="22"/>
        </w:rPr>
        <w:lastRenderedPageBreak/>
        <w:t>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lastRenderedPageBreak/>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w:t>
      </w:r>
      <w:r>
        <w:rPr>
          <w:rFonts w:cs="Times New Roman"/>
          <w:color w:val="111827"/>
        </w:rPr>
        <w:lastRenderedPageBreak/>
        <w:t>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preserved adaptive response capacity across the full population it applies to? — applies to non-Western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 xml:space="preserve">Naïve secularism is the assumption that modernization and material development produce convergence toward secular orientation — that as populations become </w:t>
      </w:r>
      <w:r>
        <w:rPr>
          <w:rFonts w:cs="Times New Roman"/>
        </w:rPr>
        <w:lastRenderedPageBreak/>
        <w:t>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lastRenderedPageBreak/>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lastRenderedPageBreak/>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w:t>
      </w:r>
      <w:r>
        <w:rPr>
          <w:rFonts w:cs="Times New Roman"/>
          <w:color w:val="111827"/>
        </w:rPr>
        <w:lastRenderedPageBreak/>
        <w:t>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w:t>
      </w:r>
      <w:r>
        <w:rPr>
          <w:rFonts w:cs="Times New Roman"/>
          <w:color w:val="111827"/>
        </w:rPr>
        <w:lastRenderedPageBreak/>
        <w:t>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anti-foreclosure criterion problems in education have different structural causes and require different interventions. Inadequate floor provision — the denial of </w:t>
      </w:r>
      <w:r>
        <w:rPr>
          <w:rFonts w:cs="Times New Roman"/>
        </w:rPr>
        <w:lastRenderedPageBreak/>
        <w:t>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anti-foreclosure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remains possible when adaptive response capacity is preserved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framework: power without legitimacy produces brittle arrangements requiring continuous coercion; legitimacy without power cannot maintain the conditions for genuine development. Ibn Khaldun’s analysis of dynastic cycles in </w:t>
      </w:r>
      <w:r>
        <w:rPr>
          <w:rFonts w:cs="Times New Roman"/>
          <w:color w:val="111827"/>
        </w:rPr>
        <w:lastRenderedPageBreak/>
        <w:t>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w:t>
      </w:r>
      <w:r>
        <w:rPr>
          <w:rFonts w:cs="Times New Roman"/>
          <w:color w:val="111827"/>
        </w:rPr>
        <w:lastRenderedPageBreak/>
        <w:t>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when assessing a supranational institution, apply the five-stage sequence and ask which stage the capture has reached. Then apply the three accountability 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 xml:space="preserve">The material geography of resources explains the structure of current international arrangements. It does not by itself explain the specific form of divergence between </w:t>
      </w:r>
      <w:r>
        <w:rPr>
          <w:rFonts w:cs="Times New Roman"/>
        </w:rPr>
        <w:lastRenderedPageBreak/>
        <w:t>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w:t>
      </w:r>
      <w:r>
        <w:rPr>
          <w:rFonts w:cs="Times New Roman"/>
          <w:color w:val="111827"/>
        </w:rPr>
        <w:lastRenderedPageBreak/>
        <w:t>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 xml:space="preserve">Two positions on international relations are held in genuine and permanent tension. The first is that the international system currently operates in ways broadly consistent with structural realism: states pursue power and security, norms are routinely violated </w:t>
      </w:r>
      <w:r>
        <w:rPr>
          <w:rFonts w:cs="Times New Roman"/>
        </w:rPr>
        <w:lastRenderedPageBreak/>
        <w:t>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w:t>
      </w:r>
      <w:r>
        <w:rPr>
          <w:rFonts w:cs="Times New Roman"/>
        </w:rPr>
        <w:lastRenderedPageBreak/>
        <w:t>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w:t>
      </w:r>
      <w:r>
        <w:rPr>
          <w:rFonts w:cs="Times New Roman"/>
        </w:rPr>
        <w:lastRenderedPageBreak/>
        <w:t>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w:t>
      </w:r>
      <w:r>
        <w:rPr>
          <w:rFonts w:cs="Times New Roman"/>
          <w:color w:val="111827"/>
        </w:rPr>
        <w:lastRenderedPageBreak/>
        <w:t>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remains possible when adaptive response capacity is preserved.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lastRenderedPageBreak/>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 xml:space="preserve">The specific mechanism through which technology redistributes power at the international level is control of infrastructure. Technologies whose effects are mediated through specific physical or institutional infrastructure — submarine cables, satellite networks, financial clearing </w:t>
      </w:r>
      <w:r>
        <w:rPr>
          <w:rFonts w:cs="Times New Roman"/>
          <w:color w:val="111827"/>
        </w:rPr>
        <w:lastRenderedPageBreak/>
        <w:t>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 xml:space="preserve">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w:t>
      </w:r>
      <w:r>
        <w:rPr>
          <w:rFonts w:cs="Times New Roman"/>
        </w:rPr>
        <w:lastRenderedPageBreak/>
        <w:t>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 xml:space="preserve">The most consequential scenario — and the one that most directly tests the framework's evaluative commitments — is the concentration of advanced AI capability in a small number of actors operating at global scale without adequate accountability </w:t>
      </w:r>
      <w:r>
        <w:rPr>
          <w:rFonts w:cs="Times New Roman"/>
        </w:rPr>
        <w:lastRenderedPageBreak/>
        <w:t>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 xml:space="preserve">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w:t>
      </w:r>
      <w:r>
        <w:rPr>
          <w:rFonts w:cs="Times New Roman"/>
          <w:color w:val="111827"/>
        </w:rPr>
        <w:lastRenderedPageBreak/>
        <w:t>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What the framework can say with more confidence is that the content of any institutional resolution — whether the current multipolar transition produces hegemonic consolidation, genuine institutional reform, or managed fragmentation — will be determined by 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lastRenderedPageBreak/>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De-dollarization as institutional transition strategy.  </w:t>
      </w:r>
      <w:r>
        <w:rPr>
          <w:rFonts w:cs="Times New Roman"/>
          <w:color w:val="111827"/>
        </w:rPr>
        <w:t>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w:t>
      </w:r>
      <w:r>
        <w:rPr>
          <w:rFonts w:cs="Times New Roman"/>
          <w:color w:val="111827"/>
        </w:rPr>
        <w:lastRenderedPageBreak/>
        <w:t>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9.3 (multipolarity) and 9.0 (material basis of international order): parallel development is the strategic framework that corresponds to multipolarity as a 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domestic institutional arrangements — who bears the costs, who captures the benefits, and what historical processes produced that distribution — ap</w:t>
      </w:r>
      <w:r>
        <w:rPr>
          <w:rFonts w:cs="Times New Roman"/>
          <w:i/>
          <w:iCs/>
          <w:color w:val="1E3A5F"/>
          <w:sz w:val="22"/>
          <w:szCs w:val="22"/>
        </w:rPr>
        <w:lastRenderedPageBreak/>
        <w:t>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remains possible when adaptive response capacity is preserved,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1E3A5F"/>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change pressure from within the system's own dynamics. The most </w:t>
      </w:r>
      <w:r>
        <w:rPr>
          <w:rFonts w:cs="Times New Roman"/>
          <w:color w:val="111827"/>
        </w:rPr>
        <w:lastRenderedPageBreak/>
        <w:t>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suffering is the diagnostic signal:  </w:t>
      </w:r>
      <w:r>
        <w:rPr>
          <w:rFonts w:cs="Times New Roman"/>
          <w:color w:val="111827"/>
        </w:rPr>
        <w:t xml:space="preserve">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w:t>
      </w:r>
      <w:r>
        <w:rPr>
          <w:rFonts w:cs="Times New Roman"/>
          <w:color w:val="111827"/>
        </w:rPr>
        <w:lastRenderedPageBreak/>
        <w:t>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artificial intelligence, automation of cognitive labor, digitization of information production and distribution — follows the same pattern 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w:t>
      </w:r>
      <w:r>
        <w:rPr>
          <w:rFonts w:cs="Times New Roman"/>
          <w:color w:val="111827"/>
        </w:rPr>
        <w:lastRenderedPageBreak/>
        <w:t>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 xml:space="preserve">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w:t>
      </w:r>
      <w:r>
        <w:rPr>
          <w:rFonts w:cs="Times New Roman"/>
          <w:color w:val="111827"/>
        </w:rPr>
        <w:lastRenderedPageBreak/>
        <w:t>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lastRenderedPageBreak/>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The danger of threshold dynamics for political analysis is not that they are difficult to understand in principle — the concept of a tipping point is widely available — but that they are systematically invisible until 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 xml:space="preserve">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w:t>
      </w:r>
      <w:r>
        <w:rPr>
          <w:rFonts w:cs="Times New Roman"/>
          <w:color w:val="111827"/>
        </w:rPr>
        <w:lastRenderedPageBreak/>
        <w:t>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w:t>
      </w:r>
      <w:r>
        <w:rPr>
          <w:rFonts w:cs="Times New Roman"/>
          <w:i/>
          <w:iCs/>
          <w:color w:val="7B3F3F"/>
          <w:sz w:val="22"/>
          <w:szCs w:val="22"/>
        </w:rPr>
        <w:lastRenderedPageBreak/>
        <w:t>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 xml:space="preserve">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w:t>
      </w:r>
      <w:r>
        <w:rPr>
          <w:rFonts w:cs="Times New Roman"/>
        </w:rPr>
        <w:lastRenderedPageBreak/>
        <w:t>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 xml:space="preserve">The most consequential historical transitions have not been pure reform or pure revolution. They have been mixed sequences in which reform pressure and revolutionary pressure operated simultaneously, each conditioning the other. The New Deal was not </w:t>
      </w:r>
      <w:r>
        <w:rPr>
          <w:rFonts w:cs="Times New Roman"/>
        </w:rPr>
        <w:lastRenderedPageBreak/>
        <w:t>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 xml:space="preserve">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w:t>
      </w:r>
      <w:r>
        <w:rPr>
          <w:rFonts w:cs="Times New Roman"/>
        </w:rPr>
        <w:lastRenderedPageBreak/>
        <w:t>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w:t>
      </w:r>
      <w:r>
        <w:rPr>
          <w:rFonts w:cs="Times New Roman"/>
          <w:color w:val="111827"/>
        </w:rPr>
        <w:lastRenderedPageBreak/>
        <w:t>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w:t>
      </w:r>
      <w:r>
        <w:rPr>
          <w:rFonts w:cs="Times New Roman"/>
          <w:i/>
          <w:iCs/>
          <w:color w:val="7B3F3F"/>
          <w:sz w:val="22"/>
          <w:szCs w:val="22"/>
        </w:rPr>
        <w:lastRenderedPageBreak/>
        <w:t>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w:t>
      </w:r>
      <w:r>
        <w:rPr>
          <w:rFonts w:cs="Times New Roman"/>
        </w:rPr>
        <w:lastRenderedPageBreak/>
        <w:t>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 xml:space="preserve">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w:t>
      </w:r>
      <w:r>
        <w:rPr>
          <w:rFonts w:cs="Times New Roman"/>
          <w:color w:val="111827"/>
        </w:rPr>
        <w:lastRenderedPageBreak/>
        <w:t>—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w:t>
      </w:r>
      <w:r>
        <w:rPr>
          <w:rFonts w:cs="Times New Roman"/>
        </w:rPr>
        <w:lastRenderedPageBreak/>
        <w:t>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 xml:space="preserve">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w:t>
      </w:r>
      <w:r>
        <w:rPr>
          <w:rFonts w:cs="Times New Roman"/>
        </w:rPr>
        <w:lastRenderedPageBreak/>
        <w:t>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adaptive response capacity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w:t>
      </w:r>
      <w:r>
        <w:rPr>
          <w:rFonts w:cs="Times New Roman"/>
          <w:color w:val="111827"/>
        </w:rPr>
        <w:lastRenderedPageBreak/>
        <w:t>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w:t>
      </w:r>
      <w:r>
        <w:rPr>
          <w:rFonts w:cs="Times New Roman"/>
        </w:rPr>
        <w:lastRenderedPageBreak/>
        <w:t>organizational form that insulates its analysis from the structural correction mechanism that PMN requires of 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decision-making authority accountable to and revocable by the workers whose becoming is at stake. Its structural question is coordination adequacy at </w:t>
      </w:r>
      <w:r>
        <w:rPr>
          <w:rFonts w:cs="Times New Roman"/>
          <w:i/>
          <w:iCs/>
          <w:color w:val="333333"/>
          <w:sz w:val="22"/>
          <w:szCs w:val="22"/>
        </w:rPr>
        <w:lastRenderedPageBreak/>
        <w:t>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t>Contemporary Maoist movements, particularly those operating in subsistence and captured development configurations in the Global South, present a more complex analytical picture. The recognition that conditions of extreme deprivation and institu</w:t>
      </w:r>
      <w:r>
        <w:rPr>
          <w:rFonts w:cs="Times New Roman"/>
        </w:rPr>
        <w:lastRenderedPageBreak/>
        <w:t>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 xml:space="preserve">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w:t>
      </w:r>
      <w:r>
        <w:rPr>
          <w:rFonts w:cs="Times New Roman"/>
        </w:rPr>
        <w:lastRenderedPageBreak/>
        <w:t>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adaptive response capacity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w:t>
      </w:r>
      <w:r>
        <w:rPr>
          <w:rFonts w:cs="Times New Roman"/>
          <w:color w:val="111827"/>
        </w:rPr>
        <w:lastRenderedPageBreak/>
        <w:t>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w:t>
      </w:r>
      <w:r>
        <w:rPr>
          <w:rFonts w:cs="Times New Roman"/>
          <w:color w:val="111827"/>
        </w:rPr>
        <w:lastRenderedPageBreak/>
        <w:t>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w:t>
      </w:r>
      <w:r>
        <w:rPr>
          <w:rFonts w:cs="Times New Roman"/>
          <w:i/>
          <w:iCs/>
          <w:color w:val="333333"/>
          <w:sz w:val="22"/>
          <w:szCs w:val="22"/>
        </w:rPr>
        <w:lastRenderedPageBreak/>
        <w:t>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 xml:space="preserve">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w:t>
      </w:r>
      <w:r>
        <w:rPr>
          <w:rFonts w:cs="Times New Roman"/>
        </w:rPr>
        <w:lastRenderedPageBreak/>
        <w:t>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t xml:space="preserve">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w:t>
      </w:r>
      <w:r>
        <w:rPr>
          <w:rFonts w:cs="Times New Roman"/>
        </w:rPr>
        <w:lastRenderedPageBreak/>
        <w:t>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lastRenderedPageBreak/>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remains possible when adaptive response capacity is preserved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 xml:space="preserve">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t>
      </w:r>
      <w:r>
        <w:rPr>
          <w:rFonts w:cs="Times New Roman"/>
        </w:rPr>
        <w:lastRenderedPageBreak/>
        <w:t>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 xml:space="preserve">What this means in practice is that Gramscian strategy must be calibrated against PMN's diagnostic of the actual configuration of conditions — not applied as a general </w:t>
      </w:r>
      <w:r>
        <w:rPr>
          <w:rFonts w:cs="Times New Roman"/>
        </w:rPr>
        <w:lastRenderedPageBreak/>
        <w:t>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lastRenderedPageBreak/>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w:t>
      </w:r>
      <w:r>
        <w:rPr>
          <w:rFonts w:cs="Times New Roman"/>
        </w:rPr>
        <w:lastRenderedPageBreak/>
        <w:t>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preserved adaptive response capacity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 xml:space="preserve">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w:t>
      </w:r>
      <w:r>
        <w:rPr>
          <w:rFonts w:cs="Times New Roman"/>
        </w:rPr>
        <w:lastRenderedPageBreak/>
        <w:t>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adaptive response capacity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 xml:space="preserve">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w:t>
      </w:r>
      <w:r>
        <w:rPr>
          <w:rFonts w:cs="Times New Roman"/>
          <w:color w:val="111827"/>
        </w:rPr>
        <w:lastRenderedPageBreak/>
        <w:t>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w:t>
      </w:r>
      <w:r>
        <w:rPr>
          <w:rFonts w:cs="Times New Roman"/>
          <w:i/>
          <w:iCs/>
          <w:color w:val="333333"/>
          <w:sz w:val="22"/>
          <w:szCs w:val="22"/>
        </w:rPr>
        <w:lastRenderedPageBreak/>
        <w:t>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w:t>
      </w:r>
      <w:r>
        <w:rPr>
          <w:rFonts w:cs="Times New Roman"/>
          <w:color w:val="111827"/>
        </w:rPr>
        <w:lastRenderedPageBreak/>
        <w:t>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right-wing intellectual traditions within PMN: libertarianism contributes the capture analysis and public choice critique, both genuinely incorporated. Neoliberalism contributes the institutional economics of market preconditions, incorporated with the 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Gramsci is not whether hegemony exists or whether it operates as he described. It is whether his framework has an adequate foundation for explaining why hegemonic arrangements are a problem at all. The answer </w:t>
      </w:r>
      <w:r>
        <w:rPr>
          <w:rFonts w:cs="Times New Roman"/>
        </w:rPr>
        <w:lastRenderedPageBreak/>
        <w:t>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remains possible when adaptive response capacity is preserved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w:t>
      </w:r>
      <w:r>
        <w:rPr>
          <w:rFonts w:cs="Times New Roman"/>
        </w:rPr>
        <w:lastRenderedPageBreak/>
        <w:t>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 xml:space="preserve">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w:t>
      </w:r>
      <w:r>
        <w:rPr>
          <w:rFonts w:cs="Times New Roman"/>
        </w:rPr>
        <w:lastRenderedPageBreak/>
        <w:t>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 diagnostic interface with Gramscian strategy: (1) V suppression assessment — is the primary constraint on structural change the visibility of suffering rather than its absence? If yes, hegemonic analysis is the relevant tool: which institutional sites 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 xml:space="preserve">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w:t>
      </w:r>
      <w:r>
        <w:rPr>
          <w:rFonts w:cs="Times New Roman"/>
        </w:rPr>
        <w:lastRenderedPageBreak/>
        <w:t>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lastRenderedPageBreak/>
        <w:t>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w:t>
      </w:r>
      <w:r>
        <w:rPr>
          <w:rFonts w:cs="Times New Roman"/>
        </w:rPr>
        <w:lastRenderedPageBreak/>
        <w:t>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Intellectual honesty requires specifying what the Gramscian tradition does that PMN does not and cannot replace. The answer is: strategic specificity at the level of political organization and cultural production. Gramsci's analysis of how to build a historical bloc — what 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w:t>
      </w:r>
      <w:r>
        <w:rPr>
          <w:rFonts w:cs="Times New Roman"/>
        </w:rPr>
        <w:lastRenderedPageBreak/>
        <w:t>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1E108B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10.8b Shadow Institutions and Parallel Infrastructure Doctrine</w:t>
      </w:r>
    </w:p>
    <w:p w14:paraId="1E108B02" w14:textId="77777777" w:rsidR="00197421" w:rsidRPr="006048FC" w:rsidRDefault="00000000">
      <w:pPr>
        <w:spacing w:after="220" w:line="280" w:lineRule="exact"/>
        <w:jc w:val="both"/>
        <w:rPr>
          <w:rFonts w:cs="Times New Roman"/>
          <w:sz w:val="28"/>
          <w:szCs w:val="28"/>
        </w:rPr>
      </w:pPr>
      <w:r>
        <w:rPr>
          <w:rFonts w:cs="Times New Roman"/>
          <w:color w:val="111827"/>
        </w:rPr>
        <w:t>The organizational form problem in 10.8 addresses the question of what structural properties a counter-power container must have to avoid replicating capture dynamics under new ownership. A prior question is equally consequential: how does counter-power build organizational capacity before the conditions for formal institutional seizure are present? The standard answer — that movements build capacity by contesting formal institutions directly — is structurally incomplete. Formal institutional contestation requires resources, legal standing, and public visibility that are typically absent precisely when counter-power is weakest and its need for organizational development is greatest. Shadow institutions and parallel infrastructure are the organizational forms that address this gap: they build capacity outside formal institutional channels, through what the system they contest cannot easily suppress because it does not yet recognize as a threat.</w:t>
      </w:r>
    </w:p>
    <w:p w14:paraId="1E108B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Shadow Institutions Are</w:t>
      </w:r>
    </w:p>
    <w:p w14:paraId="1E108B04" w14:textId="77777777" w:rsidR="00197421" w:rsidRPr="006048FC" w:rsidRDefault="00000000">
      <w:pPr>
        <w:spacing w:after="220" w:line="280" w:lineRule="exact"/>
        <w:jc w:val="both"/>
        <w:rPr>
          <w:rFonts w:cs="Times New Roman"/>
          <w:sz w:val="28"/>
          <w:szCs w:val="28"/>
        </w:rPr>
      </w:pPr>
      <w:r>
        <w:rPr>
          <w:rFonts w:cs="Times New Roman"/>
          <w:color w:val="111827"/>
        </w:rPr>
        <w:t>Shadow institutions are organizational structures that perform functions formally assigned to existing institutions — welfare provision, dispute resolution, education, economic coordination, health care, security — but do so outside those institutions’ formal authority. They are not clandestine in the conspiratorial sense; they are typically visible to the populations they serve. What makes them “shadow” is their relationship to formal authority: they operate in the gap between what existing institutions claim to provide and what they actually provide to specific populations, filling that gap through organizational capacity that the formal institution cannot or will not deploy. The Black Panther Party’s Free Breakfast Program (1969–1980) is the paradigm case: a welfare function formally assigned to state institutions, performed by a counter-power organization for a population the state was not serving, building organizational capacity, legitimacy, and coalition width simultaneously. The Zapatistas’ autonomous municipalities in Chiapas are the territorial form: parallel governance structures performing state functions — health, education, justice — in areas where the state’s claim to those functions was not matched by delivery. The Kerala cooperative model (10.9) is the economic form: parallel economic coordination that built the organizational substrate enabling the land reform coalition before the political window for formal institutional change opened.</w:t>
      </w:r>
    </w:p>
    <w:p w14:paraId="1E108B05" w14:textId="77777777" w:rsidR="00197421" w:rsidRPr="006048FC" w:rsidRDefault="00000000">
      <w:pPr>
        <w:spacing w:after="220" w:line="280" w:lineRule="exact"/>
        <w:jc w:val="both"/>
        <w:rPr>
          <w:rFonts w:cs="Times New Roman"/>
          <w:sz w:val="28"/>
          <w:szCs w:val="28"/>
        </w:rPr>
      </w:pPr>
      <w:r>
        <w:rPr>
          <w:rFonts w:cs="Times New Roman"/>
          <w:color w:val="111827"/>
        </w:rPr>
        <w:t>Parallel infrastructure is the material form of shadow institution-building: the physical and digital systems through which counter-power organizations coordinate, communicate, provide services, and maintain relationships independently of formal institutional infrastructure. This includes communication networks not owned by the institutions being contested, economic circuits that reduce dependence on the financial systems those institutions control, mutual aid networks that reduce the material vulnerability that makes individuals susceptible to coercive pressure, and knowledge systems that develop and transmit the analytical capacity the counter-power organization requires. The political significance of parallel infrastructure is not primarily logistical. It is structural: every dimension of parallel infrastructure reduces the leverage that existing institutional arrangements hold over the populations they serve and the organizations contesting them. An organization whose communication depends en</w:t>
      </w:r>
      <w:r>
        <w:rPr>
          <w:rFonts w:cs="Times New Roman"/>
          <w:color w:val="111827"/>
        </w:rPr>
        <w:lastRenderedPageBreak/>
        <w:t>tirely on corporate platforms, whose economic activity depends entirely on conventional financial systems, and whose members’ material survival depends entirely on employment within existing institutional arrangements is vulnerable to pressure from those arrangements at every point. Parallel infrastructure reduces this vulnerability systematically, which is why its development is consistently resisted by the institutional arrangements it contests.</w:t>
      </w:r>
    </w:p>
    <w:p w14:paraId="1E108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Doctrinal Principle</w:t>
      </w:r>
    </w:p>
    <w:p w14:paraId="1E108B07" w14:textId="77777777" w:rsidR="00197421" w:rsidRPr="006048FC" w:rsidRDefault="00000000">
      <w:pPr>
        <w:spacing w:after="220" w:line="280" w:lineRule="exact"/>
        <w:jc w:val="both"/>
        <w:rPr>
          <w:rFonts w:cs="Times New Roman"/>
          <w:sz w:val="28"/>
          <w:szCs w:val="28"/>
        </w:rPr>
      </w:pPr>
      <w:r>
        <w:rPr>
          <w:rFonts w:cs="Times New Roman"/>
          <w:color w:val="111827"/>
        </w:rPr>
        <w:t>The parallel infrastructure doctrine follows from the organizational form analysis in 10.8 and from the counter-power accumulation analysis in 10.9. It has three components. First, build organizational substrate before political windows open. The Kerala analysis demonstrates that the decisive variable in political window utilization is counter-power readiness (Rs) — the organizational capacity available to act on the window when it opens. Rs cannot be built in the moment of the window; it must be built during the periods between windows through organizational forms that survive in the absence of immediate political opportunity. Shadow institutions and parallel infrastructure are the primary vehicles for this inter-window capacity building. Second, build where the system’s suppression capacity is lowest. Formal institutional contestation triggers the full defensive repertoire of the institutions being contested: legal challenge, resource denial, delegitimation, physical suppression. Shadow institution-building in the service gap — where existing institutions are not serving the population in question — operates below this trigger threshold. It builds capacity in the space where the system’s incentive to suppress is weakest because its claim to that space is not yet being formally contested. Third, maintain the distinction between parallel infrastructure as organizational capacity and parallel infrastructure as separatist withdrawal. The function of shadow institutions is not to replace existing institutions but to build the counter-power capacity that makes genuine institutional transformation possible. Shadow institutions that become ends in themselves — that build organizational autonomy as a goal rather than as a means — reproduce the organizational form problem: they develop the same maintenance incentives that produce capture in formal institutions, simply in an extra-institutional register. The standard for evaluating shadow institution development is whether it is building the specific capacities that formal institutional transformation will require: coalition width, organizational substrate, legitimacy with the populations whose cooperation the transformation depends on, and the analytical capacity to specify what transformation should look like. (See 10.9 counter-power accumulation; 7.3 custodian problem; 10.8 organizational form problem.)</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Parts 10.1-10.6 describe the structural conditions under which existing arrangements become unstable and transformation becomes available. The parallel question — how actors 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 xml:space="preserve">Counter-power is not the mirror image of the power it opposes. It cannot be built through the same mechanisms or sustained by the same resources. The actors who </w:t>
      </w:r>
      <w:r>
        <w:rPr>
          <w:rFonts w:cs="Times New Roman"/>
        </w:rPr>
        <w:lastRenderedPageBreak/>
        <w:t>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w:t>
      </w:r>
      <w:r>
        <w:rPr>
          <w:rFonts w:cs="Times New Roman"/>
        </w:rPr>
        <w:lastRenderedPageBreak/>
        <w:t>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w:t>
      </w:r>
      <w:r>
        <w:rPr>
          <w:rFonts w:cs="Times New Roman"/>
        </w:rPr>
        <w:lastRenderedPageBreak/>
        <w:t>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Counter-Power Capacity (CP = O </w:t>
      </w:r>
      <w:r>
        <w:rPr>
          <w:i/>
          <w:iCs/>
          <w:color w:val="1E3A5F"/>
          <w:sz w:val="20"/>
          <w:szCs w:val="20"/>
        </w:rPr>
        <w:t>×</w:t>
      </w:r>
      <w:r>
        <w:rPr>
          <w:rFonts w:cs="Times New Roman"/>
          <w:i/>
          <w:iCs/>
          <w:color w:val="1E3A5F"/>
          <w:sz w:val="20"/>
          <w:szCs w:val="20"/>
        </w:rPr>
        <w:t xml:space="preserve"> N </w:t>
      </w:r>
      <w:r>
        <w:rPr>
          <w:i/>
          <w:iCs/>
          <w:color w:val="1E3A5F"/>
          <w:sz w:val="20"/>
          <w:szCs w:val="20"/>
        </w:rPr>
        <w:t>×</w:t>
      </w:r>
      <w:r>
        <w:rPr>
          <w:rFonts w:cs="Times New Roman"/>
          <w:i/>
          <w:iCs/>
          <w:color w:val="1E3A5F"/>
          <w:sz w:val="20"/>
          <w:szCs w:val="20"/>
        </w:rPr>
        <w:t xml:space="preserve"> Rs </w:t>
      </w:r>
      <w:r>
        <w:rPr>
          <w:i/>
          <w:iCs/>
          <w:color w:val="1E3A5F"/>
          <w:sz w:val="20"/>
          <w:szCs w:val="20"/>
        </w:rPr>
        <w:t>×</w:t>
      </w:r>
      <w:r>
        <w:rPr>
          <w:rFonts w:cs="Times New Roman"/>
          <w:i/>
          <w:iCs/>
          <w:color w:val="1E3A5F"/>
          <w:sz w:val="20"/>
          <w:szCs w:val="20"/>
        </w:rPr>
        <w:t xml:space="preserve"> W </w:t>
      </w:r>
      <w:r>
        <w:rPr>
          <w:i/>
          <w:iCs/>
          <w:color w:val="1E3A5F"/>
          <w:sz w:val="20"/>
          <w:szCs w:val="20"/>
        </w:rPr>
        <w:t>×</w:t>
      </w:r>
      <w:r>
        <w:rPr>
          <w:rFonts w:cs="Times New Roman"/>
          <w:i/>
          <w:iCs/>
          <w:color w:val="1E3A5F"/>
          <w:sz w:val="20"/>
          <w:szCs w:val="20"/>
        </w:rPr>
        <w:t xml:space="preserve"> (1 </w:t>
      </w:r>
      <w:r>
        <w:rPr>
          <w:i/>
          <w:iCs/>
          <w:color w:val="1E3A5F"/>
          <w:sz w:val="20"/>
          <w:szCs w:val="20"/>
        </w:rPr>
        <w:t>−</w:t>
      </w:r>
      <w:r>
        <w:rPr>
          <w:rFonts w:cs="Times New Roman"/>
          <w:i/>
          <w:iCs/>
          <w:color w:val="1E3A5F"/>
          <w:sz w:val="20"/>
          <w:szCs w:val="20"/>
        </w:rPr>
        <w:t xml:space="preserve"> Rp </w:t>
      </w:r>
      <w:r>
        <w:rPr>
          <w:i/>
          <w:iCs/>
          <w:color w:val="1E3A5F"/>
          <w:sz w:val="20"/>
          <w:szCs w:val="20"/>
        </w:rPr>
        <w:t>−</w:t>
      </w:r>
      <w:r>
        <w:rPr>
          <w:rFonts w:cs="Times New Roman"/>
          <w:i/>
          <w:iCs/>
          <w:color w:val="1E3A5F"/>
          <w:sz w:val="20"/>
          <w:szCs w:val="20"/>
        </w:rPr>
        <w:t xml:space="preserve"> If)) formalizes the variables developed in this section. The compounding structure of the formula </w:t>
      </w:r>
      <w:r>
        <w:rPr>
          <w:i/>
          <w:iCs/>
          <w:color w:val="1E3A5F"/>
          <w:sz w:val="20"/>
          <w:szCs w:val="20"/>
        </w:rPr>
        <w:t>—</w:t>
      </w:r>
      <w:r>
        <w:rPr>
          <w:rFonts w:cs="Times New Roman"/>
          <w:i/>
          <w:iCs/>
          <w:color w:val="1E3A5F"/>
          <w:sz w:val="20"/>
          <w:szCs w:val="20"/>
        </w:rPr>
        <w:t xml:space="preserve"> not additive but multiplicative </w:t>
      </w:r>
      <w:r>
        <w:rPr>
          <w:i/>
          <w:iCs/>
          <w:color w:val="1E3A5F"/>
          <w:sz w:val="20"/>
          <w:szCs w:val="20"/>
        </w:rPr>
        <w:t>—</w:t>
      </w:r>
      <w:r>
        <w:rPr>
          <w:rFonts w:cs="Times New Roman"/>
          <w:i/>
          <w:iCs/>
          <w:color w:val="1E3A5F"/>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Transformation Window (Tw = Cc </w:t>
      </w:r>
      <w:r>
        <w:rPr>
          <w:i/>
          <w:iCs/>
          <w:color w:val="1E3A5F"/>
          <w:sz w:val="20"/>
          <w:szCs w:val="20"/>
        </w:rPr>
        <w:t>×</w:t>
      </w:r>
      <w:r>
        <w:rPr>
          <w:rFonts w:cs="Times New Roman"/>
          <w:i/>
          <w:iCs/>
          <w:color w:val="1E3A5F"/>
          <w:sz w:val="20"/>
          <w:szCs w:val="20"/>
        </w:rPr>
        <w:t xml:space="preserve"> Fe </w:t>
      </w:r>
      <w:r>
        <w:rPr>
          <w:i/>
          <w:iCs/>
          <w:color w:val="1E3A5F"/>
          <w:sz w:val="20"/>
          <w:szCs w:val="20"/>
        </w:rPr>
        <w:t>×</w:t>
      </w:r>
      <w:r>
        <w:rPr>
          <w:rFonts w:cs="Times New Roman"/>
          <w:i/>
          <w:iCs/>
          <w:color w:val="1E3A5F"/>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w:t>
      </w:r>
      <w:r>
        <w:rPr>
          <w:rFonts w:cs="Times New Roman"/>
          <w:color w:val="111827"/>
        </w:rPr>
        <w:lastRenderedPageBreak/>
        <w:t>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 xml:space="preserve">Coalition building across fracture lines that have genuine material components requires explicit acknowledgment and negotiation of the divergent interests rather than </w:t>
      </w:r>
      <w:r>
        <w:rPr>
          <w:rFonts w:cs="Times New Roman"/>
        </w:rPr>
        <w:lastRenderedPageBreak/>
        <w:t>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manufactured fracture line requires a different strategy: demystification rather than negotiation. If a division between populations does not reflect genuine structural divergence but is maintained by strategic amplification, the counter-strategy is to 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w:t>
      </w:r>
      <w:r>
        <w:rPr>
          <w:rFonts w:cs="Times New Roman"/>
          <w:i/>
          <w:iCs/>
          <w:color w:val="7B3F3F"/>
          <w:sz w:val="22"/>
          <w:szCs w:val="22"/>
        </w:rPr>
        <w:lastRenderedPageBreak/>
        <w:t>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lastRenderedPageBreak/>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The visible hostility is protection for both. When a publicly recognized actor condemns harder methods, they are not only protecting their own image — they are providing cover 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 xml:space="preserve">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w:t>
      </w:r>
      <w:r>
        <w:rPr>
          <w:rFonts w:cs="Times New Roman"/>
        </w:rPr>
        <w:lastRenderedPageBreak/>
        <w:t>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 xml:space="preserve">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w:t>
      </w:r>
      <w:r>
        <w:rPr>
          <w:rFonts w:cs="Times New Roman"/>
          <w:color w:val="111827"/>
        </w:rPr>
        <w:lastRenderedPageBreak/>
        <w:t>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The actor whose function is documentation — producing the evidentiary record that makes structural suffering visible, that creates the historical record through which movements can be held accountable and through which their successes 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w:t>
      </w:r>
      <w:r>
        <w:rPr>
          <w:rFonts w:cs="Times New Roman"/>
          <w:color w:val="111827"/>
        </w:rPr>
        <w:lastRenderedPageBreak/>
        <w:t>transitional actors are a structural resource that sustained movements must be designed to engage without becoming dependent on: the organizational infrastructure that functions only when spontaneous mobilization is present has failed to build the durable capacity that produces 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w:t>
      </w:r>
      <w:r>
        <w:rPr>
          <w:rFonts w:cs="Times New Roman"/>
        </w:rPr>
        <w:lastRenderedPageBreak/>
        <w:t>from both 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frameworks that remain useful — is experienced as friction rather </w:t>
      </w:r>
      <w:r>
        <w:rPr>
          <w:rFonts w:cs="Times New Roman"/>
        </w:rPr>
        <w:lastRenderedPageBreak/>
        <w:t>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ecosystem after the precipitating event recedes from public attention. Their strategic function is specifically the production of scale and urgency at moments </w:t>
      </w:r>
      <w:r>
        <w:rPr>
          <w:rFonts w:cs="Times New Roman"/>
        </w:rPr>
        <w:lastRenderedPageBreak/>
        <w:t>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strategies optimized for the acute phase — the demonstration, the strike, the occupation. The resource management frame generates strategies optimized for the full cycle, including the preparation </w:t>
      </w:r>
      <w:r>
        <w:rPr>
          <w:rFonts w:cs="Times New Roman"/>
          <w:i/>
          <w:iCs/>
          <w:color w:val="333333"/>
          <w:sz w:val="22"/>
          <w:szCs w:val="22"/>
        </w:rPr>
        <w:lastRenderedPageBreak/>
        <w:t>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w:t>
      </w:r>
      <w:r>
        <w:rPr>
          <w:rFonts w:cs="Times New Roman"/>
        </w:rPr>
        <w:lastRenderedPageBreak/>
        <w:t>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 xml:space="preserve">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w:t>
      </w:r>
      <w:r>
        <w:rPr>
          <w:rFonts w:cs="Times New Roman"/>
        </w:rPr>
        <w:lastRenderedPageBreak/>
        <w:t>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 xml:space="preserve">The ecology of struggle does not consist of only two types of actor. Between those who operate entirely within the system and those who operate entirely outside it, there is a wide spectrum — and within each position on that spectrum, further gradations. </w:t>
      </w:r>
      <w:r>
        <w:rPr>
          <w:rFonts w:cs="Times New Roman"/>
        </w:rPr>
        <w:lastRenderedPageBreak/>
        <w:t>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lastRenderedPageBreak/>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 xml:space="preserve">No position in this ecosystem is permanent. A hero who begins as genuine can drift into a reactionary actor — not because they suddenly become bad, but because the structural incentives of their position within the institution gradually shift what they </w:t>
      </w:r>
      <w:r>
        <w:rPr>
          <w:rFonts w:cs="Times New Roman"/>
        </w:rPr>
        <w:lastRenderedPageBreak/>
        <w:t>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w:t>
      </w:r>
      <w:r>
        <w:rPr>
          <w:rFonts w:cs="Times New Roman"/>
        </w:rPr>
        <w:lastRenderedPageBreak/>
        <w:t>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 xml:space="preserve">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w:t>
      </w:r>
      <w:r>
        <w:rPr>
          <w:rFonts w:cs="Times New Roman"/>
        </w:rPr>
        <w:lastRenderedPageBreak/>
        <w:t>legitimate response from the ecosystem, not a betrayal.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This creates specific problems in contested cases. An actor who claims their function is to maintain inside access in order to achieve outcomes that outside pressure alone could not achieve is making a claim that is difficult to evaluate in real time — the counterfactual (what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lastRenderedPageBreak/>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 xml:space="preserve">The methods employed must be proportionate to the actual threat and the actual stakes. This is not a pacifist principle — it does not prohibit hard methods under conditions that genuinely require them. It is a constraint against the </w:t>
      </w:r>
      <w:r>
        <w:rPr>
          <w:rFonts w:cs="Times New Roman"/>
        </w:rPr>
        <w:lastRenderedPageBreak/>
        <w:t>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 xml:space="preserve">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w:t>
      </w:r>
      <w:r>
        <w:rPr>
          <w:rFonts w:cs="Times New Roman"/>
          <w:color w:val="111827"/>
        </w:rPr>
        <w:lastRenderedPageBreak/>
        <w:t>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 xml:space="preserve">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w:t>
      </w:r>
      <w:r>
        <w:rPr>
          <w:rFonts w:cs="Times New Roman"/>
        </w:rPr>
        <w:lastRenderedPageBreak/>
        <w:t>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 xml:space="preserve">The sixth diagnostic is the application to economics of the framework’s epistemological commitment in Part I: evaluation must be falsifiable, which means the comparison </w:t>
      </w:r>
      <w:r>
        <w:rPr>
          <w:rFonts w:cs="Times New Roman"/>
        </w:rPr>
        <w:lastRenderedPageBreak/>
        <w:t>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 xml:space="preserve">Regulatory capture — the process by which regulatory institutions come to serve the interests of the entities they were designed to regulate rather than the interests of the populations they were designed to protect — follows the capture sequence analyzed in </w:t>
      </w:r>
      <w:r>
        <w:rPr>
          <w:rFonts w:cs="Times New Roman"/>
        </w:rPr>
        <w:lastRenderedPageBreak/>
        <w:t>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w:t>
      </w:r>
      <w:r>
        <w:rPr>
          <w:rFonts w:cs="Times New Roman"/>
        </w:rPr>
        <w:lastRenderedPageBreak/>
        <w:t>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lastRenderedPageBreak/>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lastRenderedPageBreak/>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Third, the permanence of scarcity as a condition does not mean the permanence of any particular form of scarcity. Technological change has repeatedly transformed what counts 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 xml:space="preserve">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w:t>
      </w:r>
      <w:r>
        <w:rPr>
          <w:rFonts w:cs="Times New Roman"/>
        </w:rPr>
        <w:lastRenderedPageBreak/>
        <w:t>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adaptive response capacity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adaptive response capacity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lastRenderedPageBreak/>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adaptive response capacity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adaptive response capacity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 xml:space="preserve">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w:t>
      </w:r>
      <w:r>
        <w:rPr>
          <w:rFonts w:cs="Times New Roman"/>
        </w:rPr>
        <w:lastRenderedPageBreak/>
        <w:t>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 xml:space="preserve">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w:t>
      </w:r>
      <w:r>
        <w:rPr>
          <w:rFonts w:cs="Times New Roman"/>
        </w:rPr>
        <w:lastRenderedPageBreak/>
        <w:t>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w:t>
      </w:r>
      <w:r>
        <w:rPr>
          <w:rFonts w:cs="Times New Roman"/>
          <w:i/>
          <w:iCs/>
          <w:color w:val="333333"/>
          <w:sz w:val="22"/>
          <w:szCs w:val="22"/>
        </w:rPr>
        <w:lastRenderedPageBreak/>
        <w:t>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The permanent conditions analysis has a direct implication for the justification of taxation that the framework’s economic doctrine requires making explicit. Taxation is not primarily a redistribution mechanism — this framing, while not wrong, understates what 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w:t>
      </w:r>
      <w:r>
        <w:rPr>
          <w:rFonts w:cs="Times New Roman"/>
          <w:color w:val="111827"/>
        </w:rPr>
        <w:lastRenderedPageBreak/>
        <w:t>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 xml:space="preserve">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w:t>
      </w:r>
      <w:r>
        <w:rPr>
          <w:rFonts w:cs="Times New Roman"/>
          <w:color w:val="111827"/>
        </w:rPr>
        <w:lastRenderedPageBreak/>
        <w:t>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 xml:space="preserve">The ecological boundary condition diagnostic has a specific urgency in contemporary conditions that distinguishes it from </w:t>
      </w:r>
      <w:r>
        <w:rPr>
          <w:rFonts w:cs="Times New Roman"/>
        </w:rPr>
        <w:lastRenderedPageBreak/>
        <w:t>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the water case reveals about doctrine:  </w:t>
      </w:r>
      <w:r>
        <w:rPr>
          <w:rFonts w:cs="Times New Roman"/>
          <w:color w:val="111827"/>
        </w:rPr>
        <w:t>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 xml:space="preserve">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w:t>
      </w:r>
      <w:r>
        <w:rPr>
          <w:rFonts w:cs="Times New Roman"/>
        </w:rPr>
        <w:lastRenderedPageBreak/>
        <w:t>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historical test. </w:t>
      </w:r>
      <w:r>
        <w:rPr>
          <w:rFonts w:cs="Times New Roman"/>
        </w:rPr>
        <w:t xml:space="preserve">Check every structural claim against the full range of historical cases, not only the cases that generated the claim. The claim that distributed institutional design is more accountable than concentrated design must survive the cases </w:t>
      </w:r>
      <w:r>
        <w:rPr>
          <w:rFonts w:cs="Times New Roman"/>
        </w:rPr>
        <w:lastRenderedPageBreak/>
        <w:t>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w:t>
      </w:r>
      <w:r>
        <w:rPr>
          <w:rFonts w:cs="Times New Roman"/>
          <w:color w:val="111827"/>
        </w:rPr>
        <w:lastRenderedPageBreak/>
        <w:t>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lastRenderedPageBreak/>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Modeling the reasoning of actors with very different structural positions requires more than intellectual empathy — more than the ability 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w:t>
      </w:r>
      <w:r>
        <w:rPr>
          <w:rFonts w:cs="Times New Roman"/>
          <w:color w:val="111827"/>
        </w:rPr>
        <w:lastRenderedPageBreak/>
        <w:t>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Part XI is the most concrete illustration of this distinction in operation. The seven diagnostic questions in 11.0 are framework: they apply to any economic arrangement in any historical period and generate no predetermined conclusions. The contrastive illustration 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w:t>
      </w:r>
      <w:r>
        <w:rPr>
          <w:rFonts w:cs="Times New Roman"/>
        </w:rPr>
        <w:lastRenderedPageBreak/>
        <w:t>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 xml:space="preserve">The framework is not a neutral instrument. It has an evaluative criterion — reducing structural suffering and expanding adaptive response capacity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adaptive response capacity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w:t>
      </w:r>
      <w:r>
        <w:rPr>
          <w:rFonts w:cs="Times New Roman"/>
        </w:rPr>
        <w:lastRenderedPageBreak/>
        <w:t>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w:t>
      </w:r>
      <w:r>
        <w:rPr>
          <w:rFonts w:cs="Times New Roman"/>
          <w:i/>
          <w:iCs/>
          <w:color w:val="7B3F3F"/>
          <w:sz w:val="22"/>
          <w:szCs w:val="22"/>
        </w:rPr>
        <w:lastRenderedPageBreak/>
        <w:t>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w:t>
      </w:r>
      <w:r>
        <w:rPr>
          <w:rFonts w:cs="Times New Roman"/>
          <w:i/>
          <w:iCs/>
          <w:color w:val="333333"/>
          <w:sz w:val="22"/>
          <w:szCs w:val="22"/>
        </w:rPr>
        <w:lastRenderedPageBreak/>
        <w:t>—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 xml:space="preserve">The typology of tensions (Part XIII) identifies conflicts that cannot be resolved, only managed. That typology can be applied </w:t>
      </w:r>
      <w:r>
        <w:rPr>
          <w:rFonts w:cs="Times New Roman"/>
        </w:rPr>
        <w:lastRenderedPageBreak/>
        <w:t>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lastRenderedPageBreak/>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lastRenderedPageBreak/>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adaptive response capacity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 xml:space="preserve">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w:t>
      </w:r>
      <w:r>
        <w:rPr>
          <w:rFonts w:cs="Times New Roman"/>
        </w:rPr>
        <w:lastRenderedPageBreak/>
        <w:t>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lastRenderedPageBreak/>
        <w:t>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 xml:space="preserve">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w:t>
      </w:r>
      <w:r>
        <w:rPr>
          <w:rFonts w:cs="Times New Roman"/>
        </w:rPr>
        <w:lastRenderedPageBreak/>
        <w:t>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1E125E01" w14:textId="77777777" w:rsidR="00197421" w:rsidRPr="006048FC" w:rsidRDefault="00000000">
      <w:pPr>
        <w:spacing w:before="400" w:after="160"/>
        <w:rPr>
          <w:rFonts w:cs="Times New Roman"/>
          <w:sz w:val="28"/>
          <w:szCs w:val="28"/>
        </w:rPr>
      </w:pPr>
      <w:r>
        <w:rPr>
          <w:rFonts w:cs="Times New Roman"/>
          <w:b/>
          <w:bCs/>
          <w:color w:val="1D4ED8"/>
          <w:sz w:val="32"/>
          <w:szCs w:val="32"/>
        </w:rPr>
        <w:t>12.5e Deficit Estimation Protocol: PMN Analysis with Partial Data</w:t>
      </w:r>
    </w:p>
    <w:p w14:paraId="1E125E0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commitments — causal specification, structural inference, quantitative indicator use where available — presuppose a level of data availability that many of the situations requiring analysis most urgently do not have. Structural suffering is highest where data infrastructure is weakest; the populations whose conditions most require analysis are often precisely those whose conditions are least documented. An analytical framework that can only operate under conditions of adequate data is an analytical framework that is systematically unavailable where it is most needed. The deficit estimation protocol specifies how PMN analysis proceeds when data is partial, missing, or actively suppressed — without sacrificing the epistemic standards that distinguish structural analysis from advocacy.</w:t>
      </w:r>
    </w:p>
    <w:p w14:paraId="1E125E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Four Deficit Types</w:t>
      </w:r>
    </w:p>
    <w:p w14:paraId="1E125E04" w14:textId="77777777" w:rsidR="00197421" w:rsidRPr="006048FC" w:rsidRDefault="00000000">
      <w:pPr>
        <w:spacing w:after="220" w:line="280" w:lineRule="exact"/>
        <w:jc w:val="both"/>
        <w:rPr>
          <w:rFonts w:cs="Times New Roman"/>
          <w:sz w:val="28"/>
          <w:szCs w:val="28"/>
        </w:rPr>
      </w:pPr>
      <w:r>
        <w:rPr>
          <w:rFonts w:cs="Times New Roman"/>
          <w:color w:val="111827"/>
        </w:rPr>
        <w:t xml:space="preserve">Data deficits in PMN analysis take four structurally distinct forms, each requiring a different analytical response. The first is “absence by extraction”: data that exists in principle but is held by institutions that do not release it — corporate financial data, internal government records, military operations records. The analytical response is triangulation from observable consequences: if the data would show X, what traces of X would be visible in adjacent observable variables? Absence of those traces is weak evidence against X; presence of those traces, across multiple independent sources, is evidence for X at a strength that is explicitly quantified and stated as uncertain. The second is “absence by incapacity”: data that does not exist because the institutional infrastructure for producing it has not been built — common in low-income country contexts, informal economies, and post-conflict settings. The analytical response is proxy indicator construction: identify variables that are measurable and that have documented relationships to the unmeasured variable in comparable contexts, use those </w:t>
      </w:r>
      <w:r>
        <w:rPr>
          <w:rFonts w:cs="Times New Roman"/>
          <w:color w:val="111827"/>
        </w:rPr>
        <w:lastRenderedPageBreak/>
        <w:t>relationships to construct estimates with explicit uncertainty bounds, and state clearly that the estimate depends on the comparability assumption. The third is “absence by suppression”: data that has been actively destroyed or made inaccessible by actors who benefit from its unavailability. The analytical response requires the suppression itself to enter the analysis: the pattern of what is suppressed, by whom, at what political moment, is itself structural evidence about what the data would show and about the interests the suppression serves. The fourth is “absence by definition”: phenomena that the dominant measurement frameworks do not count as data — unpaid care work, informal economic activity, ecosystem services, social capital, the wellbeing dimensions that GDP does not capture. The analytical response is measurement architecture critique: specify what the dominant framework is not measuring and why, construct alternative measures where possible, and treat the gap between official indicators and structural reality as itself analytically significant.</w:t>
      </w:r>
    </w:p>
    <w:p w14:paraId="1E125E05" w14:textId="77777777" w:rsidR="00197421" w:rsidRPr="006048FC" w:rsidRDefault="00000000">
      <w:pPr>
        <w:spacing w:after="220" w:line="280" w:lineRule="exact"/>
        <w:jc w:val="both"/>
        <w:rPr>
          <w:rFonts w:cs="Times New Roman"/>
          <w:sz w:val="28"/>
          <w:szCs w:val="28"/>
        </w:rPr>
      </w:pPr>
      <w:r>
        <w:rPr>
          <w:rFonts w:cs="Times New Roman"/>
          <w:color w:val="111827"/>
        </w:rPr>
        <w:t>The protocol for analysis under all four deficit types has three non-negotiable requirements. First, explicit uncertainty quantification: every claim derived from partial data must carry an explicit statement of its evidentiary basis and the strength of the inference. The form is not “the data is unclear” — that is evasion — but “the available evidence supports this conclusion at [strength level] given [stated assumptions], and would be reversed by [stated evidence]”. Second, suppression analysis: where data is absent, the analysis must address whether the absence is structurally produced and by whom, because structurally produced absence is itself evidence about the interests the absence serves. An analysis that treats all data absence as epistemically equivalent — whether produced by genuine incapacity or by active suppression — is not epistemically neutral; it is epistemically favorable to the interests the suppression serves. Third, falsifiability maintenance: even under data deficit conditions, the analysis must specify what evidence would change its conclusions. An analysis that cannot be falsified by any evidence is not made more credible by data scarcity; it has simply converted scarcity into unfalsifiability, which is an epistemic failure regardless of the political circumstances that produced the scarcity. (See 12.1 stress-testing methodology; 1.9 on calibrated uncertainty; 12.5 failure modes.)</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 xml:space="preserve">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w:t>
      </w:r>
      <w:r>
        <w:rPr>
          <w:rFonts w:cs="Times New Roman"/>
        </w:rPr>
        <w:lastRenderedPageBreak/>
        <w:t>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lastRenderedPageBreak/>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 xml:space="preserve">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w:t>
      </w:r>
      <w:r>
        <w:rPr>
          <w:rFonts w:cs="Times New Roman"/>
        </w:rPr>
        <w:lastRenderedPageBreak/>
        <w:t>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lastRenderedPageBreak/>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lastRenderedPageBreak/>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w:t>
      </w:r>
      <w:r>
        <w:rPr>
          <w:rFonts w:cs="Times New Roman"/>
          <w:color w:val="111827"/>
        </w:rPr>
        <w:lastRenderedPageBreak/>
        <w:t>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Principle-level "should" specifies the direction or goal: human beings should not be subjected to preventable structural suffering. This is the level at which the framework's evaluative commitments operate. Strategy-level "should"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 xml:space="preserve">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w:t>
      </w:r>
      <w:r>
        <w:rPr>
          <w:rFonts w:cs="Times New Roman"/>
          <w:color w:val="111827"/>
        </w:rPr>
        <w:lastRenderedPageBreak/>
        <w:t>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t>
      </w:r>
      <w:r>
        <w:rPr>
          <w:rFonts w:cs="Times New Roman"/>
          <w:i/>
          <w:iCs/>
          <w:color w:val="7B3F3F"/>
          <w:sz w:val="22"/>
          <w:szCs w:val="22"/>
        </w:rPr>
        <w:lastRenderedPageBreak/>
        <w:t>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w:t>
      </w:r>
      <w:r>
        <w:rPr>
          <w:rFonts w:cs="Times New Roman"/>
        </w:rPr>
        <w:lastRenderedPageBreak/>
        <w:t>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in that they are situational: the right balance between security and innovation </w:t>
      </w:r>
      <w:r>
        <w:rPr>
          <w:rFonts w:cs="Times New Roman"/>
        </w:rPr>
        <w:lastRenderedPageBreak/>
        <w:t>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w:t>
      </w:r>
      <w:r>
        <w:rPr>
          <w:rFonts w:cs="Times New Roman"/>
          <w:i/>
          <w:iCs/>
          <w:color w:val="333333"/>
          <w:sz w:val="22"/>
          <w:szCs w:val="22"/>
        </w:rPr>
        <w:lastRenderedPageBreak/>
        <w:t>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w:t>
      </w:r>
      <w:r>
        <w:rPr>
          <w:rFonts w:cs="Times New Roman"/>
        </w:rPr>
        <w:lastRenderedPageBreak/>
        <w:t>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w:t>
      </w:r>
      <w:r>
        <w:rPr>
          <w:rFonts w:cs="Times New Roman"/>
        </w:rPr>
        <w:lastRenderedPageBreak/>
        <w:t>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w:t>
      </w:r>
      <w:r>
        <w:rPr>
          <w:rFonts w:cs="Times New Roman"/>
          <w:color w:val="111827"/>
        </w:rPr>
        <w:lastRenderedPageBreak/>
        <w:t>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w:t>
      </w:r>
      <w:r>
        <w:rPr>
          <w:rFonts w:cs="Times New Roman"/>
          <w:i/>
          <w:iCs/>
          <w:color w:val="333333"/>
          <w:sz w:val="22"/>
          <w:szCs w:val="22"/>
        </w:rPr>
        <w:lastRenderedPageBreak/>
        <w:t>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w:t>
      </w:r>
      <w:r>
        <w:rPr>
          <w:rFonts w:cs="Times New Roman"/>
        </w:rPr>
        <w:lastRenderedPageBreak/>
        <w:t>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strategic implications of categorical shifts differ from those of mismanagement-produced crystallization in one critical respect: when a tension becomes a contradiction 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 xml:space="preserve">A world in which the most effective path to desired outcomes never requires moral compromise — in which all goals can be achieved by </w:t>
      </w:r>
      <w:r>
        <w:rPr>
          <w:rFonts w:cs="Times New Roman"/>
        </w:rPr>
        <w:lastRenderedPageBreak/>
        <w:t>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 xml:space="preserve">The gap closes — when existing arrangements already satisfy the evaluative standard, accurate description and the direction of what </w:t>
      </w:r>
      <w:r>
        <w:rPr>
          <w:rFonts w:cs="Times New Roman"/>
        </w:rPr>
        <w:lastRenderedPageBreak/>
        <w:t>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 xml:space="preserve">Actors with partial knowledge must make decisions under time pressure with real consequences. The requirements of action (commit, allocate, act) and the requirements of honest epistemology (remain open, revise, </w:t>
      </w:r>
      <w:r>
        <w:rPr>
          <w:rFonts w:cs="Times New Roman"/>
        </w:rPr>
        <w:lastRenderedPageBreak/>
        <w:t>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 xml:space="preserve">Managed honestly: specific decisions to manage truth are made on identifiable grounds, with prospective accountability — the decision must </w:t>
      </w:r>
      <w:r>
        <w:rPr>
          <w:rFonts w:cs="Times New Roman"/>
        </w:rPr>
        <w:lastRenderedPageBreak/>
        <w:t>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 xml:space="preserve">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w:t>
      </w:r>
      <w:r>
        <w:rPr>
          <w:rFonts w:cs="Times New Roman"/>
          <w:color w:val="111827"/>
        </w:rPr>
        <w:lastRenderedPageBreak/>
        <w:t>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adaptive response capacity,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It is not a deterministic theory of history. </w:t>
      </w:r>
      <w:r>
        <w:rPr>
          <w:rFonts w:cs="Times New Roman"/>
        </w:rPr>
        <w:t>The framework identifies structural forces that constrain what remains possible when adaptive response capacity is preserved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adaptive response capacity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lastRenderedPageBreak/>
        <w:t>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adaptive response capacity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w:t>
      </w:r>
      <w:r>
        <w:rPr>
          <w:rFonts w:cs="Times New Roman"/>
        </w:rPr>
        <w:lastRenderedPageBreak/>
        <w:t>tive encounter with resistant media — such a life may satisfy every criterion for material wellbeing that PMN specifies while failing to produce adaptive response capacity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This tension cannot be resolved by adjusting the evaluative criterion, because the criterion is correct: suffering that forecloses becoming is harm, and the reduction of such suffering is what the criterion requires. Nor can it be resolved by resisting the development 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anti-foreclosure criterion,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anti-foreclosure criterion (expansion of adaptive response capacity)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 xml:space="preserve">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w:t>
      </w:r>
      <w:r>
        <w:rPr>
          <w:rFonts w:cs="Times New Roman"/>
          <w:color w:val="111827"/>
        </w:rPr>
        <w:lastRenderedPageBreak/>
        <w:t>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PMN can identify the structural conditions that produce the meaning problem of abundance and analyze its institutional consequences. It cannot specify what meaning infrastructure would resolve it — that requires the kind of philosophical and cultural work that operates at the anti-foreclosure criterion level, which the framework identifies as the domain of adaptive response capacity without prescribing its content. What the framework can say is that the meaning problem of abundance is not 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anti-foreclosure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w:t>
      </w:r>
      <w:r>
        <w:rPr>
          <w:rFonts w:cs="Times New Roman"/>
        </w:rPr>
        <w:lastRenderedPageBreak/>
        <w:t>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adaptive response capacity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w:t>
      </w:r>
      <w:r>
        <w:rPr>
          <w:rFonts w:cs="Times New Roman"/>
        </w:rPr>
        <w:lastRenderedPageBreak/>
        <w:t>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adaptive response capacity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adaptive response capacity.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t xml:space="preserve">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w:t>
      </w:r>
      <w:r>
        <w:rPr>
          <w:rFonts w:cs="Times New Roman"/>
        </w:rPr>
        <w:lastRenderedPageBreak/>
        <w:t>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Strategic equilibrium assessment procedure: When a political situation presents as a choice between preservation of existing meaning infrastructure (with its </w:t>
      </w:r>
      <w:r>
        <w:rPr>
          <w:rFonts w:cs="Times New Roman"/>
          <w:i/>
          <w:iCs/>
          <w:color w:val="7B3F3F"/>
          <w:sz w:val="22"/>
          <w:szCs w:val="22"/>
        </w:rPr>
        <w:lastRenderedPageBreak/>
        <w:t>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anti-foreclosure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adaptive response capacity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remains possible when adaptive response capacity is preserved.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where adaptive response capacity is fully preserved,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w:t>
      </w:r>
      <w:r>
        <w:rPr>
          <w:rFonts w:cs="Times New Roman"/>
          <w:i/>
          <w:iCs/>
          <w:color w:val="333333"/>
          <w:sz w:val="22"/>
          <w:szCs w:val="22"/>
        </w:rPr>
        <w:lastRenderedPageBreak/>
        <w:t>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 xml:space="preserve">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w:t>
      </w:r>
      <w:r>
        <w:rPr>
          <w:rFonts w:cs="Times New Roman"/>
          <w:color w:val="111827"/>
        </w:rPr>
        <w:lastRenderedPageBreak/>
        <w:t>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 xml:space="preserve">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w:t>
      </w:r>
      <w:r>
        <w:rPr>
          <w:rFonts w:cs="Times New Roman"/>
        </w:rPr>
        <w:lastRenderedPageBreak/>
        <w:t>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w:t>
      </w:r>
      <w:r>
        <w:rPr>
          <w:rFonts w:cs="Times New Roman"/>
          <w:i/>
          <w:iCs/>
          <w:color w:val="333333"/>
          <w:sz w:val="22"/>
          <w:szCs w:val="22"/>
        </w:rPr>
        <w:lastRenderedPageBreak/>
        <w:t>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 xml:space="preserve">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w:t>
      </w:r>
      <w:r>
        <w:rPr>
          <w:rFonts w:cs="Times New Roman"/>
        </w:rPr>
        <w:lastRenderedPageBreak/>
        <w:t>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 xml:space="preserve">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w:t>
      </w:r>
      <w:r>
        <w:rPr>
          <w:rFonts w:cs="Times New Roman"/>
        </w:rPr>
        <w:lastRenderedPageBreak/>
        <w:t>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 xml:space="preserve">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w:t>
      </w:r>
      <w:r>
        <w:rPr>
          <w:rFonts w:cs="Times New Roman"/>
          <w:color w:val="111827"/>
        </w:rPr>
        <w:lastRenderedPageBreak/>
        <w:t>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 xml:space="preserve">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w:t>
      </w:r>
      <w:r>
        <w:rPr>
          <w:rFonts w:cs="Times New Roman"/>
        </w:rPr>
        <w:lastRenderedPageBreak/>
        <w:t>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lastRenderedPageBreak/>
        <w:t>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t>
      </w:r>
      <w:r>
        <w:rPr>
          <w:rFonts w:cs="Times New Roman"/>
          <w:color w:val="111827"/>
        </w:rPr>
        <w:lastRenderedPageBreak/>
        <w:t>weighing current 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precision. The relevant variables are: (1) the magnitude of the protective function and the population dependent on it, (2) the realistic availability of alternative </w:t>
      </w:r>
      <w:r>
        <w:rPr>
          <w:rFonts w:cs="Times New Roman"/>
          <w:i/>
          <w:iCs/>
          <w:color w:val="333333"/>
          <w:sz w:val="22"/>
          <w:szCs w:val="22"/>
        </w:rPr>
        <w:lastRenderedPageBreak/>
        <w:t>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w:t>
      </w:r>
      <w:r>
        <w:rPr>
          <w:rFonts w:cs="Times New Roman"/>
          <w:i/>
          <w:iCs/>
          <w:color w:val="333333"/>
          <w:sz w:val="22"/>
          <w:szCs w:val="22"/>
        </w:rPr>
        <w:lastRenderedPageBreak/>
        <w:t>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w:t>
      </w:r>
      <w:r>
        <w:rPr>
          <w:rFonts w:cs="Times New Roman"/>
          <w:color w:val="111827"/>
        </w:rPr>
        <w:lastRenderedPageBreak/>
        <w:t>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actors who benefit from them. The safety of public space depends on a </w:t>
      </w:r>
      <w:r>
        <w:rPr>
          <w:rFonts w:cs="Times New Roman"/>
        </w:rPr>
        <w:lastRenderedPageBreak/>
        <w:t>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adaptive response capacity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w:t>
      </w:r>
      <w:r>
        <w:rPr>
          <w:rFonts w:cs="Times New Roman"/>
          <w:i/>
          <w:iCs/>
          <w:color w:val="7B3F3F"/>
          <w:sz w:val="22"/>
          <w:szCs w:val="22"/>
        </w:rPr>
        <w:lastRenderedPageBreak/>
        <w:t>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w:t>
      </w:r>
      <w:r>
        <w:rPr>
          <w:rFonts w:cs="Times New Roman"/>
          <w:i/>
          <w:iCs/>
          <w:color w:val="333333"/>
          <w:sz w:val="22"/>
          <w:szCs w:val="22"/>
        </w:rPr>
        <w:lastRenderedPageBreak/>
        <w:t>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XIII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XIII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Before the formulas: what they cannot do. These limits are part of the theory, not caveats appended to protect it. First: the formulas predict structural tendency and </w:t>
      </w:r>
      <w:r>
        <w:rPr>
          <w:rFonts w:cs="Times New Roman"/>
          <w:i/>
          <w:iCs/>
          <w:color w:val="333333"/>
          <w:sz w:val="22"/>
          <w:szCs w:val="22"/>
        </w:rPr>
        <w:lastRenderedPageBreak/>
        <w:t>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lastRenderedPageBreak/>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w:t>
      </w:r>
      <w:r>
        <w:rPr>
          <w:rFonts w:cs="Times New Roman"/>
          <w:color w:val="111827"/>
        </w:rPr>
        <w:lastRenderedPageBreak/>
        <w:t>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lastRenderedPageBreak/>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A process that strengthens itself. Economic growth that produces investment that produces more growth. Legitimacy erosion that produces institutional failure that produces more legitimacy erosion. Positive feedback loops are the mechanism of 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 xml:space="preserve">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w:t>
      </w:r>
      <w:r>
        <w:rPr>
          <w:rFonts w:cs="Times New Roman"/>
        </w:rPr>
        <w:lastRenderedPageBreak/>
        <w:t>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Emergence also means that interventions at the component level have unpredictable effects at the system level. A policy that changes individual incentives in predictable ways may produce emergent system-level consequences that no model of individual behavior 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lastRenderedPageBreak/>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lastRenderedPageBreak/>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lastRenderedPageBreak/>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anti-foreclosure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The evaluative foundation: reduce unnecessary suffering (structural, imposed, preventable, disfunctional). The minimal anchor is a floor criterion only. It does 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w:t>
      </w:r>
      <w:r>
        <w:rPr>
          <w:rFonts w:cs="Times New Roman"/>
          <w:i/>
          <w:iCs/>
          <w:color w:val="7B3F3F"/>
          <w:sz w:val="22"/>
          <w:szCs w:val="22"/>
        </w:rPr>
        <w:lastRenderedPageBreak/>
        <w:t>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w:t>
      </w:r>
      <w:r>
        <w:rPr>
          <w:rFonts w:cs="Times New Roman"/>
          <w:b/>
          <w:bCs/>
          <w:sz w:val="28"/>
          <w:szCs w:val="28"/>
        </w:rPr>
        <w:lastRenderedPageBreak/>
        <w:t>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Applied Cases: Section 15.14 demonstrates this formula applied to three historical cases </w:t>
      </w:r>
      <w:r>
        <w:rPr>
          <w:i/>
          <w:iCs/>
          <w:color w:val="1E3A5F"/>
          <w:sz w:val="20"/>
          <w:szCs w:val="20"/>
        </w:rPr>
        <w:t>—</w:t>
      </w:r>
      <w:r>
        <w:rPr>
          <w:rFonts w:cs="Times New Roman"/>
          <w:i/>
          <w:iCs/>
          <w:color w:val="1E3A5F"/>
          <w:sz w:val="20"/>
          <w:szCs w:val="20"/>
        </w:rPr>
        <w:t xml:space="preserve"> Tunisia 2011, Belarus 2020, and Argentina </w:t>
      </w:r>
      <w:r>
        <w:rPr>
          <w:i/>
          <w:iCs/>
          <w:color w:val="1E3A5F"/>
          <w:sz w:val="20"/>
          <w:szCs w:val="20"/>
        </w:rPr>
        <w:t>—</w:t>
      </w:r>
      <w:r>
        <w:rPr>
          <w:rFonts w:cs="Times New Roman"/>
          <w:i/>
          <w:iCs/>
          <w:color w:val="1E3A5F"/>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lastRenderedPageBreak/>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 xml:space="preserve">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w:t>
      </w:r>
      <w:r>
        <w:rPr>
          <w:rFonts w:cs="Times New Roman"/>
        </w:rPr>
        <w:lastRenderedPageBreak/>
        <w:t>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 xml:space="preserve">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w:t>
      </w:r>
      <w:r>
        <w:rPr>
          <w:rFonts w:cs="Times New Roman"/>
          <w:color w:val="111827"/>
        </w:rPr>
        <w:lastRenderedPageBreak/>
        <w:t>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 xml:space="preserve">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w:t>
      </w:r>
      <w:r>
        <w:rPr>
          <w:rFonts w:cs="Times New Roman"/>
          <w:color w:val="111827"/>
        </w:rPr>
        <w:lastRenderedPageBreak/>
        <w:t>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Elite cohesion (E):  </w:t>
      </w:r>
      <w:r>
        <w:rPr>
          <w:rFonts w:cs="Times New Roman"/>
          <w:color w:val="111827"/>
        </w:rPr>
        <w:t>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w:t>
      </w:r>
      <w:r>
        <w:rPr>
          <w:rFonts w:cs="Times New Roman"/>
          <w:i/>
          <w:iCs/>
          <w:color w:val="7B3F3F"/>
          <w:sz w:val="22"/>
          <w:szCs w:val="22"/>
        </w:rPr>
        <w:lastRenderedPageBreak/>
        <w:t>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 xml:space="preserve">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w:t>
      </w:r>
      <w:r>
        <w:rPr>
          <w:rFonts w:cs="Times New Roman"/>
          <w:color w:val="111827"/>
        </w:rPr>
        <w:lastRenderedPageBreak/>
        <w:t>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w:t>
      </w:r>
      <w:r>
        <w:rPr>
          <w:rFonts w:cs="Times New Roman"/>
          <w:color w:val="111827"/>
        </w:rPr>
        <w:lastRenderedPageBreak/>
        <w:t>experience the system as producing conditions they value — economic security, physical safety, social stability — 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t>
      </w:r>
      <w:r>
        <w:rPr>
          <w:rFonts w:cs="Times New Roman"/>
        </w:rPr>
        <w:lastRenderedPageBreak/>
        <w:t>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 xml:space="preserve">The formula multiplies its primary variables rather than adding them because the political effectiveness of counter-power requires all four components to be meaningfully present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w:t>
      </w:r>
      <w:r>
        <w:rPr>
          <w:rFonts w:cs="Times New Roman"/>
          <w:color w:val="111827"/>
        </w:rPr>
        <w:lastRenderedPageBreak/>
        <w:t>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 xml:space="preserve">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w:t>
      </w:r>
      <w:r>
        <w:rPr>
          <w:rFonts w:cs="Times New Roman"/>
          <w:color w:val="111827"/>
        </w:rPr>
        <w:lastRenderedPageBreak/>
        <w:t>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Power shifts between states are predictable at the structural level when growth differentials compound over time and existing institutional arrangements reflect the previous 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w:t>
      </w:r>
      <w:r>
        <w:rPr>
          <w:rFonts w:cs="Times New Roman"/>
        </w:rPr>
        <w:lastRenderedPageBreak/>
        <w:t>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 xml:space="preserve">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w:t>
      </w:r>
      <w:r>
        <w:rPr>
          <w:rFonts w:cs="Times New Roman"/>
          <w:color w:val="111827"/>
        </w:rPr>
        <w:lastRenderedPageBreak/>
        <w:t>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lastRenderedPageBreak/>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w:t>
      </w:r>
      <w:r>
        <w:rPr>
          <w:rFonts w:cs="Times New Roman"/>
          <w:color w:val="111827"/>
        </w:rPr>
        <w:lastRenderedPageBreak/>
        <w:t>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remains possible when adaptive response capacity is preserved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lastRenderedPageBreak/>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lastRenderedPageBreak/>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 xml:space="preserve">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w:t>
      </w:r>
      <w:r>
        <w:rPr>
          <w:rFonts w:cs="Times New Roman"/>
          <w:color w:val="111827"/>
        </w:rPr>
        <w:lastRenderedPageBreak/>
        <w:t>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The formula architecture operates at the evaluative level — it tracks structural suffering (S) and its consequences for transformation pressure (T). It does not operate at the ontological level. This means the formulas are silent about what life generates in the absence of suffering, about what the anti-foreclosure criterion requires, and about what institutional arrangements would maximize adaptive response capacity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anti-foreclosure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 xml:space="preserve">Every formula in Part XV tracks variables that register the floor criterion: suffering accumulation, legitimacy depletion, adaptive capacity failure, counter-power capacity. No formula tracks the anti-foreclosure criterion — the expansion of adaptive response capacity — because adaptive response capacity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anti-foreclosure criterion. Analysts who use the </w:t>
      </w:r>
      <w:r>
        <w:rPr>
          <w:rFonts w:cs="Times New Roman"/>
          <w:color w:val="111827"/>
        </w:rPr>
        <w:lastRenderedPageBreak/>
        <w:t>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Tunisia in late 2010 is the paradigmatic case for applying the transformation pressure formula because the outcome — rapid regime transition — was broadly unexpected, including by regional specialists who observed similar conditions in neighboring states 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floor/anti-foreclosure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w:t>
      </w:r>
      <w:r>
        <w:rPr>
          <w:rFonts w:cs="Times New Roman"/>
          <w:color w:val="111827"/>
        </w:rPr>
        <w:lastRenderedPageBreak/>
        <w:t>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Indonesia case diagnostic: the formula correctly predicts high threshold proximity from the variable configuration — high S (with V suppressing visible severity), low C (systematic dismantling of adaptive institutions), declining Rc (enforcement loyalty 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 xml:space="preserve">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w:t>
      </w:r>
      <w:r>
        <w:rPr>
          <w:rFonts w:cs="Times New Roman"/>
        </w:rPr>
        <w:lastRenderedPageBreak/>
        <w:t>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 xml:space="preserve">Institutions created to solve problems consistently drift toward serving the interests of those with the resources to influence </w:t>
      </w:r>
      <w:r>
        <w:rPr>
          <w:rFonts w:cs="Times New Roman"/>
        </w:rPr>
        <w:lastRenderedPageBreak/>
        <w:t>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anti-foreclosure criterion.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political and social outcomes depending on the institutional context in which it is introduced, and historical cases where the introduction of a major technology did </w:t>
      </w:r>
      <w:r>
        <w:rPr>
          <w:rFonts w:cs="Times New Roman"/>
          <w:color w:val="111827"/>
        </w:rPr>
        <w:lastRenderedPageBreak/>
        <w:t>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w:t>
      </w:r>
      <w:r>
        <w:rPr>
          <w:rFonts w:cs="Times New Roman"/>
          <w:color w:val="111827"/>
        </w:rPr>
        <w:lastRenderedPageBreak/>
        <w:t>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 xml:space="preserve">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w:t>
      </w:r>
      <w:r>
        <w:rPr>
          <w:rFonts w:cs="Times New Roman"/>
          <w:color w:val="111827"/>
        </w:rPr>
        <w:lastRenderedPageBreak/>
        <w:t>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 xml:space="preserve">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w:t>
      </w:r>
      <w:r>
        <w:rPr>
          <w:rFonts w:cs="Times New Roman"/>
        </w:rPr>
        <w:lastRenderedPageBreak/>
        <w:t>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adaptive response capacity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 xml:space="preserve">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w:t>
      </w:r>
      <w:r>
        <w:rPr>
          <w:rFonts w:cs="Times New Roman"/>
          <w:color w:val="111827"/>
        </w:rPr>
        <w:lastRenderedPageBreak/>
        <w:t>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w:t>
      </w:r>
      <w:r>
        <w:rPr>
          <w:rFonts w:cs="Times New Roman"/>
          <w:i/>
          <w:iCs/>
          <w:color w:val="333333"/>
          <w:sz w:val="22"/>
          <w:szCs w:val="22"/>
        </w:rPr>
        <w:lastRenderedPageBreak/>
        <w:t>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t>
      </w:r>
      <w:r>
        <w:rPr>
          <w:rFonts w:cs="Times New Roman"/>
          <w:color w:val="111827"/>
        </w:rPr>
        <w:lastRenderedPageBreak/>
        <w:t>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w:t>
      </w:r>
      <w:r>
        <w:rPr>
          <w:rFonts w:cs="Times New Roman"/>
          <w:i/>
          <w:iCs/>
          <w:color w:val="7B3F3F"/>
          <w:sz w:val="22"/>
          <w:szCs w:val="22"/>
        </w:rPr>
        <w:lastRenderedPageBreak/>
        <w:t>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 xml:space="preserve">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w:t>
      </w:r>
      <w:r>
        <w:rPr>
          <w:rFonts w:cs="Times New Roman"/>
        </w:rPr>
        <w:lastRenderedPageBreak/>
        <w:t>—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 xml:space="preserve">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w:t>
      </w:r>
      <w:r>
        <w:rPr>
          <w:rFonts w:cs="Times New Roman"/>
          <w:color w:val="111827"/>
        </w:rPr>
        <w:lastRenderedPageBreak/>
        <w:t>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adaptive response capacity, and the framework’s evaluation </w:t>
      </w:r>
      <w:r>
        <w:rPr>
          <w:rFonts w:cs="Times New Roman"/>
          <w:color w:val="111827"/>
        </w:rPr>
        <w:lastRenderedPageBreak/>
        <w:t>is applied to the projected endpoint rather than to the actual conditions of the populations bearing the current cost.</w:t>
      </w:r>
    </w:p>
    <w:p w14:paraId="1E164004" w14:textId="77777777" w:rsidR="00197421" w:rsidRPr="006048FC" w:rsidRDefault="00000000">
      <w:pPr>
        <w:spacing w:after="220" w:line="280" w:lineRule="exact"/>
        <w:jc w:val="both"/>
        <w:rPr>
          <w:rFonts w:cs="Times New Roman"/>
          <w:sz w:val="28"/>
          <w:szCs w:val="28"/>
        </w:rPr>
      </w:pPr>
      <w:r>
        <w:rPr>
          <w:rFonts w:cs="Times New Roman"/>
          <w:color w:val="111827"/>
        </w:rPr>
        <w:t>The anti-foreclosure criterion sharpens this critique. The accelerationist deployment model does not merely impose present floor violations while promising future conditions — it forecloses the adaptive response capacity of the populations bearing the current cost. Mass displacement from stable employment destroys the organizational infrastructure through which affected populations would otherwise be able to respond collectively to the disruption: the unions, professional associations, community structures, and institutional relationships that constitute response capacity. The transition imposed by e/acc therefore produces two simultaneous violations: an immediate floor failure (unnecessary suffering now, preventable through different deployment choices) and an anti-foreclosure failure (destruction of the response capacity that would enable affected populations to manage the disruption). The claim that future generations will benefit does not resolve either violation, because (1) the populations bearing the cost are largely not the populations receiving the benefit, (2) no consent mechanism authorized that distribution, and (3) foreclosed response capacity cannot be restored by later abundance.</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w:t>
      </w:r>
      <w:r>
        <w:rPr>
          <w:rFonts w:cs="Times New Roman"/>
        </w:rPr>
        <w:lastRenderedPageBreak/>
        <w:t>commercial surrogacy, embryo storage and selection — which constitute a sector where biological processes previously outside market logic have been progressively brought within it, with 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 xml:space="preserve">The global care chain analysis (8.2, 11.0 diagnostic 7) extends to reproductive technology in a form that makes the extraction mechanism legible: high-income households </w:t>
      </w:r>
      <w:r>
        <w:rPr>
          <w:rFonts w:cs="Times New Roman"/>
        </w:rPr>
        <w:lastRenderedPageBreak/>
        <w:t>externalize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w:t>
      </w:r>
      <w:r>
        <w:rPr>
          <w:rFonts w:cs="Times New Roman"/>
          <w:color w:val="111827"/>
        </w:rPr>
        <w:lastRenderedPageBreak/>
        <w:t>XVII — 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in application; and the transmission analysis specifies what is re</w:t>
      </w:r>
      <w:r>
        <w:rPr>
          <w:rFonts w:cs="Times New Roman"/>
          <w:i/>
          <w:iCs/>
          <w:color w:val="333333"/>
          <w:sz w:val="22"/>
          <w:szCs w:val="22"/>
        </w:rPr>
        <w:lastRenderedPageBreak/>
        <w:t>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The pattern this case illustrates is not unique to Prohibition. It is the pattern of any intervention that is morally coherent but structurally naive — that correctly identifies a harm and incorrectly models the causal pathway through which eliminating the immediate 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w:t>
      </w:r>
      <w:r>
        <w:rPr>
          <w:rFonts w:cs="Times New Roman"/>
          <w:color w:val="111827"/>
        </w:rPr>
        <w:lastRenderedPageBreak/>
        <w:t>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This sequence did not require corrupt leadership or ideological sellout. It required only that institutional survival constraints consistently shaped decisions over long periods. The actors who drifted were in most cases sincere — they believed they were making the 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 xml:space="preserve">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w:t>
      </w:r>
      <w:r>
        <w:rPr>
          <w:rFonts w:cs="Times New Roman"/>
          <w:color w:val="111827"/>
        </w:rPr>
        <w:lastRenderedPageBreak/>
        <w:t>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w:t>
      </w:r>
      <w:r>
        <w:rPr>
          <w:rFonts w:cs="Times New Roman"/>
          <w:color w:val="111827"/>
        </w:rPr>
        <w:lastRenderedPageBreak/>
        <w:t>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 xml:space="preserve">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w:t>
      </w:r>
      <w:r>
        <w:rPr>
          <w:rFonts w:cs="Times New Roman"/>
          <w:color w:val="111827"/>
        </w:rPr>
        <w:lastRenderedPageBreak/>
        <w:t>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The cases where formal land redistribution did not produce genuine redistributive outcomes share a structural feature: the legal change in ownership was introduced without the institutional infrastructure that 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PMN diagnostic applied: the land reform pattern illustrates what 7.3 identifies as the custodian problem at the implementation level. The state actors responsible for </w:t>
      </w:r>
      <w:r>
        <w:rPr>
          <w:rFonts w:cs="Times New Roman"/>
          <w:color w:val="111827"/>
        </w:rPr>
        <w:lastRenderedPageBreak/>
        <w:t>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The revolutionary capture pattern has been explained as a product of specific leaders' authoritarian 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w:t>
      </w:r>
      <w:r>
        <w:rPr>
          <w:rFonts w:cs="Times New Roman"/>
        </w:rPr>
        <w:lastRenderedPageBreak/>
        <w:t>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 xml:space="preserve">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w:t>
      </w:r>
      <w:r>
        <w:rPr>
          <w:rFonts w:cs="Times New Roman"/>
        </w:rPr>
        <w:lastRenderedPageBreak/>
        <w:t>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w:t>
      </w:r>
      <w:r>
        <w:rPr>
          <w:rFonts w:cs="Times New Roman"/>
          <w:color w:val="111827"/>
        </w:rPr>
        <w:lastRenderedPageBreak/>
        <w:t>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Three conditions indicate that working inside an institution is serving its function: (1) The institution is producing material outcomes that move in the direction of the minimal anchor — it is reducing unnecessary suffering or preserving adaptive response capacity for affected populations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remains possible when adaptive response capacity is preserved.</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w:t>
      </w:r>
      <w:r>
        <w:rPr>
          <w:rFonts w:cs="Times New Roman"/>
          <w:color w:val="111827"/>
        </w:rPr>
        <w:lastRenderedPageBreak/>
        <w:t>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w:t>
      </w:r>
      <w:r>
        <w:rPr>
          <w:rFonts w:cs="Times New Roman"/>
          <w:i/>
          <w:iCs/>
          <w:color w:val="7B3F3F"/>
          <w:sz w:val="22"/>
          <w:szCs w:val="22"/>
        </w:rPr>
        <w:lastRenderedPageBreak/>
        <w:t>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w:t>
      </w:r>
      <w:r>
        <w:rPr>
          <w:rFonts w:cs="Times New Roman"/>
          <w:color w:val="111827"/>
        </w:rPr>
        <w:lastRenderedPageBreak/>
        <w:t>demand unavoidable: a framework that updates based on evidence must be held by people who can update based on evidence about their own positions. That capacity is not automatic. It 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credibility problem:  </w:t>
      </w:r>
      <w:r>
        <w:rPr>
          <w:rFonts w:cs="Times New Roman"/>
          <w:color w:val="111827"/>
        </w:rPr>
        <w:t xml:space="preserve">Structural analysis that is presented as obviously correct — as what any honest analyst would conclude — produces resistance rather </w:t>
      </w:r>
      <w:r>
        <w:rPr>
          <w:rFonts w:cs="Times New Roman"/>
          <w:color w:val="111827"/>
        </w:rPr>
        <w:lastRenderedPageBreak/>
        <w:t>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t>
      </w:r>
      <w:r>
        <w:rPr>
          <w:rFonts w:cs="Times New Roman"/>
          <w:color w:val="111827"/>
        </w:rPr>
        <w:lastRenderedPageBreak/>
        <w:t>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 xml:space="preserve">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w:t>
      </w:r>
      <w:r>
        <w:rPr>
          <w:rFonts w:cs="Times New Roman"/>
          <w:color w:val="111827"/>
        </w:rPr>
        <w:lastRenderedPageBreak/>
        <w:t>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1E143002" w14:textId="77777777" w:rsidR="00197421" w:rsidRPr="006048FC" w:rsidRDefault="00000000">
      <w:pPr>
        <w:spacing w:after="220" w:line="280" w:lineRule="exact"/>
        <w:jc w:val="both"/>
        <w:rPr>
          <w:rFonts w:cs="Times New Roman"/>
          <w:sz w:val="28"/>
          <w:szCs w:val="28"/>
        </w:rPr>
      </w:pPr>
      <w:r>
        <w:rPr>
          <w:rFonts w:cs="Times New Roman"/>
          <w:color w:val="111827"/>
        </w:rPr>
        <w:t>This Part is positioned last for a specific reason: its self-assessment of the framework is most credible after the full argument has been read, not before it. Part XIV states the framework’s methodology (14.1), its current doctrinal positions across major domains (14.2), what it has demonstrated versus what it assumes versus what it does not know (14.3), the conditions under which it would be surpassed rather than merely revised (14.4), and the institutional requirements for transmitting it without capturing it (14.5–6). The positions in 14.2 are conditional and temporal — the current best reading given current evidence, not permanent commitments. They are held at the level of Tier 3 empirical-hypothetical assumptions (14.3) except where marked otherwise. Part XIV is updated as the framework develops. It is not a conclusion. It is a current position.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 xml:space="preserve">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w:t>
      </w:r>
      <w:r>
        <w:rPr>
          <w:rFonts w:cs="Times New Roman"/>
        </w:rPr>
        <w:lastRenderedPageBreak/>
        <w:t>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ada framework, and from the Confucian Tianming (Mandate 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w:t>
      </w:r>
      <w:r>
        <w:rPr>
          <w:rFonts w:cs="Times New Roman"/>
          <w:color w:val="111827"/>
        </w:rPr>
        <w:lastRenderedPageBreak/>
        <w:t>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 label is descriptive rather than programmatic: Adaptive Naturalism describes what the framework does — it adapts its conclusions in response to new evidence while treating naturalist assumptions about the embeddedness of human beings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preserved adaptive response capacity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1E140012"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Parts XV–XVII — which the reader has now encountered in full — sharpen the doctrinal positions above in three specific ways. First, the formula architecture of Part XV operationalizes these positions as a variable set: structural tendency analysis makes explicit which variables drive each domain’s dynamics and exposes them to structured comparison. An analyst who disagrees with a doctrinal position stated above has a specific target: identify which variable relationship in the formula architecture embeds the disagreement and what evidence would change it. Second, the technology analysis of Part XVI is now integral to the doctrinal position on political economy and international order. AI as an institutional form, algorithmic governance as advanced V operating through the ideology of objectivity, and semiconductor control as leverage-point capture at the interstate level are not peripheral developments — they are the primary mechanisms through which the structural dynamics this document analyzes are currently operating at scale. Any doctrinal position on political economy or institutions that does not account for these mechanisms is already partial. Third, the historical </w:t>
      </w:r>
      <w:r>
        <w:rPr>
          <w:rFonts w:cs="Times New Roman"/>
          <w:color w:val="111827"/>
        </w:rPr>
        <w:lastRenderedPageBreak/>
        <w:t>cases and individual-level demands of Part XVII establish the empirical and practical floor for the positions stated above. The labour movement case demonstrates at scale the capture dynamic the political economy position is designed to prevent. The individual-level demands (17.5–17.7) apply the same diagnostic rigor to the analyst who holds the framework as the framework applies to institutions. The doctrinal positions stated here are held with that requirement in view.</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lastRenderedPageBreak/>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adaptive response capacity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lastRenderedPageBreak/>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1E143001" w14:textId="77777777" w:rsidR="00197421" w:rsidRPr="006048FC" w:rsidRDefault="00000000">
      <w:pPr>
        <w:spacing w:after="220" w:line="280" w:lineRule="exact"/>
        <w:jc w:val="both"/>
        <w:rPr>
          <w:rFonts w:cs="Times New Roman"/>
          <w:sz w:val="28"/>
          <w:szCs w:val="28"/>
        </w:rPr>
      </w:pPr>
      <w:r>
        <w:rPr>
          <w:rFonts w:cs="Times New Roman"/>
          <w:color w:val="111827"/>
        </w:rPr>
        <w:t>The above lists state the three categories in compressed form. What follows elaborates each category with the specificity the framework’s epistemological standards require — specifying not just what falls in each category but why it falls there, and what would move an item between categories.</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institutional arrangements systematically produce outcomes that were not intended and could not be predicted from the intentions of the actors who designed </w:t>
      </w:r>
      <w:r>
        <w:rPr>
          <w:rFonts w:cs="Times New Roman"/>
          <w:color w:val="111827"/>
        </w:rPr>
        <w:lastRenderedPageBreak/>
        <w:t>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That the impersonal-ground reading of necessary being (2.3) resolves the Epicurean paradox by dissolving its central presupposition — that the source level has personal agency —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the anti-foreclosure criterion as its temporal extension (what the framework calls ‘becoming’ is the floor criterion applied temporally)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w:t>
      </w:r>
      <w:r>
        <w:rPr>
          <w:rFonts w:cs="Times New Roman"/>
          <w:color w:val="111827"/>
        </w:rPr>
        <w:lastRenderedPageBreak/>
        <w:t>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the anti-foreclosure criterion as its temporal extension (shorthand: ‘becoming’ — understood as what the floor criterion requires when applied across time, not as an independent positive aspiration)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w:t>
      </w:r>
      <w:r>
        <w:rPr>
          <w:rFonts w:cs="Times New Roman"/>
          <w:i/>
          <w:iCs/>
          <w:color w:val="7B3F3F"/>
          <w:sz w:val="22"/>
          <w:szCs w:val="22"/>
        </w:rPr>
        <w:lastRenderedPageBreak/>
        <w:t>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 xml:space="preserve">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t>
      </w:r>
      <w:r>
        <w:rPr>
          <w:rFonts w:cs="Times New Roman"/>
        </w:rPr>
        <w:lastRenderedPageBreak/>
        <w:t>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w:t>
      </w:r>
      <w:r>
        <w:rPr>
          <w:rFonts w:cs="Times New Roman"/>
          <w:color w:val="111827"/>
        </w:rPr>
        <w:lastRenderedPageBreak/>
        <w:t>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w:t>
      </w:r>
      <w:r>
        <w:rPr>
          <w:rFonts w:cs="Times New Roman"/>
          <w:i/>
          <w:iCs/>
          <w:color w:val="7B3F3F"/>
          <w:sz w:val="22"/>
          <w:szCs w:val="22"/>
        </w:rPr>
        <w:lastRenderedPageBreak/>
        <w:t>(2)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w:t>
      </w:r>
      <w:r>
        <w:rPr>
          <w:rFonts w:cs="Times New Roman"/>
        </w:rPr>
        <w:lastRenderedPageBreak/>
        <w:t>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 xml:space="preserve">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t>
      </w:r>
      <w:r>
        <w:rPr>
          <w:rFonts w:cs="Times New Roman"/>
        </w:rPr>
        <w:lastRenderedPageBreak/>
        <w:t>with institutional interests in that community’s continuation — interests that can diverge from the framework’s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maintain a designated function — with genuine resources and </w:t>
      </w:r>
      <w:r>
        <w:rPr>
          <w:rFonts w:cs="Times New Roman"/>
        </w:rPr>
        <w:lastRenderedPageBreak/>
        <w:t>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327BA83E" w14:textId="77777777" w:rsidR="00197421" w:rsidRPr="00CB724A" w:rsidRDefault="00000000">
      <w:pPr>
        <w:spacing w:before="280" w:after="60"/>
        <w:jc w:val="both"/>
        <w:rPr>
          <w:rFonts w:cs="Times New Roman"/>
        </w:rPr>
      </w:pPr>
      <w:r w:rsidRPr="00CB724A">
        <w:rPr>
          <w:rFonts w:cs="Times New Roman"/>
          <w:b/>
          <w:bCs/>
        </w:rPr>
        <w:t>B.R. Ambedkar</w:t>
      </w:r>
      <w:r w:rsidRPr="00CB724A">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77FF7249" w14:textId="77777777" w:rsidR="00CB724A" w:rsidRDefault="00000000" w:rsidP="00CB724A">
      <w:pPr>
        <w:spacing w:before="280" w:after="60"/>
        <w:jc w:val="both"/>
        <w:rPr>
          <w:rFonts w:cs="Times New Roman"/>
        </w:rPr>
      </w:pPr>
      <w:r w:rsidRPr="00CB724A">
        <w:rPr>
          <w:rFonts w:cs="Times New Roman"/>
          <w:b/>
          <w:bCs/>
        </w:rPr>
        <w:t>Thomas Aquinas (1225–1274)</w:t>
      </w:r>
      <w:r w:rsidRPr="00CB724A">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0D53D2BB" w14:textId="24DE1CB1" w:rsidR="00197421" w:rsidRPr="00CB724A" w:rsidRDefault="00000000" w:rsidP="00CB724A">
      <w:pPr>
        <w:spacing w:before="280" w:after="60"/>
        <w:jc w:val="both"/>
        <w:rPr>
          <w:rFonts w:cs="Times New Roman"/>
        </w:rPr>
      </w:pPr>
      <w:r w:rsidRPr="00CB724A">
        <w:rPr>
          <w:rFonts w:cs="Times New Roman"/>
          <w:b/>
          <w:bCs/>
        </w:rPr>
        <w:t xml:space="preserve">Giovanni Arrighi </w:t>
      </w:r>
      <w:r w:rsidRPr="00CB724A">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2470A808" w14:textId="77777777" w:rsidR="00CB724A" w:rsidRDefault="00000000" w:rsidP="00CB724A">
      <w:pPr>
        <w:spacing w:before="280" w:after="60"/>
        <w:jc w:val="both"/>
        <w:rPr>
          <w:rFonts w:cs="Times New Roman"/>
        </w:rPr>
      </w:pPr>
      <w:r w:rsidRPr="00CB724A">
        <w:rPr>
          <w:rFonts w:cs="Times New Roman"/>
          <w:b/>
          <w:bCs/>
        </w:rPr>
        <w:t>Ali Shari</w:t>
      </w:r>
      <w:r w:rsidRPr="00CB724A">
        <w:rPr>
          <w:rFonts w:ascii="Times New Roman" w:hAnsi="Times New Roman" w:cs="Times New Roman"/>
          <w:b/>
          <w:bCs/>
        </w:rPr>
        <w:t>ʻ</w:t>
      </w:r>
      <w:r w:rsidRPr="00CB724A">
        <w:rPr>
          <w:rFonts w:cs="Times New Roman"/>
          <w:b/>
          <w:bCs/>
        </w:rPr>
        <w:t>ati (1933</w:t>
      </w:r>
      <w:r w:rsidRPr="00CB724A">
        <w:rPr>
          <w:rFonts w:cs="Garamond"/>
          <w:b/>
          <w:bCs/>
        </w:rPr>
        <w:t>–</w:t>
      </w:r>
      <w:r w:rsidRPr="00CB724A">
        <w:rPr>
          <w:rFonts w:cs="Times New Roman"/>
          <w:b/>
          <w:bCs/>
        </w:rPr>
        <w:t xml:space="preserve">1977) </w:t>
      </w:r>
      <w:r w:rsidRPr="00CB724A">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358E32BC" w14:textId="77777777" w:rsidR="00842536" w:rsidRDefault="00000000" w:rsidP="00842536">
      <w:pPr>
        <w:spacing w:before="280" w:after="60"/>
        <w:jc w:val="both"/>
        <w:rPr>
          <w:rFonts w:cs="Times New Roman"/>
        </w:rPr>
      </w:pPr>
      <w:r w:rsidRPr="00CB724A">
        <w:rPr>
          <w:rFonts w:cs="Times New Roman"/>
          <w:b/>
          <w:bCs/>
        </w:rPr>
        <w:t xml:space="preserve">Pierre Bourdieu (1930–2002) </w:t>
      </w:r>
      <w:r w:rsidRPr="00CB724A">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what counts as legitimate action is itself a product of the field’s history rather than a neutral standard; for symbolic violence as the specific mechanism through which V suppression operates without requiring conscious intent </w:t>
      </w:r>
      <w:r w:rsidRPr="00CB724A">
        <w:rPr>
          <w:rFonts w:cs="Times New Roman"/>
        </w:rPr>
        <w:lastRenderedPageBreak/>
        <w:t>—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02583772" w14:textId="24178676" w:rsidR="00197421" w:rsidRPr="00CB724A" w:rsidRDefault="00000000" w:rsidP="00842536">
      <w:pPr>
        <w:spacing w:before="280" w:after="60"/>
        <w:jc w:val="both"/>
        <w:rPr>
          <w:rFonts w:cs="Times New Roman"/>
        </w:rPr>
      </w:pPr>
      <w:r w:rsidRPr="00CB724A">
        <w:rPr>
          <w:rFonts w:cs="Times New Roman"/>
          <w:b/>
          <w:bCs/>
        </w:rPr>
        <w:t xml:space="preserve">Ha-Joon Chang </w:t>
      </w:r>
      <w:r w:rsidRPr="00CB724A">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4FEE9E2B" w14:textId="77777777" w:rsidR="00CB724A" w:rsidRDefault="00000000" w:rsidP="00CB724A">
      <w:pPr>
        <w:spacing w:before="280" w:after="60"/>
        <w:jc w:val="both"/>
        <w:rPr>
          <w:rFonts w:cs="Times New Roman"/>
        </w:rPr>
      </w:pPr>
      <w:r w:rsidRPr="00CB724A">
        <w:rPr>
          <w:rFonts w:cs="Times New Roman"/>
          <w:b/>
          <w:bCs/>
        </w:rPr>
        <w:t>Al-Farabi (872–950 CE)</w:t>
      </w:r>
      <w:r w:rsidRPr="00CB724A">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sidRPr="00CB724A">
        <w:rPr>
          <w:rFonts w:ascii="Times New Roman" w:hAnsi="Times New Roman" w:cs="Times New Roman"/>
        </w:rPr>
        <w:t>ʼ</w:t>
      </w:r>
      <w:r w:rsidRPr="00CB724A">
        <w:rPr>
          <w:rFonts w:cs="Times New Roman"/>
        </w:rPr>
        <w:t>is theory as an attempt to resolve the analytical capacity/contextual judgment tension in governance that PMN</w:t>
      </w:r>
      <w:r w:rsidRPr="00CB724A">
        <w:rPr>
          <w:rFonts w:cs="Garamond"/>
        </w:rPr>
        <w:t>’</w:t>
      </w:r>
      <w:r w:rsidRPr="00CB724A">
        <w:rPr>
          <w:rFonts w:cs="Times New Roman"/>
        </w:rPr>
        <w:t>s anti-technocratic guardrail addresses without fully resolving. Ibn Rushd (Averroes, 1126</w:t>
      </w:r>
      <w:r w:rsidRPr="00CB724A">
        <w:rPr>
          <w:rFonts w:cs="Garamond"/>
        </w:rPr>
        <w:t>–</w:t>
      </w:r>
      <w:r w:rsidRPr="00CB724A">
        <w:rPr>
          <w:rFonts w:cs="Times New Roman"/>
        </w:rPr>
        <w:t xml:space="preserve">1198) </w:t>
      </w:r>
      <w:r w:rsidRPr="00CB724A">
        <w:rPr>
          <w:rFonts w:cs="Garamond"/>
        </w:rPr>
        <w:t>—</w:t>
      </w:r>
      <w:r w:rsidRPr="00CB724A">
        <w:rPr>
          <w:rFonts w:cs="Times New Roman"/>
        </w:rPr>
        <w:t xml:space="preserve"> for the defense of philosophical reasoning against theological authority as a historical precedent for PMN</w:t>
      </w:r>
      <w:r w:rsidRPr="00CB724A">
        <w:rPr>
          <w:rFonts w:cs="Garamond"/>
        </w:rPr>
        <w:t>’</w:t>
      </w:r>
      <w:r w:rsidRPr="00CB724A">
        <w:rPr>
          <w:rFonts w:cs="Times New Roman"/>
        </w:rPr>
        <w:t>s own epistemological position: reason operating on material reality can address political and ethical questions without requiring religious grounding, while remaining genuinely open to interface-level phenomena.</w:t>
      </w:r>
    </w:p>
    <w:p w14:paraId="6E015401" w14:textId="09EFCF41" w:rsidR="00197421" w:rsidRPr="00CB724A" w:rsidRDefault="00000000" w:rsidP="00CB724A">
      <w:pPr>
        <w:spacing w:before="280" w:after="60"/>
        <w:jc w:val="both"/>
        <w:rPr>
          <w:rFonts w:cs="Times New Roman"/>
        </w:rPr>
      </w:pPr>
      <w:r w:rsidRPr="00CB724A">
        <w:rPr>
          <w:rFonts w:cs="Times New Roman"/>
          <w:b/>
          <w:bCs/>
        </w:rPr>
        <w:t xml:space="preserve">Frantz Fanon </w:t>
      </w:r>
      <w:r w:rsidRPr="00CB724A">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CB724A" w:rsidRDefault="00000000">
      <w:pPr>
        <w:spacing w:after="220" w:line="280" w:lineRule="exact"/>
        <w:jc w:val="both"/>
        <w:rPr>
          <w:rFonts w:cs="Times New Roman"/>
        </w:rPr>
      </w:pPr>
      <w:r w:rsidRPr="00CB724A">
        <w:rPr>
          <w:rFonts w:cs="Times New Roman"/>
          <w:b/>
          <w:bCs/>
        </w:rPr>
        <w:t xml:space="preserve">Silvia Federici </w:t>
      </w:r>
      <w:r w:rsidRPr="00CB724A">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1E107002" w14:textId="77777777" w:rsidR="00197421" w:rsidRPr="00CB724A" w:rsidRDefault="00000000">
      <w:pPr>
        <w:spacing w:after="220" w:line="280" w:lineRule="exact"/>
        <w:jc w:val="both"/>
        <w:rPr>
          <w:rFonts w:cs="Times New Roman"/>
        </w:rPr>
      </w:pPr>
      <w:r w:rsidRPr="00CB724A">
        <w:rPr>
          <w:rFonts w:cs="Times New Roman"/>
          <w:b/>
          <w:bCs/>
          <w:color w:val="111827"/>
        </w:rPr>
        <w:t xml:space="preserve">Michel Foucault (1926–1984) </w:t>
      </w:r>
      <w:r w:rsidRPr="00CB724A">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w:t>
      </w:r>
      <w:r w:rsidRPr="00CB724A">
        <w:rPr>
          <w:rFonts w:cs="Times New Roman"/>
          <w:color w:val="111827"/>
        </w:rPr>
        <w:lastRenderedPageBreak/>
        <w:t>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66B0C476" w14:textId="77777777" w:rsidR="00197421" w:rsidRPr="00CB724A" w:rsidRDefault="00000000">
      <w:pPr>
        <w:spacing w:after="220" w:line="280" w:lineRule="exact"/>
        <w:jc w:val="both"/>
        <w:rPr>
          <w:rFonts w:cs="Times New Roman"/>
        </w:rPr>
      </w:pPr>
      <w:r w:rsidRPr="00CB724A">
        <w:rPr>
          <w:rFonts w:cs="Times New Roman"/>
          <w:b/>
          <w:bCs/>
        </w:rPr>
        <w:t xml:space="preserve">Nancy Fraser </w:t>
      </w:r>
      <w:r w:rsidRPr="00CB724A">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4CF225FE" w14:textId="77777777" w:rsidR="00197421" w:rsidRPr="00CB724A" w:rsidRDefault="00000000">
      <w:pPr>
        <w:spacing w:before="280" w:after="60"/>
        <w:jc w:val="both"/>
        <w:rPr>
          <w:rFonts w:cs="Times New Roman"/>
        </w:rPr>
      </w:pPr>
      <w:r w:rsidRPr="00CB724A">
        <w:rPr>
          <w:rFonts w:cs="Times New Roman"/>
          <w:b/>
          <w:bCs/>
        </w:rPr>
        <w:t>Paulo Freire</w:t>
      </w:r>
      <w:r w:rsidRPr="00CB724A">
        <w:rPr>
          <w:rFonts w:cs="Times New Roman"/>
        </w:rPr>
        <w:t xml:space="preserve"> — for the analysis of conscientização as the specific pedagogical mechanism through which visibility suppression (V) is reduced; for the identification of the ‘banking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5D60DE79" w14:textId="77777777" w:rsidR="00CB724A" w:rsidRDefault="00000000" w:rsidP="00CB724A">
      <w:pPr>
        <w:spacing w:before="280" w:after="60"/>
        <w:jc w:val="both"/>
        <w:rPr>
          <w:rFonts w:cs="Times New Roman"/>
        </w:rPr>
      </w:pPr>
      <w:r w:rsidRPr="00CB724A">
        <w:rPr>
          <w:rFonts w:cs="Times New Roman"/>
          <w:b/>
          <w:bCs/>
        </w:rPr>
        <w:t>Al-Ghazali (1058–1111)</w:t>
      </w:r>
      <w:r w:rsidRPr="00CB724A">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DE0DC89" w14:textId="2F655454" w:rsidR="00197421" w:rsidRPr="00CB724A" w:rsidRDefault="00000000" w:rsidP="00CB724A">
      <w:pPr>
        <w:spacing w:before="280" w:after="60"/>
        <w:jc w:val="both"/>
        <w:rPr>
          <w:rFonts w:cs="Times New Roman"/>
        </w:rPr>
      </w:pPr>
      <w:r w:rsidRPr="00CB724A">
        <w:rPr>
          <w:rFonts w:cs="Times New Roman"/>
          <w:b/>
          <w:bCs/>
        </w:rPr>
        <w:t xml:space="preserve">Antonio Gramsci </w:t>
      </w:r>
      <w:r w:rsidRPr="00CB724A">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6E41BAE5" w14:textId="77777777" w:rsidR="00045C58" w:rsidRPr="00CB724A" w:rsidRDefault="00000000" w:rsidP="00045C58">
      <w:pPr>
        <w:spacing w:before="280" w:after="60"/>
        <w:jc w:val="both"/>
        <w:rPr>
          <w:rFonts w:cs="Times New Roman"/>
        </w:rPr>
      </w:pPr>
      <w:r w:rsidRPr="00CB724A">
        <w:rPr>
          <w:rFonts w:cs="Times New Roman"/>
          <w:b/>
          <w:bCs/>
        </w:rPr>
        <w:t>Gustavo Gutiérrez</w:t>
      </w:r>
      <w:r w:rsidRPr="00CB724A">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2DCE818E" w14:textId="77777777" w:rsidR="00CB724A" w:rsidRDefault="00000000" w:rsidP="00CB724A">
      <w:pPr>
        <w:spacing w:before="280" w:after="60"/>
        <w:jc w:val="both"/>
        <w:rPr>
          <w:rFonts w:cs="Times New Roman"/>
        </w:rPr>
      </w:pPr>
      <w:r w:rsidRPr="00CB724A">
        <w:rPr>
          <w:rFonts w:cs="Times New Roman"/>
          <w:b/>
          <w:bCs/>
        </w:rPr>
        <w:lastRenderedPageBreak/>
        <w:t xml:space="preserve">Mohammad Hatta (1902–1980) </w:t>
      </w:r>
      <w:r w:rsidRPr="00CB724A">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5CF8B25E" w14:textId="5B56D8F8" w:rsidR="00197421" w:rsidRPr="00CB724A" w:rsidRDefault="00000000" w:rsidP="00CB724A">
      <w:pPr>
        <w:spacing w:before="280" w:after="60"/>
        <w:jc w:val="both"/>
        <w:rPr>
          <w:rFonts w:cs="Times New Roman"/>
        </w:rPr>
      </w:pPr>
      <w:r w:rsidRPr="00CB724A">
        <w:rPr>
          <w:rFonts w:cs="Times New Roman"/>
          <w:b/>
          <w:bCs/>
        </w:rPr>
        <w:t xml:space="preserve">Georg Wilhelm Friedrich Hegel </w:t>
      </w:r>
      <w:r w:rsidRPr="00CB724A">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049D2F93" w14:textId="77777777" w:rsidR="00CB724A" w:rsidRDefault="00000000" w:rsidP="00CB724A">
      <w:pPr>
        <w:spacing w:before="280" w:after="60"/>
        <w:jc w:val="both"/>
        <w:rPr>
          <w:rFonts w:cs="Times New Roman"/>
        </w:rPr>
      </w:pPr>
      <w:r w:rsidRPr="00CB724A">
        <w:rPr>
          <w:rFonts w:cs="Times New Roman"/>
          <w:b/>
          <w:bCs/>
        </w:rPr>
        <w:t>Augustine of Hippo (354–430 CE)</w:t>
      </w:r>
      <w:r w:rsidRPr="00CB724A">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1E107001" w14:textId="1B50C4DE" w:rsidR="00197421" w:rsidRPr="00CB724A" w:rsidRDefault="00000000" w:rsidP="00CB724A">
      <w:pPr>
        <w:spacing w:before="280" w:after="60"/>
        <w:jc w:val="both"/>
        <w:rPr>
          <w:rFonts w:cs="Times New Roman"/>
        </w:rPr>
      </w:pPr>
      <w:r w:rsidRPr="00CB724A">
        <w:rPr>
          <w:rFonts w:cs="Times New Roman"/>
          <w:b/>
          <w:bCs/>
          <w:color w:val="111827"/>
        </w:rPr>
        <w:t xml:space="preserve">Bernardo Kastrup (1973–) </w:t>
      </w:r>
      <w:r w:rsidRPr="00CB724A">
        <w:rPr>
          <w:rFonts w:cs="Times New Roman"/>
          <w:color w:val="111827"/>
        </w:rPr>
        <w:t>—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5C2FC46A" w14:textId="77777777" w:rsidR="00CB724A" w:rsidRDefault="00000000" w:rsidP="00CB724A">
      <w:pPr>
        <w:spacing w:before="280" w:after="60"/>
        <w:jc w:val="both"/>
        <w:rPr>
          <w:rFonts w:cs="Times New Roman"/>
        </w:rPr>
      </w:pPr>
      <w:r w:rsidRPr="00CB724A">
        <w:rPr>
          <w:rFonts w:cs="Times New Roman"/>
          <w:b/>
          <w:bCs/>
        </w:rPr>
        <w:t>Kautilya (c. 350–275 BCE)</w:t>
      </w:r>
      <w:r w:rsidRPr="00CB724A">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3F3E537D" w14:textId="790F54A9" w:rsidR="00197421" w:rsidRPr="00CB724A" w:rsidRDefault="00000000" w:rsidP="00CB724A">
      <w:pPr>
        <w:spacing w:before="280" w:after="60"/>
        <w:jc w:val="both"/>
        <w:rPr>
          <w:rFonts w:cs="Times New Roman"/>
        </w:rPr>
      </w:pPr>
      <w:r w:rsidRPr="00CB724A">
        <w:rPr>
          <w:rFonts w:cs="Times New Roman"/>
          <w:b/>
          <w:bCs/>
        </w:rPr>
        <w:t>Ibn Khaldun (1332–1406)</w:t>
      </w:r>
      <w:r w:rsidRPr="00CB724A">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w:t>
      </w:r>
      <w:r w:rsidRPr="00CB724A">
        <w:rPr>
          <w:rFonts w:cs="Times New Roman"/>
        </w:rPr>
        <w:lastRenderedPageBreak/>
        <w:t>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1DC3E4F5" w14:textId="77777777" w:rsidR="00197421" w:rsidRPr="00CB724A" w:rsidRDefault="00000000">
      <w:pPr>
        <w:spacing w:after="220" w:line="280" w:lineRule="exact"/>
        <w:jc w:val="both"/>
        <w:rPr>
          <w:rFonts w:cs="Times New Roman"/>
        </w:rPr>
      </w:pPr>
      <w:r w:rsidRPr="00CB724A">
        <w:rPr>
          <w:rFonts w:cs="Times New Roman"/>
          <w:b/>
          <w:bCs/>
        </w:rPr>
        <w:t xml:space="preserve">Rosa Luxemburg (1871–1919) </w:t>
      </w:r>
      <w:r w:rsidRPr="00CB724A">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05660899" w14:textId="726AFB3A" w:rsidR="00197421" w:rsidRPr="00CB724A" w:rsidRDefault="00000000" w:rsidP="00045C58">
      <w:pPr>
        <w:spacing w:before="280" w:after="60"/>
        <w:jc w:val="both"/>
        <w:rPr>
          <w:rFonts w:cs="Times New Roman"/>
        </w:rPr>
      </w:pPr>
      <w:r w:rsidRPr="00CB724A">
        <w:rPr>
          <w:rFonts w:cs="Times New Roman"/>
          <w:b/>
          <w:bCs/>
        </w:rPr>
        <w:t xml:space="preserve">Niccolò Machiavelli (1469–1527) — </w:t>
      </w:r>
      <w:r w:rsidRPr="00CB724A">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0833D6D5" w14:textId="77777777" w:rsidR="00CB724A" w:rsidRDefault="00000000" w:rsidP="00CB724A">
      <w:pPr>
        <w:spacing w:before="280" w:after="60"/>
        <w:jc w:val="both"/>
        <w:rPr>
          <w:rFonts w:cs="Times New Roman"/>
        </w:rPr>
      </w:pPr>
      <w:r w:rsidRPr="00CB724A">
        <w:rPr>
          <w:rFonts w:cs="Times New Roman"/>
          <w:b/>
          <w:bCs/>
        </w:rPr>
        <w:t>José Carlos Mariátegui</w:t>
      </w:r>
      <w:r w:rsidRPr="00CB724A">
        <w:rPr>
          <w:rFonts w:cs="Times New Roman"/>
        </w:rPr>
        <w:t xml:space="preserve"> — for the analysis of indigenous communal arrangements (the Andean ayllu) as pre-existing cooperative institutions that capitalism disrupted </w:t>
      </w:r>
      <w:r w:rsidRPr="00CB724A">
        <w:rPr>
          <w:rFonts w:cs="Times New Roman"/>
        </w:rPr>
        <w:lastRenderedPageBreak/>
        <w:t>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4BDFA59A" w14:textId="340D95AD" w:rsidR="00197421" w:rsidRPr="00CB724A" w:rsidRDefault="00000000" w:rsidP="00CB724A">
      <w:pPr>
        <w:spacing w:before="280" w:after="60"/>
        <w:jc w:val="both"/>
        <w:rPr>
          <w:rFonts w:cs="Times New Roman"/>
        </w:rPr>
      </w:pPr>
      <w:r w:rsidRPr="00CB724A">
        <w:rPr>
          <w:rFonts w:cs="Times New Roman"/>
          <w:b/>
          <w:bCs/>
        </w:rPr>
        <w:t xml:space="preserve">Karl Marx </w:t>
      </w:r>
      <w:r w:rsidRPr="00CB724A">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4813E3F4" w14:textId="77777777" w:rsidR="00045C58" w:rsidRPr="00CB724A" w:rsidRDefault="00000000" w:rsidP="00045C58">
      <w:pPr>
        <w:spacing w:before="280" w:after="60"/>
        <w:jc w:val="both"/>
        <w:rPr>
          <w:rFonts w:cs="Times New Roman"/>
        </w:rPr>
      </w:pPr>
      <w:r w:rsidRPr="00CB724A">
        <w:rPr>
          <w:rFonts w:cs="Times New Roman"/>
          <w:b/>
          <w:bCs/>
        </w:rPr>
        <w:t xml:space="preserve">Mencius (Mengzi, 372–289 BCE) </w:t>
      </w:r>
      <w:r w:rsidRPr="00CB724A">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6B5794B2" w14:textId="77777777" w:rsidR="00CB724A" w:rsidRDefault="00000000" w:rsidP="00CB724A">
      <w:pPr>
        <w:spacing w:before="280" w:after="60"/>
        <w:jc w:val="both"/>
        <w:rPr>
          <w:rFonts w:cs="Times New Roman"/>
        </w:rPr>
      </w:pPr>
      <w:r w:rsidRPr="00CB724A">
        <w:rPr>
          <w:rFonts w:cs="Times New Roman"/>
          <w:b/>
          <w:bCs/>
        </w:rPr>
        <w:t>Elinor Ostrom</w:t>
      </w:r>
      <w:r w:rsidRPr="00CB724A">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66A49D01" w14:textId="77777777" w:rsidR="00842536" w:rsidRDefault="00000000" w:rsidP="00842536">
      <w:pPr>
        <w:spacing w:before="280" w:after="60"/>
        <w:jc w:val="both"/>
        <w:rPr>
          <w:rFonts w:cs="Times New Roman"/>
        </w:rPr>
      </w:pPr>
      <w:r w:rsidRPr="00CB724A">
        <w:rPr>
          <w:rFonts w:cs="Times New Roman"/>
          <w:b/>
          <w:bCs/>
        </w:rPr>
        <w:t xml:space="preserve">Charles Sanders Peirce </w:t>
      </w:r>
      <w:r w:rsidRPr="00CB724A">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405DB990" w:rsidR="00197421" w:rsidRPr="00CB724A" w:rsidRDefault="00000000" w:rsidP="00842536">
      <w:pPr>
        <w:spacing w:before="280" w:after="60"/>
        <w:jc w:val="both"/>
        <w:rPr>
          <w:rFonts w:cs="Times New Roman"/>
        </w:rPr>
      </w:pPr>
      <w:r w:rsidRPr="00CB724A">
        <w:rPr>
          <w:rFonts w:cs="Times New Roman"/>
          <w:b/>
          <w:bCs/>
        </w:rPr>
        <w:t xml:space="preserve">Karl Polanyi </w:t>
      </w:r>
      <w:r w:rsidRPr="00CB724A">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55F89FAE" w14:textId="77777777" w:rsidR="00197421" w:rsidRPr="00CB724A" w:rsidRDefault="00000000">
      <w:pPr>
        <w:spacing w:after="220" w:line="280" w:lineRule="exact"/>
        <w:jc w:val="both"/>
        <w:rPr>
          <w:rFonts w:cs="Times New Roman"/>
        </w:rPr>
      </w:pPr>
      <w:r w:rsidRPr="00CB724A">
        <w:rPr>
          <w:rFonts w:cs="Times New Roman"/>
          <w:b/>
          <w:bCs/>
        </w:rPr>
        <w:lastRenderedPageBreak/>
        <w:t xml:space="preserve">Walter Rodney </w:t>
      </w:r>
      <w:r w:rsidRPr="00CB724A">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09CAAC3D" w14:textId="77777777" w:rsidR="00197421" w:rsidRPr="00CB724A" w:rsidRDefault="00000000">
      <w:pPr>
        <w:spacing w:after="220" w:line="280" w:lineRule="exact"/>
        <w:jc w:val="both"/>
        <w:rPr>
          <w:rFonts w:cs="Times New Roman"/>
        </w:rPr>
      </w:pPr>
      <w:r w:rsidRPr="00CB724A">
        <w:rPr>
          <w:rFonts w:cs="Times New Roman"/>
          <w:b/>
          <w:bCs/>
        </w:rPr>
        <w:t xml:space="preserve">Dani Rodrik </w:t>
      </w:r>
      <w:r w:rsidRPr="00CB724A">
        <w:rPr>
          <w:rFonts w:cs="Times New Roman"/>
        </w:rPr>
        <w:t>— for the trilemma of globalization; for context-dependent policy evaluation; and for the intellectual honesty of acknowledging the limits of what economic theory can establish independently of context.</w:t>
      </w:r>
    </w:p>
    <w:p w14:paraId="5CFB45C2" w14:textId="77777777" w:rsidR="00197421" w:rsidRPr="00CB724A" w:rsidRDefault="00000000">
      <w:pPr>
        <w:spacing w:before="280" w:after="60"/>
        <w:jc w:val="both"/>
        <w:rPr>
          <w:rFonts w:cs="Times New Roman"/>
        </w:rPr>
      </w:pPr>
      <w:r w:rsidRPr="00CB724A">
        <w:rPr>
          <w:rFonts w:cs="Times New Roman"/>
          <w:b/>
          <w:bCs/>
        </w:rPr>
        <w:t>James C. Scott</w:t>
      </w:r>
      <w:r w:rsidRPr="00CB724A">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1C3CFCEF" w14:textId="6E644A9E" w:rsidR="00197421" w:rsidRPr="00CB724A" w:rsidRDefault="00000000" w:rsidP="00045C58">
      <w:pPr>
        <w:spacing w:before="280" w:after="60"/>
        <w:jc w:val="both"/>
        <w:rPr>
          <w:rFonts w:cs="Times New Roman"/>
        </w:rPr>
      </w:pPr>
      <w:r w:rsidRPr="00CB724A">
        <w:rPr>
          <w:rFonts w:cs="Times New Roman"/>
          <w:b/>
          <w:bCs/>
        </w:rPr>
        <w:t xml:space="preserve">Baruch Spinoza </w:t>
      </w:r>
      <w:r w:rsidRPr="00CB724A">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266DCA6C" w14:textId="77777777" w:rsidR="00197421" w:rsidRPr="00CB724A" w:rsidRDefault="00000000">
      <w:pPr>
        <w:spacing w:before="280" w:after="60"/>
        <w:jc w:val="both"/>
        <w:rPr>
          <w:rFonts w:cs="Times New Roman"/>
        </w:rPr>
      </w:pPr>
      <w:r w:rsidRPr="00CB724A">
        <w:rPr>
          <w:rFonts w:cs="Times New Roman"/>
          <w:b/>
          <w:bCs/>
        </w:rPr>
        <w:t>E.P. Thompson</w:t>
      </w:r>
      <w:r w:rsidRPr="00CB724A">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1E4BB5E8" w14:textId="77777777" w:rsidR="00842536" w:rsidRDefault="00000000" w:rsidP="00842536">
      <w:pPr>
        <w:spacing w:before="280" w:after="60"/>
        <w:jc w:val="both"/>
        <w:rPr>
          <w:rFonts w:cs="Times New Roman"/>
        </w:rPr>
      </w:pPr>
      <w:r w:rsidRPr="00CB724A">
        <w:rPr>
          <w:rFonts w:cs="Times New Roman"/>
          <w:b/>
          <w:bCs/>
        </w:rPr>
        <w:t>Zhao Tingyang (b. 1961)</w:t>
      </w:r>
      <w:r w:rsidRPr="00CB724A">
        <w:rPr>
          <w:rFonts w:cs="Times New Roman"/>
        </w:rPr>
        <w:t xml:space="preserve"> — for the contemporary reconstruction of the Confucian Tianxia (‘All under Heaven’) concept as a framework for world institutional order organized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3E12B046" w14:textId="6B00F1DE" w:rsidR="00197421" w:rsidRPr="00CB724A" w:rsidRDefault="00000000" w:rsidP="00842536">
      <w:pPr>
        <w:spacing w:before="280" w:after="60"/>
        <w:jc w:val="both"/>
        <w:rPr>
          <w:rFonts w:cs="Times New Roman"/>
        </w:rPr>
      </w:pPr>
      <w:r w:rsidRPr="00CB724A">
        <w:rPr>
          <w:rFonts w:cs="Times New Roman"/>
          <w:b/>
          <w:bCs/>
        </w:rPr>
        <w:t xml:space="preserve">Immanuel Wallerstein </w:t>
      </w:r>
      <w:r w:rsidRPr="00CB724A">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AC01A57" w14:textId="77777777" w:rsidR="00197421" w:rsidRPr="00CB724A" w:rsidRDefault="00000000">
      <w:pPr>
        <w:spacing w:after="220" w:line="280" w:lineRule="exact"/>
        <w:jc w:val="both"/>
        <w:rPr>
          <w:rFonts w:cs="Times New Roman"/>
        </w:rPr>
      </w:pPr>
      <w:r w:rsidRPr="00CB724A">
        <w:rPr>
          <w:rFonts w:cs="Times New Roman"/>
          <w:b/>
          <w:bCs/>
        </w:rPr>
        <w:lastRenderedPageBreak/>
        <w:t xml:space="preserve">Kenneth Waltz </w:t>
      </w:r>
      <w:r w:rsidRPr="00CB724A">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57BBE230" w14:textId="77777777" w:rsidR="00197421" w:rsidRPr="00CB724A" w:rsidRDefault="00000000">
      <w:pPr>
        <w:spacing w:before="280" w:after="60"/>
        <w:jc w:val="both"/>
        <w:rPr>
          <w:rFonts w:cs="Times New Roman"/>
        </w:rPr>
      </w:pPr>
      <w:r w:rsidRPr="00CB724A">
        <w:rPr>
          <w:rFonts w:cs="Times New Roman"/>
          <w:b/>
          <w:bCs/>
        </w:rPr>
        <w:t>Kwame Wiredu</w:t>
      </w:r>
      <w:r w:rsidRPr="00CB724A">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3C7F9E5" w14:textId="77777777" w:rsidR="00197421" w:rsidRPr="00CB724A" w:rsidRDefault="00000000">
      <w:pPr>
        <w:spacing w:after="220" w:line="280" w:lineRule="exact"/>
        <w:jc w:val="both"/>
        <w:rPr>
          <w:rFonts w:cs="Times New Roman"/>
        </w:rPr>
      </w:pPr>
      <w:r w:rsidRPr="00CB724A">
        <w:rPr>
          <w:rFonts w:cs="Times New Roman"/>
          <w:b/>
          <w:bCs/>
        </w:rPr>
        <w:t xml:space="preserve">Erik Olin Wright </w:t>
      </w:r>
      <w:r w:rsidRPr="00CB724A">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1DC4F201" w14:textId="77777777" w:rsidR="00197421" w:rsidRPr="00CB724A" w:rsidRDefault="00000000">
      <w:pPr>
        <w:spacing w:before="280" w:after="60"/>
        <w:jc w:val="both"/>
        <w:rPr>
          <w:rFonts w:cs="Times New Roman"/>
        </w:rPr>
      </w:pPr>
      <w:r w:rsidRPr="00CB724A">
        <w:rPr>
          <w:rFonts w:cs="Times New Roman"/>
          <w:b/>
          <w:bCs/>
        </w:rPr>
        <w:t xml:space="preserve">Slavoj Žižek (1949–) — </w:t>
      </w:r>
      <w:r w:rsidRPr="00CB724A">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CB724A" w:rsidRDefault="00000000" w:rsidP="00045C58">
      <w:pPr>
        <w:spacing w:before="280" w:after="60"/>
        <w:jc w:val="both"/>
        <w:rPr>
          <w:rFonts w:cs="Times New Roman"/>
        </w:rPr>
      </w:pPr>
      <w:r w:rsidRPr="00CB724A">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7BBB2756" w14:textId="77777777" w:rsidR="00197421" w:rsidRPr="00DE7452" w:rsidRDefault="00000000">
      <w:pPr>
        <w:spacing w:before="280" w:after="60"/>
        <w:jc w:val="both"/>
        <w:rPr>
          <w:rFonts w:cs="Times New Roman"/>
        </w:rPr>
      </w:pPr>
      <w:r w:rsidRPr="00DE7452">
        <w:rPr>
          <w:rFonts w:cs="Times New Roman"/>
          <w:b/>
          <w:bCs/>
          <w:color w:val="1D4ED8"/>
        </w:rPr>
        <w:t>Bibliography</w:t>
      </w:r>
    </w:p>
    <w:p w14:paraId="06470D58" w14:textId="77777777" w:rsidR="00197421" w:rsidRPr="00DE7452" w:rsidRDefault="00000000">
      <w:pPr>
        <w:spacing w:after="160" w:line="280" w:lineRule="exact"/>
        <w:jc w:val="both"/>
        <w:rPr>
          <w:rFonts w:cs="Times New Roman"/>
        </w:rPr>
      </w:pPr>
      <w:r w:rsidRPr="00DE7452">
        <w:rPr>
          <w:rFonts w:cs="Times New Roman"/>
        </w:rPr>
        <w:t xml:space="preserve">Althusser, Louis. 1970. </w:t>
      </w:r>
      <w:r w:rsidRPr="00DE7452">
        <w:rPr>
          <w:rFonts w:cs="Times New Roman"/>
          <w:i/>
          <w:iCs/>
          <w:color w:val="444444"/>
        </w:rPr>
        <w:t>Lenin and Philosophy and Other Essays</w:t>
      </w:r>
      <w:r w:rsidRPr="00DE7452">
        <w:rPr>
          <w:rFonts w:cs="Times New Roman"/>
        </w:rPr>
        <w:t>. Trans. Ben Brewster. Monthly Review Press.</w:t>
      </w:r>
    </w:p>
    <w:p w14:paraId="55D9054D" w14:textId="77777777" w:rsidR="00197421" w:rsidRPr="00DE7452" w:rsidRDefault="00000000">
      <w:pPr>
        <w:spacing w:after="160" w:line="280" w:lineRule="exact"/>
        <w:ind w:left="360" w:hanging="360"/>
        <w:jc w:val="both"/>
        <w:rPr>
          <w:rFonts w:cs="Times New Roman"/>
        </w:rPr>
      </w:pPr>
      <w:r w:rsidRPr="00DE7452">
        <w:rPr>
          <w:rFonts w:cs="Times New Roman"/>
        </w:rPr>
        <w:t xml:space="preserve">Ambedkar, B. R. 1936. </w:t>
      </w:r>
      <w:r w:rsidRPr="00DE7452">
        <w:rPr>
          <w:rFonts w:cs="Times New Roman"/>
          <w:i/>
          <w:iCs/>
          <w:color w:val="444444"/>
        </w:rPr>
        <w:t>Annihilation of Caste</w:t>
      </w:r>
      <w:r w:rsidRPr="00DE7452">
        <w:rPr>
          <w:rFonts w:cs="Times New Roman"/>
        </w:rPr>
        <w:t>. Self-published. [Repr. Verso Books, 2014]</w:t>
      </w:r>
    </w:p>
    <w:p w14:paraId="1E107003" w14:textId="77777777" w:rsidR="00197421" w:rsidRPr="00DE7452" w:rsidRDefault="00000000">
      <w:pPr>
        <w:spacing w:after="160" w:line="280" w:lineRule="exact"/>
        <w:jc w:val="both"/>
        <w:rPr>
          <w:rFonts w:cs="Times New Roman"/>
        </w:rPr>
      </w:pPr>
      <w:r w:rsidRPr="00DE7452">
        <w:rPr>
          <w:rFonts w:cs="Times New Roman"/>
          <w:color w:val="111827"/>
        </w:rPr>
        <w:t xml:space="preserve">Ambedkar, B. R. 1945. </w:t>
      </w:r>
      <w:r w:rsidRPr="00DE7452">
        <w:rPr>
          <w:rFonts w:cs="Times New Roman"/>
          <w:i/>
          <w:iCs/>
          <w:color w:val="111827"/>
        </w:rPr>
        <w:t>What Congress and Gandhi Have Done to the Untouchables</w:t>
      </w:r>
      <w:r w:rsidRPr="00DE7452">
        <w:rPr>
          <w:rFonts w:cs="Times New Roman"/>
          <w:color w:val="111827"/>
        </w:rPr>
        <w:t>. Thacker and Co.</w:t>
      </w:r>
    </w:p>
    <w:p w14:paraId="01AD36B0" w14:textId="77777777" w:rsidR="00197421" w:rsidRPr="00DE7452" w:rsidRDefault="00000000">
      <w:pPr>
        <w:spacing w:after="160" w:line="280" w:lineRule="exact"/>
        <w:ind w:left="360" w:hanging="360"/>
        <w:jc w:val="both"/>
        <w:rPr>
          <w:rFonts w:cs="Times New Roman"/>
        </w:rPr>
      </w:pPr>
      <w:r w:rsidRPr="00DE7452">
        <w:rPr>
          <w:rFonts w:cs="Times New Roman"/>
        </w:rPr>
        <w:lastRenderedPageBreak/>
        <w:t xml:space="preserve">Ames, Roger T., and Henry Rosemont Jr. 1998. </w:t>
      </w:r>
      <w:r w:rsidRPr="00DE7452">
        <w:rPr>
          <w:rFonts w:cs="Times New Roman"/>
          <w:i/>
          <w:iCs/>
          <w:color w:val="444444"/>
        </w:rPr>
        <w:t>The Analects of Confucius: A Philosophical Translation</w:t>
      </w:r>
      <w:r w:rsidRPr="00DE7452">
        <w:rPr>
          <w:rFonts w:cs="Times New Roman"/>
        </w:rPr>
        <w:t>. Ballantine Books.</w:t>
      </w:r>
    </w:p>
    <w:p w14:paraId="5F1261AF" w14:textId="77777777" w:rsidR="00197421" w:rsidRPr="00DE7452" w:rsidRDefault="00000000">
      <w:pPr>
        <w:spacing w:after="160" w:line="280" w:lineRule="exact"/>
        <w:jc w:val="both"/>
        <w:rPr>
          <w:rFonts w:cs="Times New Roman"/>
        </w:rPr>
      </w:pPr>
      <w:r w:rsidRPr="00DE7452">
        <w:rPr>
          <w:rFonts w:cs="Times New Roman"/>
        </w:rPr>
        <w:t xml:space="preserve">Amsden, Alice H. 1989. </w:t>
      </w:r>
      <w:r w:rsidRPr="00DE7452">
        <w:rPr>
          <w:rFonts w:cs="Times New Roman"/>
          <w:i/>
          <w:iCs/>
          <w:color w:val="444444"/>
        </w:rPr>
        <w:t>Asia's Next Giant: South Korea and Late Industrialization</w:t>
      </w:r>
      <w:r w:rsidRPr="00DE7452">
        <w:rPr>
          <w:rFonts w:cs="Times New Roman"/>
        </w:rPr>
        <w:t>. Oxford University Press.</w:t>
      </w:r>
    </w:p>
    <w:p w14:paraId="518F6CA0" w14:textId="77777777" w:rsidR="00197421" w:rsidRPr="00DE7452" w:rsidRDefault="00000000">
      <w:pPr>
        <w:spacing w:after="160" w:line="280" w:lineRule="exact"/>
        <w:jc w:val="both"/>
        <w:rPr>
          <w:rFonts w:cs="Times New Roman"/>
        </w:rPr>
      </w:pPr>
      <w:r w:rsidRPr="00DE7452">
        <w:rPr>
          <w:rFonts w:cs="Times New Roman"/>
        </w:rPr>
        <w:t xml:space="preserve">Anderson, Benedict. 1983. </w:t>
      </w:r>
      <w:r w:rsidRPr="00DE7452">
        <w:rPr>
          <w:rFonts w:cs="Times New Roman"/>
          <w:i/>
          <w:iCs/>
          <w:color w:val="444444"/>
        </w:rPr>
        <w:t>Imagined Communities: Reflections on the Origin and Spread of Nationalism</w:t>
      </w:r>
      <w:r w:rsidRPr="00DE7452">
        <w:rPr>
          <w:rFonts w:cs="Times New Roman"/>
        </w:rPr>
        <w:t>. Verso.</w:t>
      </w:r>
    </w:p>
    <w:p w14:paraId="46C3201E" w14:textId="77777777" w:rsidR="00197421" w:rsidRPr="00DE7452" w:rsidRDefault="00000000">
      <w:pPr>
        <w:spacing w:after="160" w:line="280" w:lineRule="exact"/>
        <w:ind w:left="360" w:hanging="360"/>
        <w:jc w:val="both"/>
        <w:rPr>
          <w:rFonts w:cs="Times New Roman"/>
        </w:rPr>
      </w:pPr>
      <w:r w:rsidRPr="00DE7452">
        <w:rPr>
          <w:rFonts w:cs="Times New Roman"/>
        </w:rPr>
        <w:t xml:space="preserve">Aquinas, Thomas. c. 1267. </w:t>
      </w:r>
      <w:r w:rsidRPr="00DE7452">
        <w:rPr>
          <w:rFonts w:cs="Times New Roman"/>
          <w:i/>
          <w:iCs/>
          <w:color w:val="444444"/>
        </w:rPr>
        <w:t>De Regno (On Kingship)</w:t>
      </w:r>
      <w:r w:rsidRPr="00DE7452">
        <w:rPr>
          <w:rFonts w:cs="Times New Roman"/>
        </w:rPr>
        <w:t>. Trans. Gerald Phelan. Pontifical Institute of Mediaeval Studies, 1949.</w:t>
      </w:r>
    </w:p>
    <w:p w14:paraId="70BE11F0" w14:textId="77777777" w:rsidR="00197421" w:rsidRPr="00DE7452" w:rsidRDefault="00000000">
      <w:pPr>
        <w:spacing w:after="160" w:line="280" w:lineRule="exact"/>
        <w:ind w:left="360" w:hanging="360"/>
        <w:jc w:val="both"/>
        <w:rPr>
          <w:rFonts w:cs="Times New Roman"/>
        </w:rPr>
      </w:pPr>
      <w:r w:rsidRPr="00DE7452">
        <w:rPr>
          <w:rFonts w:cs="Times New Roman"/>
        </w:rPr>
        <w:t xml:space="preserve">Aquinas, Thomas. c. 1270. </w:t>
      </w:r>
      <w:r w:rsidRPr="00DE7452">
        <w:rPr>
          <w:rFonts w:cs="Times New Roman"/>
          <w:i/>
          <w:iCs/>
          <w:color w:val="444444"/>
        </w:rPr>
        <w:t>Summa Theologiae</w:t>
      </w:r>
      <w:r w:rsidRPr="00DE7452">
        <w:rPr>
          <w:rFonts w:cs="Times New Roman"/>
        </w:rPr>
        <w:t>. Trans. Fathers of the English Dominican Province. Benziger Bros, 1947.</w:t>
      </w:r>
    </w:p>
    <w:p w14:paraId="29C3112D" w14:textId="77777777" w:rsidR="00197421" w:rsidRPr="00DE7452" w:rsidRDefault="00000000">
      <w:pPr>
        <w:spacing w:after="160" w:line="280" w:lineRule="exact"/>
        <w:jc w:val="both"/>
        <w:rPr>
          <w:rFonts w:cs="Times New Roman"/>
        </w:rPr>
      </w:pPr>
      <w:r w:rsidRPr="00DE7452">
        <w:rPr>
          <w:rFonts w:cs="Times New Roman"/>
        </w:rPr>
        <w:t xml:space="preserve">Arrighi, Giovanni. 1994. </w:t>
      </w:r>
      <w:r w:rsidRPr="00DE7452">
        <w:rPr>
          <w:rFonts w:cs="Times New Roman"/>
          <w:i/>
          <w:iCs/>
          <w:color w:val="444444"/>
        </w:rPr>
        <w:t>The Long Twentieth Century</w:t>
      </w:r>
      <w:r w:rsidRPr="00DE7452">
        <w:rPr>
          <w:rFonts w:cs="Times New Roman"/>
        </w:rPr>
        <w:t>. Verso.</w:t>
      </w:r>
    </w:p>
    <w:p w14:paraId="3B76A472" w14:textId="77777777" w:rsidR="00197421" w:rsidRPr="00DE7452" w:rsidRDefault="00000000">
      <w:pPr>
        <w:spacing w:after="160" w:line="280" w:lineRule="exact"/>
        <w:jc w:val="both"/>
        <w:rPr>
          <w:rFonts w:cs="Times New Roman"/>
        </w:rPr>
      </w:pPr>
      <w:r w:rsidRPr="00DE7452">
        <w:rPr>
          <w:rFonts w:cs="Times New Roman"/>
        </w:rPr>
        <w:t xml:space="preserve">Arrighi, Giovanni. 2007. </w:t>
      </w:r>
      <w:r w:rsidRPr="00DE7452">
        <w:rPr>
          <w:rFonts w:cs="Times New Roman"/>
          <w:i/>
          <w:iCs/>
          <w:color w:val="444444"/>
        </w:rPr>
        <w:t>Adam Smith in Beijing</w:t>
      </w:r>
      <w:r w:rsidRPr="00DE7452">
        <w:rPr>
          <w:rFonts w:cs="Times New Roman"/>
        </w:rPr>
        <w:t>. Verso.</w:t>
      </w:r>
    </w:p>
    <w:p w14:paraId="46B40985" w14:textId="77777777" w:rsidR="00197421" w:rsidRPr="00DE7452" w:rsidRDefault="00000000">
      <w:pPr>
        <w:spacing w:after="160" w:line="280" w:lineRule="exact"/>
        <w:ind w:left="360" w:hanging="360"/>
        <w:jc w:val="both"/>
        <w:rPr>
          <w:rFonts w:cs="Times New Roman"/>
        </w:rPr>
      </w:pPr>
      <w:r w:rsidRPr="00DE7452">
        <w:rPr>
          <w:rFonts w:cs="Times New Roman"/>
        </w:rPr>
        <w:t xml:space="preserve">Augustine of Hippo. 426 CE. </w:t>
      </w:r>
      <w:r w:rsidRPr="00DE7452">
        <w:rPr>
          <w:rFonts w:cs="Times New Roman"/>
          <w:i/>
          <w:iCs/>
          <w:color w:val="444444"/>
        </w:rPr>
        <w:t>The City of God</w:t>
      </w:r>
      <w:r w:rsidRPr="00DE7452">
        <w:rPr>
          <w:rFonts w:cs="Times New Roman"/>
        </w:rPr>
        <w:t>. Trans. Henry Bettenson. Penguin Books, 1972.</w:t>
      </w:r>
    </w:p>
    <w:p w14:paraId="2817C889" w14:textId="77777777" w:rsidR="00197421" w:rsidRPr="00DE7452" w:rsidRDefault="00000000">
      <w:pPr>
        <w:spacing w:after="160" w:line="280" w:lineRule="exact"/>
        <w:jc w:val="both"/>
        <w:rPr>
          <w:rFonts w:cs="Times New Roman"/>
        </w:rPr>
      </w:pPr>
      <w:r w:rsidRPr="00DE7452">
        <w:rPr>
          <w:rFonts w:cs="Times New Roman"/>
        </w:rPr>
        <w:t xml:space="preserve">Axelrod, Robert. 1984. </w:t>
      </w:r>
      <w:r w:rsidRPr="00DE7452">
        <w:rPr>
          <w:rFonts w:cs="Times New Roman"/>
          <w:i/>
          <w:iCs/>
          <w:color w:val="444444"/>
        </w:rPr>
        <w:t>The Evolution of Cooperation</w:t>
      </w:r>
      <w:r w:rsidRPr="00DE7452">
        <w:rPr>
          <w:rFonts w:cs="Times New Roman"/>
        </w:rPr>
        <w:t>. Basic Books.</w:t>
      </w:r>
    </w:p>
    <w:p w14:paraId="62776D0F" w14:textId="77777777" w:rsidR="00197421" w:rsidRPr="00DE7452" w:rsidRDefault="00000000">
      <w:pPr>
        <w:spacing w:after="160" w:line="280" w:lineRule="exact"/>
        <w:jc w:val="both"/>
        <w:rPr>
          <w:rFonts w:cs="Times New Roman"/>
        </w:rPr>
      </w:pPr>
      <w:r w:rsidRPr="00DE7452">
        <w:rPr>
          <w:rFonts w:cs="Times New Roman"/>
        </w:rPr>
        <w:t xml:space="preserve">Bentham, Jeremy. 1780. </w:t>
      </w:r>
      <w:r w:rsidRPr="00DE7452">
        <w:rPr>
          <w:rFonts w:cs="Times New Roman"/>
          <w:i/>
          <w:iCs/>
          <w:color w:val="444444"/>
        </w:rPr>
        <w:t>An Introduction to the Principles of Morals and Legislation</w:t>
      </w:r>
      <w:r w:rsidRPr="00DE7452">
        <w:rPr>
          <w:rFonts w:cs="Times New Roman"/>
        </w:rPr>
        <w:t>. Clarendon Press.</w:t>
      </w:r>
    </w:p>
    <w:p w14:paraId="6ED7ACED" w14:textId="77777777" w:rsidR="00197421" w:rsidRPr="00DE7452" w:rsidRDefault="00000000">
      <w:pPr>
        <w:spacing w:after="160" w:line="280" w:lineRule="exact"/>
        <w:jc w:val="both"/>
        <w:rPr>
          <w:rFonts w:cs="Times New Roman"/>
        </w:rPr>
      </w:pPr>
      <w:r w:rsidRPr="00DE7452">
        <w:rPr>
          <w:rFonts w:cs="Times New Roman"/>
        </w:rPr>
        <w:t xml:space="preserve">Berger, Peter L., and Thomas Luckmann. 1966. </w:t>
      </w:r>
      <w:r w:rsidRPr="00DE7452">
        <w:rPr>
          <w:rFonts w:cs="Times New Roman"/>
          <w:i/>
          <w:iCs/>
          <w:color w:val="444444"/>
        </w:rPr>
        <w:t>The Social Construction of Reality</w:t>
      </w:r>
      <w:r w:rsidRPr="00DE7452">
        <w:rPr>
          <w:rFonts w:cs="Times New Roman"/>
        </w:rPr>
        <w:t>. Doubleday.</w:t>
      </w:r>
    </w:p>
    <w:p w14:paraId="6311F6A2" w14:textId="77777777" w:rsidR="00197421" w:rsidRPr="00DE7452" w:rsidRDefault="00000000">
      <w:pPr>
        <w:spacing w:after="160" w:line="280" w:lineRule="exact"/>
        <w:jc w:val="both"/>
        <w:rPr>
          <w:rFonts w:cs="Times New Roman"/>
        </w:rPr>
      </w:pPr>
      <w:r w:rsidRPr="00DE7452">
        <w:rPr>
          <w:rFonts w:cs="Times New Roman"/>
        </w:rPr>
        <w:t xml:space="preserve">Bhaskar, Roy. 1975. </w:t>
      </w:r>
      <w:r w:rsidRPr="00DE7452">
        <w:rPr>
          <w:rFonts w:cs="Times New Roman"/>
          <w:i/>
          <w:iCs/>
          <w:color w:val="444444"/>
        </w:rPr>
        <w:t>A Realist Theory of Science</w:t>
      </w:r>
      <w:r w:rsidRPr="00DE7452">
        <w:rPr>
          <w:rFonts w:cs="Times New Roman"/>
        </w:rPr>
        <w:t>. Leeds Books.</w:t>
      </w:r>
    </w:p>
    <w:p w14:paraId="03DE1F5E" w14:textId="77777777" w:rsidR="00197421" w:rsidRPr="00DE7452" w:rsidRDefault="00000000">
      <w:pPr>
        <w:spacing w:after="160" w:line="280" w:lineRule="exact"/>
        <w:ind w:left="360" w:hanging="360"/>
        <w:jc w:val="both"/>
        <w:rPr>
          <w:rFonts w:cs="Times New Roman"/>
        </w:rPr>
      </w:pPr>
      <w:r w:rsidRPr="00DE7452">
        <w:rPr>
          <w:rFonts w:cs="Times New Roman"/>
        </w:rPr>
        <w:t xml:space="preserve">Boff, Leonardo. 1985. </w:t>
      </w:r>
      <w:r w:rsidRPr="00DE7452">
        <w:rPr>
          <w:rFonts w:cs="Times New Roman"/>
          <w:i/>
          <w:iCs/>
          <w:color w:val="444444"/>
        </w:rPr>
        <w:t>Church: Charism and Power</w:t>
      </w:r>
      <w:r w:rsidRPr="00DE7452">
        <w:rPr>
          <w:rFonts w:cs="Times New Roman"/>
        </w:rPr>
        <w:t>. Trans. John Diercksmeier. Crossroad.</w:t>
      </w:r>
    </w:p>
    <w:p w14:paraId="20857863" w14:textId="77777777" w:rsidR="00197421" w:rsidRPr="00DE7452" w:rsidRDefault="00000000">
      <w:pPr>
        <w:spacing w:after="160" w:line="280" w:lineRule="exact"/>
        <w:jc w:val="both"/>
        <w:rPr>
          <w:rFonts w:cs="Times New Roman"/>
        </w:rPr>
      </w:pPr>
      <w:r w:rsidRPr="00DE7452">
        <w:rPr>
          <w:rFonts w:cs="Times New Roman"/>
        </w:rPr>
        <w:t xml:space="preserve">Braudel, Fernand. 1979. </w:t>
      </w:r>
      <w:r w:rsidRPr="00DE7452">
        <w:rPr>
          <w:rFonts w:cs="Times New Roman"/>
          <w:i/>
          <w:iCs/>
          <w:color w:val="444444"/>
        </w:rPr>
        <w:t>The Perspective of the World</w:t>
      </w:r>
      <w:r w:rsidRPr="00DE7452">
        <w:rPr>
          <w:rFonts w:cs="Times New Roman"/>
        </w:rPr>
        <w:t>. Trans. S. Reynolds. Harper &amp; Row, 1984.</w:t>
      </w:r>
    </w:p>
    <w:p w14:paraId="242F219F" w14:textId="77777777" w:rsidR="00197421" w:rsidRPr="00DE7452" w:rsidRDefault="00000000">
      <w:pPr>
        <w:spacing w:after="160" w:line="280" w:lineRule="exact"/>
        <w:ind w:left="360" w:hanging="360"/>
        <w:jc w:val="both"/>
        <w:rPr>
          <w:rFonts w:cs="Times New Roman"/>
        </w:rPr>
      </w:pPr>
      <w:r w:rsidRPr="00DE7452">
        <w:rPr>
          <w:rFonts w:cs="Times New Roman"/>
        </w:rPr>
        <w:t xml:space="preserve">Buchanan, James M., and Gordon Tullock. 1962. </w:t>
      </w:r>
      <w:r w:rsidRPr="00DE7452">
        <w:rPr>
          <w:rFonts w:cs="Times New Roman"/>
          <w:i/>
          <w:iCs/>
          <w:color w:val="444444"/>
        </w:rPr>
        <w:t>The Calculus of Consent</w:t>
      </w:r>
      <w:r w:rsidRPr="00DE7452">
        <w:rPr>
          <w:rFonts w:cs="Times New Roman"/>
        </w:rPr>
        <w:t>. University of Michigan Press.</w:t>
      </w:r>
    </w:p>
    <w:p w14:paraId="0D1FBC3C" w14:textId="77777777" w:rsidR="00197421" w:rsidRPr="00DE7452" w:rsidRDefault="00000000">
      <w:pPr>
        <w:spacing w:after="160" w:line="280" w:lineRule="exact"/>
        <w:jc w:val="both"/>
        <w:rPr>
          <w:rFonts w:cs="Times New Roman"/>
        </w:rPr>
      </w:pPr>
      <w:r w:rsidRPr="00DE7452">
        <w:rPr>
          <w:rFonts w:cs="Times New Roman"/>
        </w:rPr>
        <w:t xml:space="preserve">Chalmers, David J. 1996. </w:t>
      </w:r>
      <w:r w:rsidRPr="00DE7452">
        <w:rPr>
          <w:rFonts w:cs="Times New Roman"/>
          <w:i/>
          <w:iCs/>
          <w:color w:val="444444"/>
        </w:rPr>
        <w:t>The Conscious Mind</w:t>
      </w:r>
      <w:r w:rsidRPr="00DE7452">
        <w:rPr>
          <w:rFonts w:cs="Times New Roman"/>
        </w:rPr>
        <w:t>. Oxford University Press.</w:t>
      </w:r>
    </w:p>
    <w:p w14:paraId="5F3A5E80" w14:textId="77777777" w:rsidR="00197421" w:rsidRPr="00DE7452" w:rsidRDefault="00000000">
      <w:pPr>
        <w:spacing w:after="160" w:line="280" w:lineRule="exact"/>
        <w:jc w:val="both"/>
        <w:rPr>
          <w:rFonts w:cs="Times New Roman"/>
          <w:lang w:val="sv-SE"/>
        </w:rPr>
      </w:pPr>
      <w:r w:rsidRPr="00DE7452">
        <w:rPr>
          <w:rFonts w:cs="Times New Roman"/>
        </w:rPr>
        <w:t xml:space="preserve">Chang, Ha-Joon. 2002. </w:t>
      </w:r>
      <w:r w:rsidRPr="00DE7452">
        <w:rPr>
          <w:rFonts w:cs="Times New Roman"/>
          <w:i/>
          <w:iCs/>
          <w:color w:val="444444"/>
        </w:rPr>
        <w:t>Kicking Away the Ladder</w:t>
      </w:r>
      <w:r w:rsidRPr="00DE7452">
        <w:rPr>
          <w:rFonts w:cs="Times New Roman"/>
        </w:rPr>
        <w:t xml:space="preserve">. </w:t>
      </w:r>
      <w:r w:rsidRPr="00DE7452">
        <w:rPr>
          <w:rFonts w:cs="Times New Roman"/>
          <w:lang w:val="sv-SE"/>
        </w:rPr>
        <w:t>Anthem Press.</w:t>
      </w:r>
    </w:p>
    <w:p w14:paraId="5D482BDD" w14:textId="77777777" w:rsidR="00197421" w:rsidRPr="00DE7452" w:rsidRDefault="00000000">
      <w:pPr>
        <w:spacing w:after="160" w:line="280" w:lineRule="exact"/>
        <w:jc w:val="both"/>
        <w:rPr>
          <w:rFonts w:cs="Times New Roman"/>
        </w:rPr>
      </w:pPr>
      <w:r w:rsidRPr="00DE7452">
        <w:rPr>
          <w:rFonts w:cs="Times New Roman"/>
          <w:lang w:val="sv-SE"/>
        </w:rPr>
        <w:t xml:space="preserve">Chang, Ha-Joon. 2007. </w:t>
      </w:r>
      <w:r w:rsidRPr="00DE7452">
        <w:rPr>
          <w:rFonts w:cs="Times New Roman"/>
          <w:i/>
          <w:iCs/>
          <w:color w:val="444444"/>
          <w:lang w:val="sv-SE"/>
        </w:rPr>
        <w:t>Bad Samaritans</w:t>
      </w:r>
      <w:r w:rsidRPr="00DE7452">
        <w:rPr>
          <w:rFonts w:cs="Times New Roman"/>
          <w:lang w:val="sv-SE"/>
        </w:rPr>
        <w:t xml:space="preserve">. </w:t>
      </w:r>
      <w:r w:rsidRPr="00DE7452">
        <w:rPr>
          <w:rFonts w:cs="Times New Roman"/>
        </w:rPr>
        <w:t>Bloomsbury.</w:t>
      </w:r>
    </w:p>
    <w:p w14:paraId="4A974E5C" w14:textId="77777777" w:rsidR="00197421" w:rsidRPr="00DE7452" w:rsidRDefault="00000000">
      <w:pPr>
        <w:spacing w:before="160" w:after="220"/>
        <w:jc w:val="both"/>
        <w:rPr>
          <w:rFonts w:cs="Times New Roman"/>
        </w:rPr>
      </w:pPr>
      <w:r w:rsidRPr="00DE7452">
        <w:rPr>
          <w:rFonts w:cs="Times New Roman"/>
          <w:i/>
          <w:iCs/>
          <w:color w:val="1E3A5F"/>
        </w:rPr>
        <w:t>Chicago Author-Date format. Titles in italics.</w:t>
      </w:r>
    </w:p>
    <w:p w14:paraId="3374F800" w14:textId="77777777" w:rsidR="00197421" w:rsidRPr="00DE7452" w:rsidRDefault="00000000">
      <w:pPr>
        <w:spacing w:after="160" w:line="280" w:lineRule="exact"/>
        <w:jc w:val="both"/>
        <w:rPr>
          <w:rFonts w:cs="Times New Roman"/>
        </w:rPr>
      </w:pPr>
      <w:r w:rsidRPr="00DE7452">
        <w:rPr>
          <w:rFonts w:cs="Times New Roman"/>
        </w:rPr>
        <w:t xml:space="preserve">Cohen, Joel E. 1995. </w:t>
      </w:r>
      <w:r w:rsidRPr="00DE7452">
        <w:rPr>
          <w:rFonts w:cs="Times New Roman"/>
          <w:i/>
          <w:iCs/>
          <w:color w:val="444444"/>
        </w:rPr>
        <w:t>How Many People Can the Earth Support?</w:t>
      </w:r>
      <w:r w:rsidRPr="00DE7452">
        <w:rPr>
          <w:rFonts w:cs="Times New Roman"/>
        </w:rPr>
        <w:t xml:space="preserve"> Norton.</w:t>
      </w:r>
    </w:p>
    <w:p w14:paraId="1A9FB716" w14:textId="77777777" w:rsidR="00197421" w:rsidRPr="00DE7452" w:rsidRDefault="00000000">
      <w:pPr>
        <w:spacing w:after="160" w:line="280" w:lineRule="exact"/>
        <w:jc w:val="both"/>
        <w:rPr>
          <w:rFonts w:cs="Times New Roman"/>
        </w:rPr>
      </w:pPr>
      <w:r w:rsidRPr="00DE7452">
        <w:rPr>
          <w:rFonts w:cs="Times New Roman"/>
        </w:rPr>
        <w:t xml:space="preserve">Darwin, Charles. 1859. </w:t>
      </w:r>
      <w:r w:rsidRPr="00DE7452">
        <w:rPr>
          <w:rFonts w:cs="Times New Roman"/>
          <w:i/>
          <w:iCs/>
          <w:color w:val="444444"/>
        </w:rPr>
        <w:t>On the Origin of Species</w:t>
      </w:r>
      <w:r w:rsidRPr="00DE7452">
        <w:rPr>
          <w:rFonts w:cs="Times New Roman"/>
        </w:rPr>
        <w:t>. John Murray.</w:t>
      </w:r>
    </w:p>
    <w:p w14:paraId="295AF5BD" w14:textId="77777777" w:rsidR="00197421" w:rsidRPr="00DE7452" w:rsidRDefault="00000000">
      <w:pPr>
        <w:spacing w:after="160" w:line="280" w:lineRule="exact"/>
        <w:jc w:val="both"/>
        <w:rPr>
          <w:rFonts w:cs="Times New Roman"/>
        </w:rPr>
      </w:pPr>
      <w:r w:rsidRPr="00DE7452">
        <w:rPr>
          <w:rFonts w:cs="Times New Roman"/>
        </w:rPr>
        <w:t xml:space="preserve">Dawkins, Richard. 1976. </w:t>
      </w:r>
      <w:r w:rsidRPr="00DE7452">
        <w:rPr>
          <w:rFonts w:cs="Times New Roman"/>
          <w:i/>
          <w:iCs/>
          <w:color w:val="444444"/>
        </w:rPr>
        <w:t>The Selfish Gene</w:t>
      </w:r>
      <w:r w:rsidRPr="00DE7452">
        <w:rPr>
          <w:rFonts w:cs="Times New Roman"/>
        </w:rPr>
        <w:t>. Oxford University Press.</w:t>
      </w:r>
    </w:p>
    <w:p w14:paraId="3F299014" w14:textId="77777777" w:rsidR="00197421" w:rsidRPr="00DE7452" w:rsidRDefault="00000000">
      <w:pPr>
        <w:spacing w:after="160" w:line="280" w:lineRule="exact"/>
        <w:ind w:left="360" w:hanging="360"/>
        <w:jc w:val="both"/>
        <w:rPr>
          <w:rFonts w:cs="Times New Roman"/>
        </w:rPr>
      </w:pPr>
      <w:r w:rsidRPr="00DE7452">
        <w:rPr>
          <w:rFonts w:cs="Times New Roman"/>
        </w:rPr>
        <w:t xml:space="preserve">De Benoist, Alain. 1977. </w:t>
      </w:r>
      <w:r w:rsidRPr="00DE7452">
        <w:rPr>
          <w:rFonts w:cs="Times New Roman"/>
          <w:i/>
          <w:iCs/>
          <w:color w:val="444444"/>
        </w:rPr>
        <w:t>Vu de droite</w:t>
      </w:r>
      <w:r w:rsidRPr="00DE7452">
        <w:rPr>
          <w:rFonts w:cs="Times New Roman"/>
        </w:rPr>
        <w:t>. Copernic.</w:t>
      </w:r>
    </w:p>
    <w:p w14:paraId="3B681F7E" w14:textId="77777777" w:rsidR="00197421" w:rsidRPr="00DE7452" w:rsidRDefault="00000000">
      <w:pPr>
        <w:spacing w:after="160" w:line="280" w:lineRule="exact"/>
        <w:jc w:val="both"/>
        <w:rPr>
          <w:rFonts w:cs="Times New Roman"/>
        </w:rPr>
      </w:pPr>
      <w:r w:rsidRPr="00DE7452">
        <w:rPr>
          <w:rFonts w:cs="Times New Roman"/>
        </w:rPr>
        <w:t xml:space="preserve">Diamond, Jared. 1997. </w:t>
      </w:r>
      <w:r w:rsidRPr="00DE7452">
        <w:rPr>
          <w:rFonts w:cs="Times New Roman"/>
          <w:i/>
          <w:iCs/>
          <w:color w:val="444444"/>
        </w:rPr>
        <w:t>Guns, Germs, and Steel</w:t>
      </w:r>
      <w:r w:rsidRPr="00DE7452">
        <w:rPr>
          <w:rFonts w:cs="Times New Roman"/>
        </w:rPr>
        <w:t>. Norton.</w:t>
      </w:r>
    </w:p>
    <w:p w14:paraId="2192100E" w14:textId="77777777" w:rsidR="00197421" w:rsidRPr="00DE7452" w:rsidRDefault="00000000">
      <w:pPr>
        <w:spacing w:after="160" w:line="280" w:lineRule="exact"/>
        <w:jc w:val="both"/>
        <w:rPr>
          <w:rFonts w:cs="Times New Roman"/>
        </w:rPr>
      </w:pPr>
      <w:r w:rsidRPr="00DE7452">
        <w:rPr>
          <w:rFonts w:cs="Times New Roman"/>
        </w:rPr>
        <w:lastRenderedPageBreak/>
        <w:t xml:space="preserve">Dunbar, Robin I. M. 1992. 'Neocortex size as a constraint on group size in primates.' </w:t>
      </w:r>
      <w:r w:rsidRPr="00DE7452">
        <w:rPr>
          <w:rFonts w:cs="Times New Roman"/>
          <w:i/>
          <w:iCs/>
          <w:color w:val="444444"/>
        </w:rPr>
        <w:t>Journal of Human Evolution</w:t>
      </w:r>
      <w:r w:rsidRPr="00DE7452">
        <w:rPr>
          <w:rFonts w:cs="Times New Roman"/>
        </w:rPr>
        <w:t xml:space="preserve"> 22 (6): 469-493.</w:t>
      </w:r>
    </w:p>
    <w:p w14:paraId="7B7EABFE" w14:textId="77777777" w:rsidR="00197421" w:rsidRPr="00DE7452" w:rsidRDefault="00000000">
      <w:pPr>
        <w:spacing w:after="160" w:line="280" w:lineRule="exact"/>
        <w:jc w:val="both"/>
        <w:rPr>
          <w:rFonts w:cs="Times New Roman"/>
        </w:rPr>
      </w:pPr>
      <w:r w:rsidRPr="00DE7452">
        <w:rPr>
          <w:rFonts w:cs="Times New Roman"/>
        </w:rPr>
        <w:t xml:space="preserve">Dunbar, Robin I. M. 1998. 'The social brain hypothesis.' </w:t>
      </w:r>
      <w:r w:rsidRPr="00DE7452">
        <w:rPr>
          <w:rFonts w:cs="Times New Roman"/>
          <w:i/>
          <w:iCs/>
          <w:color w:val="444444"/>
        </w:rPr>
        <w:t>Evolutionary Anthropology</w:t>
      </w:r>
      <w:r w:rsidRPr="00DE7452">
        <w:rPr>
          <w:rFonts w:cs="Times New Roman"/>
        </w:rPr>
        <w:t xml:space="preserve"> 6 (5): 178-190.</w:t>
      </w:r>
    </w:p>
    <w:p w14:paraId="122D062E" w14:textId="77777777" w:rsidR="00197421" w:rsidRPr="00DE7452" w:rsidRDefault="00000000">
      <w:pPr>
        <w:spacing w:after="160" w:line="280" w:lineRule="exact"/>
        <w:ind w:left="360" w:hanging="360"/>
        <w:jc w:val="both"/>
        <w:rPr>
          <w:rFonts w:cs="Times New Roman"/>
        </w:rPr>
      </w:pPr>
      <w:r w:rsidRPr="00DE7452">
        <w:rPr>
          <w:rFonts w:cs="Times New Roman"/>
        </w:rPr>
        <w:t xml:space="preserve">Durkheim, Émile. 1912. </w:t>
      </w:r>
      <w:r w:rsidRPr="00DE7452">
        <w:rPr>
          <w:rFonts w:cs="Times New Roman"/>
          <w:i/>
          <w:iCs/>
          <w:color w:val="444444"/>
        </w:rPr>
        <w:t>The Elementary Forms of Religious Life</w:t>
      </w:r>
      <w:r w:rsidRPr="00DE7452">
        <w:rPr>
          <w:rFonts w:cs="Times New Roman"/>
        </w:rPr>
        <w:t>. Trans. Karen Fields. Free Press, 1995.</w:t>
      </w:r>
    </w:p>
    <w:p w14:paraId="5FB90589" w14:textId="77777777" w:rsidR="00197421" w:rsidRPr="00DE7452" w:rsidRDefault="00000000">
      <w:pPr>
        <w:spacing w:after="160" w:line="280" w:lineRule="exact"/>
        <w:jc w:val="both"/>
        <w:rPr>
          <w:rFonts w:cs="Times New Roman"/>
        </w:rPr>
      </w:pPr>
      <w:r w:rsidRPr="00DE7452">
        <w:rPr>
          <w:rFonts w:cs="Times New Roman"/>
        </w:rPr>
        <w:t xml:space="preserve">Eisenstein, Elizabeth L. 1980. </w:t>
      </w:r>
      <w:r w:rsidRPr="00DE7452">
        <w:rPr>
          <w:rFonts w:cs="Times New Roman"/>
          <w:i/>
          <w:iCs/>
          <w:color w:val="444444"/>
        </w:rPr>
        <w:t>The Printing Press as an Agent of Change</w:t>
      </w:r>
      <w:r w:rsidRPr="00DE7452">
        <w:rPr>
          <w:rFonts w:cs="Times New Roman"/>
        </w:rPr>
        <w:t>. Cambridge University Press.</w:t>
      </w:r>
    </w:p>
    <w:p w14:paraId="1E111001" w14:textId="77777777" w:rsidR="00197421" w:rsidRPr="00DE7452" w:rsidRDefault="00000000">
      <w:pPr>
        <w:spacing w:after="160" w:line="280" w:lineRule="exact"/>
        <w:jc w:val="both"/>
        <w:rPr>
          <w:rFonts w:cs="Times New Roman"/>
        </w:rPr>
      </w:pPr>
      <w:r w:rsidRPr="00DE7452">
        <w:rPr>
          <w:rFonts w:cs="Times New Roman"/>
          <w:color w:val="111827"/>
        </w:rPr>
        <w:t xml:space="preserve">Evans, Peter. 1995. </w:t>
      </w:r>
      <w:r w:rsidRPr="00DE7452">
        <w:rPr>
          <w:rFonts w:cs="Times New Roman"/>
          <w:i/>
          <w:iCs/>
          <w:color w:val="111827"/>
        </w:rPr>
        <w:t>Embedded Autonomy: States and Industrial Transformation</w:t>
      </w:r>
      <w:r w:rsidRPr="00DE7452">
        <w:rPr>
          <w:rFonts w:cs="Times New Roman"/>
          <w:color w:val="111827"/>
        </w:rPr>
        <w:t>. Princeton University Press.</w:t>
      </w:r>
    </w:p>
    <w:p w14:paraId="6452CEBA" w14:textId="77777777" w:rsidR="00197421" w:rsidRPr="00DE7452" w:rsidRDefault="00000000">
      <w:pPr>
        <w:spacing w:after="160" w:line="280" w:lineRule="exact"/>
        <w:jc w:val="both"/>
        <w:rPr>
          <w:rFonts w:cs="Times New Roman"/>
        </w:rPr>
      </w:pPr>
      <w:r w:rsidRPr="00DE7452">
        <w:rPr>
          <w:rFonts w:cs="Times New Roman"/>
        </w:rPr>
        <w:t xml:space="preserve">Fanon, Frantz. 1961. </w:t>
      </w:r>
      <w:r w:rsidRPr="00DE7452">
        <w:rPr>
          <w:rFonts w:cs="Times New Roman"/>
          <w:i/>
          <w:iCs/>
          <w:color w:val="444444"/>
        </w:rPr>
        <w:t>The Wretched of the Earth</w:t>
      </w:r>
      <w:r w:rsidRPr="00DE7452">
        <w:rPr>
          <w:rFonts w:cs="Times New Roman"/>
        </w:rPr>
        <w:t>. Trans. Richard Philcox. Grove Press, 2004.</w:t>
      </w:r>
    </w:p>
    <w:p w14:paraId="22FFD12B" w14:textId="77777777" w:rsidR="00197421" w:rsidRPr="00DE7452" w:rsidRDefault="00000000">
      <w:pPr>
        <w:spacing w:after="160" w:line="280" w:lineRule="exact"/>
        <w:ind w:left="360" w:hanging="360"/>
        <w:jc w:val="both"/>
        <w:rPr>
          <w:rFonts w:cs="Times New Roman"/>
        </w:rPr>
      </w:pPr>
      <w:r w:rsidRPr="00DE7452">
        <w:rPr>
          <w:rFonts w:cs="Times New Roman"/>
        </w:rPr>
        <w:t xml:space="preserve">Al-Farabi. c. 940. </w:t>
      </w:r>
      <w:r w:rsidRPr="00DE7452">
        <w:rPr>
          <w:rFonts w:cs="Times New Roman"/>
          <w:i/>
          <w:iCs/>
          <w:color w:val="444444"/>
        </w:rPr>
        <w:t>Al-Madina al-Fadila (The Virtuous City)</w:t>
      </w:r>
      <w:r w:rsidRPr="00DE7452">
        <w:rPr>
          <w:rFonts w:cs="Times New Roman"/>
        </w:rPr>
        <w:t>. Trans. Richard Walzer. Oxford: Clarendon Press, 1985.</w:t>
      </w:r>
    </w:p>
    <w:p w14:paraId="57D1A25D" w14:textId="77777777" w:rsidR="00197421" w:rsidRPr="00DE7452" w:rsidRDefault="00000000">
      <w:pPr>
        <w:spacing w:after="160" w:line="280" w:lineRule="exact"/>
        <w:jc w:val="both"/>
        <w:rPr>
          <w:rFonts w:cs="Times New Roman"/>
        </w:rPr>
      </w:pPr>
      <w:r w:rsidRPr="00DE7452">
        <w:rPr>
          <w:rFonts w:cs="Times New Roman"/>
        </w:rPr>
        <w:t xml:space="preserve">Federici, Silvia. 2004. </w:t>
      </w:r>
      <w:r w:rsidRPr="00DE7452">
        <w:rPr>
          <w:rFonts w:cs="Times New Roman"/>
          <w:i/>
          <w:iCs/>
          <w:color w:val="444444"/>
        </w:rPr>
        <w:t>Caliban and the Witch: Women, the Body and Primitive Accumulation</w:t>
      </w:r>
      <w:r w:rsidRPr="00DE7452">
        <w:rPr>
          <w:rFonts w:cs="Times New Roman"/>
        </w:rPr>
        <w:t>. Autonomedia.</w:t>
      </w:r>
    </w:p>
    <w:p w14:paraId="1E107005" w14:textId="77777777" w:rsidR="00197421" w:rsidRPr="00DE7452" w:rsidRDefault="00000000">
      <w:pPr>
        <w:spacing w:after="160" w:line="280" w:lineRule="exact"/>
        <w:jc w:val="both"/>
        <w:rPr>
          <w:rFonts w:cs="Times New Roman"/>
        </w:rPr>
      </w:pPr>
      <w:r w:rsidRPr="00DE7452">
        <w:rPr>
          <w:rFonts w:cs="Times New Roman"/>
          <w:color w:val="111827"/>
        </w:rPr>
        <w:t xml:space="preserve">Foucault, Michel. 1975. </w:t>
      </w:r>
      <w:r w:rsidRPr="00DE7452">
        <w:rPr>
          <w:rFonts w:cs="Times New Roman"/>
          <w:i/>
          <w:iCs/>
          <w:color w:val="111827"/>
        </w:rPr>
        <w:t>Discipline and Punish: The Birth of the Prison</w:t>
      </w:r>
      <w:r w:rsidRPr="00DE7452">
        <w:rPr>
          <w:rFonts w:cs="Times New Roman"/>
          <w:color w:val="111827"/>
        </w:rPr>
        <w:t>. Trans. Alan Sheridan. Pantheon Books, 1977.</w:t>
      </w:r>
    </w:p>
    <w:p w14:paraId="1E107006" w14:textId="77777777" w:rsidR="00197421" w:rsidRPr="00DE7452" w:rsidRDefault="00000000">
      <w:pPr>
        <w:spacing w:after="160" w:line="280" w:lineRule="exact"/>
        <w:jc w:val="both"/>
        <w:rPr>
          <w:rFonts w:cs="Times New Roman"/>
        </w:rPr>
      </w:pPr>
      <w:r w:rsidRPr="00DE7452">
        <w:rPr>
          <w:rFonts w:cs="Times New Roman"/>
          <w:color w:val="111827"/>
        </w:rPr>
        <w:t xml:space="preserve">Foucault, Michel. 1988. ‘Technologies of the Self.’ In </w:t>
      </w:r>
      <w:r w:rsidRPr="00DE7452">
        <w:rPr>
          <w:rFonts w:cs="Times New Roman"/>
          <w:i/>
          <w:iCs/>
          <w:color w:val="111827"/>
        </w:rPr>
        <w:t>Technologies of the Self: A Seminar with Michel Foucault</w:t>
      </w:r>
      <w:r w:rsidRPr="00DE7452">
        <w:rPr>
          <w:rFonts w:cs="Times New Roman"/>
          <w:color w:val="111827"/>
        </w:rPr>
        <w:t>, ed. Luther H. Martin, Huck Gutman, and Patrick H. Hutton. University of Massachusetts Press.</w:t>
      </w:r>
    </w:p>
    <w:p w14:paraId="082C51A8" w14:textId="77777777" w:rsidR="00197421" w:rsidRPr="00DE7452" w:rsidRDefault="00000000">
      <w:pPr>
        <w:spacing w:after="160" w:line="280" w:lineRule="exact"/>
        <w:jc w:val="both"/>
        <w:rPr>
          <w:rFonts w:cs="Times New Roman"/>
        </w:rPr>
      </w:pPr>
      <w:r w:rsidRPr="00DE7452">
        <w:rPr>
          <w:rFonts w:cs="Times New Roman"/>
        </w:rPr>
        <w:t xml:space="preserve">Fraser, Nancy. 2016. </w:t>
      </w:r>
      <w:r w:rsidRPr="00DE7452">
        <w:rPr>
          <w:rFonts w:cs="Times New Roman"/>
          <w:i/>
          <w:iCs/>
          <w:color w:val="444444"/>
        </w:rPr>
        <w:t>Contradictions of Capital and Care</w:t>
      </w:r>
      <w:r w:rsidRPr="00DE7452">
        <w:rPr>
          <w:rFonts w:cs="Times New Roman"/>
        </w:rPr>
        <w:t xml:space="preserve">. </w:t>
      </w:r>
      <w:r w:rsidRPr="00DE7452">
        <w:rPr>
          <w:rFonts w:cs="Times New Roman"/>
          <w:i/>
          <w:iCs/>
          <w:color w:val="444444"/>
        </w:rPr>
        <w:t>New Left Review</w:t>
      </w:r>
      <w:r w:rsidRPr="00DE7452">
        <w:rPr>
          <w:rFonts w:cs="Times New Roman"/>
        </w:rPr>
        <w:t xml:space="preserve"> 100: 99-117.</w:t>
      </w:r>
    </w:p>
    <w:p w14:paraId="6D17BE00" w14:textId="77777777" w:rsidR="00197421" w:rsidRPr="00DE7452" w:rsidRDefault="00000000">
      <w:pPr>
        <w:spacing w:after="160" w:line="280" w:lineRule="exact"/>
        <w:ind w:left="360" w:hanging="360"/>
        <w:jc w:val="both"/>
        <w:rPr>
          <w:rFonts w:cs="Times New Roman"/>
        </w:rPr>
      </w:pPr>
      <w:r w:rsidRPr="00DE7452">
        <w:rPr>
          <w:rFonts w:cs="Times New Roman"/>
        </w:rPr>
        <w:t xml:space="preserve">Freire, Paulo. 1968. </w:t>
      </w:r>
      <w:r w:rsidRPr="00DE7452">
        <w:rPr>
          <w:rFonts w:cs="Times New Roman"/>
          <w:i/>
          <w:iCs/>
          <w:color w:val="444444"/>
        </w:rPr>
        <w:t>Pedagogy of the Oppressed</w:t>
      </w:r>
      <w:r w:rsidRPr="00DE7452">
        <w:rPr>
          <w:rFonts w:cs="Times New Roman"/>
        </w:rPr>
        <w:t>. Trans. Myra Bergman Ramos. Herder and Herder, 1970.</w:t>
      </w:r>
    </w:p>
    <w:p w14:paraId="38891566" w14:textId="77777777" w:rsidR="00197421" w:rsidRPr="00DE7452" w:rsidRDefault="00000000">
      <w:pPr>
        <w:spacing w:after="160" w:line="280" w:lineRule="exact"/>
        <w:ind w:left="360" w:hanging="360"/>
        <w:jc w:val="both"/>
        <w:rPr>
          <w:rFonts w:cs="Times New Roman"/>
        </w:rPr>
      </w:pPr>
      <w:r w:rsidRPr="00DE7452">
        <w:rPr>
          <w:rFonts w:cs="Times New Roman"/>
        </w:rPr>
        <w:t xml:space="preserve">Friedman, Milton. 1962. </w:t>
      </w:r>
      <w:r w:rsidRPr="00DE7452">
        <w:rPr>
          <w:rFonts w:cs="Times New Roman"/>
          <w:i/>
          <w:iCs/>
          <w:color w:val="444444"/>
        </w:rPr>
        <w:t>Capitalism and Freedom</w:t>
      </w:r>
      <w:r w:rsidRPr="00DE7452">
        <w:rPr>
          <w:rFonts w:cs="Times New Roman"/>
        </w:rPr>
        <w:t>. University of Chicago Press.</w:t>
      </w:r>
    </w:p>
    <w:p w14:paraId="29B27AC7" w14:textId="77777777" w:rsidR="00197421" w:rsidRPr="00DE7452" w:rsidRDefault="00000000">
      <w:pPr>
        <w:spacing w:after="160" w:line="280" w:lineRule="exact"/>
        <w:ind w:left="360" w:hanging="360"/>
        <w:jc w:val="both"/>
        <w:rPr>
          <w:rFonts w:cs="Times New Roman"/>
        </w:rPr>
      </w:pPr>
      <w:r w:rsidRPr="00DE7452">
        <w:rPr>
          <w:rFonts w:cs="Times New Roman"/>
        </w:rPr>
        <w:t xml:space="preserve">Geertz, Clifford. 1973. </w:t>
      </w:r>
      <w:r w:rsidRPr="00DE7452">
        <w:rPr>
          <w:rFonts w:cs="Times New Roman"/>
          <w:i/>
          <w:iCs/>
          <w:color w:val="444444"/>
        </w:rPr>
        <w:t>The Interpretation of Cultures</w:t>
      </w:r>
      <w:r w:rsidRPr="00DE7452">
        <w:rPr>
          <w:rFonts w:cs="Times New Roman"/>
        </w:rPr>
        <w:t>. Basic Books.</w:t>
      </w:r>
    </w:p>
    <w:p w14:paraId="42E0EB75" w14:textId="77777777" w:rsidR="00197421" w:rsidRPr="00DE7452" w:rsidRDefault="00000000">
      <w:pPr>
        <w:spacing w:after="160" w:line="280" w:lineRule="exact"/>
        <w:ind w:left="360" w:hanging="360"/>
        <w:jc w:val="both"/>
        <w:rPr>
          <w:rFonts w:cs="Times New Roman"/>
        </w:rPr>
      </w:pPr>
      <w:r w:rsidRPr="00DE7452">
        <w:rPr>
          <w:rFonts w:cs="Times New Roman"/>
        </w:rPr>
        <w:t xml:space="preserve">Al-Ghazali. c. 1095. </w:t>
      </w:r>
      <w:r w:rsidRPr="00DE7452">
        <w:rPr>
          <w:rFonts w:cs="Times New Roman"/>
          <w:i/>
          <w:iCs/>
          <w:color w:val="444444"/>
        </w:rPr>
        <w:t>The Incoherence of the Philosophers</w:t>
      </w:r>
      <w:r w:rsidRPr="00DE7452">
        <w:rPr>
          <w:rFonts w:cs="Times New Roman"/>
        </w:rPr>
        <w:t>. Trans. Michael Marmura. Brigham Young University Press, 1997.</w:t>
      </w:r>
    </w:p>
    <w:p w14:paraId="248D0116" w14:textId="77777777" w:rsidR="00197421" w:rsidRPr="00DE7452" w:rsidRDefault="00000000">
      <w:pPr>
        <w:spacing w:after="160" w:line="280" w:lineRule="exact"/>
        <w:jc w:val="both"/>
        <w:rPr>
          <w:rFonts w:cs="Times New Roman"/>
        </w:rPr>
      </w:pPr>
      <w:r w:rsidRPr="00DE7452">
        <w:rPr>
          <w:rFonts w:cs="Times New Roman"/>
        </w:rPr>
        <w:t xml:space="preserve">Goldstone, Jack A. 1991. </w:t>
      </w:r>
      <w:r w:rsidRPr="00DE7452">
        <w:rPr>
          <w:rFonts w:cs="Times New Roman"/>
          <w:i/>
          <w:iCs/>
          <w:color w:val="444444"/>
        </w:rPr>
        <w:t>Revolution and Rebellion in the Early Modern World</w:t>
      </w:r>
      <w:r w:rsidRPr="00DE7452">
        <w:rPr>
          <w:rFonts w:cs="Times New Roman"/>
        </w:rPr>
        <w:t>. University of California Press.</w:t>
      </w:r>
    </w:p>
    <w:p w14:paraId="432F8C7A" w14:textId="77777777" w:rsidR="00197421" w:rsidRPr="00DE7452" w:rsidRDefault="00000000">
      <w:pPr>
        <w:spacing w:after="160" w:line="280" w:lineRule="exact"/>
        <w:jc w:val="both"/>
        <w:rPr>
          <w:rFonts w:cs="Times New Roman"/>
        </w:rPr>
      </w:pPr>
      <w:r w:rsidRPr="00DE7452">
        <w:rPr>
          <w:rFonts w:cs="Times New Roman"/>
        </w:rPr>
        <w:t xml:space="preserve">Gramsci, Antonio. 1971. </w:t>
      </w:r>
      <w:r w:rsidRPr="00DE7452">
        <w:rPr>
          <w:rFonts w:cs="Times New Roman"/>
          <w:i/>
          <w:iCs/>
          <w:color w:val="444444"/>
        </w:rPr>
        <w:t>Selections from the Prison Notebooks</w:t>
      </w:r>
      <w:r w:rsidRPr="00DE7452">
        <w:rPr>
          <w:rFonts w:cs="Times New Roman"/>
        </w:rPr>
        <w:t>. Ed. and trans. Q. Hoare and G. N. Smith. International Publishers.</w:t>
      </w:r>
    </w:p>
    <w:p w14:paraId="274553F4" w14:textId="77777777" w:rsidR="00197421" w:rsidRPr="00DE7452" w:rsidRDefault="00000000">
      <w:pPr>
        <w:spacing w:after="160" w:line="280" w:lineRule="exact"/>
        <w:jc w:val="both"/>
        <w:rPr>
          <w:rFonts w:cs="Times New Roman"/>
        </w:rPr>
      </w:pPr>
      <w:r w:rsidRPr="00DE7452">
        <w:rPr>
          <w:rFonts w:cs="Times New Roman"/>
        </w:rPr>
        <w:t xml:space="preserve">Gutiérrez, Gustavo. 1971. </w:t>
      </w:r>
      <w:r w:rsidRPr="00DE7452">
        <w:rPr>
          <w:rFonts w:cs="Times New Roman"/>
          <w:i/>
          <w:iCs/>
          <w:color w:val="444444"/>
        </w:rPr>
        <w:t>A Theology of Liberation</w:t>
      </w:r>
      <w:r w:rsidRPr="00DE7452">
        <w:rPr>
          <w:rFonts w:cs="Times New Roman"/>
        </w:rPr>
        <w:t>. Trans. Caridad Inda and John Eagleson. Orbis Books, 1988.</w:t>
      </w:r>
    </w:p>
    <w:p w14:paraId="7E06C47D" w14:textId="77777777" w:rsidR="00197421" w:rsidRPr="00DE7452" w:rsidRDefault="00000000">
      <w:pPr>
        <w:spacing w:after="160" w:line="280" w:lineRule="exact"/>
        <w:ind w:left="360" w:hanging="360"/>
        <w:jc w:val="both"/>
        <w:rPr>
          <w:rFonts w:cs="Times New Roman"/>
        </w:rPr>
      </w:pPr>
      <w:r w:rsidRPr="00DE7452">
        <w:rPr>
          <w:rFonts w:cs="Times New Roman"/>
        </w:rPr>
        <w:t xml:space="preserve">Harvey, David. 2005. </w:t>
      </w:r>
      <w:r w:rsidRPr="00DE7452">
        <w:rPr>
          <w:rFonts w:cs="Times New Roman"/>
          <w:i/>
          <w:iCs/>
          <w:color w:val="444444"/>
        </w:rPr>
        <w:t>A Brief History of Neoliberalism</w:t>
      </w:r>
      <w:r w:rsidRPr="00DE7452">
        <w:rPr>
          <w:rFonts w:cs="Times New Roman"/>
        </w:rPr>
        <w:t>. Oxford University Press.</w:t>
      </w:r>
    </w:p>
    <w:p w14:paraId="49B5AFCF" w14:textId="77777777" w:rsidR="00197421" w:rsidRPr="00DE7452" w:rsidRDefault="00000000">
      <w:pPr>
        <w:spacing w:after="160" w:line="280" w:lineRule="exact"/>
        <w:ind w:left="360" w:hanging="360"/>
        <w:jc w:val="both"/>
        <w:rPr>
          <w:rFonts w:cs="Times New Roman"/>
        </w:rPr>
      </w:pPr>
      <w:r w:rsidRPr="00DE7452">
        <w:rPr>
          <w:rFonts w:cs="Times New Roman"/>
        </w:rPr>
        <w:t xml:space="preserve">Hatta, Mohammad. 1946. </w:t>
      </w:r>
      <w:r w:rsidRPr="00DE7452">
        <w:rPr>
          <w:rFonts w:cs="Times New Roman"/>
          <w:i/>
          <w:iCs/>
          <w:color w:val="444444"/>
        </w:rPr>
        <w:t>The Cooperative Movement in Indonesia</w:t>
      </w:r>
      <w:r w:rsidRPr="00DE7452">
        <w:rPr>
          <w:rFonts w:cs="Times New Roman"/>
        </w:rPr>
        <w:t>. Cornell University Press, 1957.</w:t>
      </w:r>
    </w:p>
    <w:p w14:paraId="64ACF8D4" w14:textId="77777777" w:rsidR="00197421" w:rsidRPr="00DE7452" w:rsidRDefault="00000000">
      <w:pPr>
        <w:spacing w:after="160" w:line="280" w:lineRule="exact"/>
        <w:ind w:left="360" w:hanging="360"/>
        <w:jc w:val="both"/>
        <w:rPr>
          <w:rFonts w:cs="Times New Roman"/>
        </w:rPr>
      </w:pPr>
      <w:r w:rsidRPr="00DE7452">
        <w:rPr>
          <w:rFonts w:cs="Times New Roman"/>
        </w:rPr>
        <w:lastRenderedPageBreak/>
        <w:t xml:space="preserve">Hayek, Friedrich A. 1944. </w:t>
      </w:r>
      <w:r w:rsidRPr="00DE7452">
        <w:rPr>
          <w:rFonts w:cs="Times New Roman"/>
          <w:i/>
          <w:iCs/>
          <w:color w:val="444444"/>
        </w:rPr>
        <w:t>The Road to Serfdom</w:t>
      </w:r>
      <w:r w:rsidRPr="00DE7452">
        <w:rPr>
          <w:rFonts w:cs="Times New Roman"/>
        </w:rPr>
        <w:t>. Routledge.</w:t>
      </w:r>
    </w:p>
    <w:p w14:paraId="5AD2BBF3" w14:textId="77777777" w:rsidR="00197421" w:rsidRPr="00DE7452" w:rsidRDefault="00000000">
      <w:pPr>
        <w:spacing w:after="160" w:line="280" w:lineRule="exact"/>
        <w:ind w:left="360" w:hanging="360"/>
        <w:jc w:val="both"/>
        <w:rPr>
          <w:rFonts w:cs="Times New Roman"/>
        </w:rPr>
      </w:pPr>
      <w:r w:rsidRPr="00DE7452">
        <w:rPr>
          <w:rFonts w:cs="Times New Roman"/>
        </w:rPr>
        <w:t xml:space="preserve">Hayek, Friedrich A. 1960. </w:t>
      </w:r>
      <w:r w:rsidRPr="00DE7452">
        <w:rPr>
          <w:rFonts w:cs="Times New Roman"/>
          <w:i/>
          <w:iCs/>
          <w:color w:val="444444"/>
        </w:rPr>
        <w:t>The Constitution of Liberty</w:t>
      </w:r>
      <w:r w:rsidRPr="00DE7452">
        <w:rPr>
          <w:rFonts w:cs="Times New Roman"/>
        </w:rPr>
        <w:t>. University of Chicago Press.</w:t>
      </w:r>
    </w:p>
    <w:p w14:paraId="7C3F8A46" w14:textId="77777777" w:rsidR="00197421" w:rsidRPr="00DE7452" w:rsidRDefault="00000000">
      <w:pPr>
        <w:spacing w:after="160" w:line="280" w:lineRule="exact"/>
        <w:jc w:val="both"/>
        <w:rPr>
          <w:rFonts w:cs="Times New Roman"/>
        </w:rPr>
      </w:pPr>
      <w:r w:rsidRPr="00DE7452">
        <w:rPr>
          <w:rFonts w:cs="Times New Roman"/>
        </w:rPr>
        <w:t xml:space="preserve">Hegel, G. W. F. 1807. </w:t>
      </w:r>
      <w:r w:rsidRPr="00DE7452">
        <w:rPr>
          <w:rFonts w:cs="Times New Roman"/>
          <w:i/>
          <w:iCs/>
          <w:color w:val="444444"/>
        </w:rPr>
        <w:t>Phenomenology of Spirit</w:t>
      </w:r>
      <w:r w:rsidRPr="00DE7452">
        <w:rPr>
          <w:rFonts w:cs="Times New Roman"/>
        </w:rPr>
        <w:t>. Trans. A. V. Miller. Oxford University Press, 1977.</w:t>
      </w:r>
    </w:p>
    <w:p w14:paraId="1E110002" w14:textId="77777777" w:rsidR="00197421" w:rsidRPr="00DE7452" w:rsidRDefault="00000000">
      <w:pPr>
        <w:spacing w:after="160" w:line="280" w:lineRule="exact"/>
        <w:jc w:val="both"/>
        <w:rPr>
          <w:rFonts w:cs="Times New Roman"/>
        </w:rPr>
      </w:pPr>
      <w:r w:rsidRPr="00DE7452">
        <w:rPr>
          <w:rFonts w:cs="Times New Roman"/>
          <w:color w:val="111827"/>
        </w:rPr>
        <w:t xml:space="preserve">Held, David. 1995. </w:t>
      </w:r>
      <w:r w:rsidRPr="00DE7452">
        <w:rPr>
          <w:rFonts w:cs="Times New Roman"/>
          <w:i/>
          <w:iCs/>
          <w:color w:val="111827"/>
        </w:rPr>
        <w:t>Democracy and the Global Order: From the Modern State to Cosmopolitan Governance</w:t>
      </w:r>
      <w:r w:rsidRPr="00DE7452">
        <w:rPr>
          <w:rFonts w:cs="Times New Roman"/>
          <w:color w:val="111827"/>
        </w:rPr>
        <w:t>. Polity Press.</w:t>
      </w:r>
    </w:p>
    <w:p w14:paraId="204EC019" w14:textId="77777777" w:rsidR="00197421" w:rsidRPr="00DE7452" w:rsidRDefault="00000000">
      <w:pPr>
        <w:spacing w:after="160" w:line="280" w:lineRule="exact"/>
        <w:jc w:val="both"/>
        <w:rPr>
          <w:rFonts w:cs="Times New Roman"/>
        </w:rPr>
      </w:pPr>
      <w:r w:rsidRPr="00DE7452">
        <w:rPr>
          <w:rFonts w:cs="Times New Roman"/>
        </w:rPr>
        <w:t xml:space="preserve">Herman, Edward S., and Noam Chomsky. 1988. </w:t>
      </w:r>
      <w:r w:rsidRPr="00DE7452">
        <w:rPr>
          <w:rFonts w:cs="Times New Roman"/>
          <w:i/>
          <w:iCs/>
          <w:color w:val="444444"/>
        </w:rPr>
        <w:t>Manufacturing Consent: The Political Economy of the Mass Media</w:t>
      </w:r>
      <w:r w:rsidRPr="00DE7452">
        <w:rPr>
          <w:rFonts w:cs="Times New Roman"/>
        </w:rPr>
        <w:t>. Pantheon Books.</w:t>
      </w:r>
    </w:p>
    <w:p w14:paraId="2CA8A3FB" w14:textId="77777777" w:rsidR="00197421" w:rsidRPr="00DE7452" w:rsidRDefault="00000000">
      <w:pPr>
        <w:spacing w:after="160" w:line="280" w:lineRule="exact"/>
        <w:jc w:val="both"/>
        <w:rPr>
          <w:rFonts w:cs="Times New Roman"/>
        </w:rPr>
      </w:pPr>
      <w:r w:rsidRPr="00DE7452">
        <w:rPr>
          <w:rFonts w:cs="Times New Roman"/>
        </w:rPr>
        <w:t xml:space="preserve">Hume, David. 1739. </w:t>
      </w:r>
      <w:r w:rsidRPr="00DE7452">
        <w:rPr>
          <w:rFonts w:cs="Times New Roman"/>
          <w:i/>
          <w:iCs/>
          <w:color w:val="444444"/>
        </w:rPr>
        <w:t>A Treatise of Human Nature</w:t>
      </w:r>
      <w:r w:rsidRPr="00DE7452">
        <w:rPr>
          <w:rFonts w:cs="Times New Roman"/>
        </w:rPr>
        <w:t>. Ed. L. A. Selby-Bigge. Oxford University Press, 1978.</w:t>
      </w:r>
    </w:p>
    <w:p w14:paraId="5A267CE7" w14:textId="77777777" w:rsidR="00197421" w:rsidRPr="00DE7452" w:rsidRDefault="00000000">
      <w:pPr>
        <w:spacing w:after="160" w:line="280" w:lineRule="exact"/>
        <w:ind w:left="360" w:hanging="360"/>
        <w:jc w:val="both"/>
        <w:rPr>
          <w:rFonts w:cs="Times New Roman"/>
        </w:rPr>
      </w:pPr>
      <w:r w:rsidRPr="00DE7452">
        <w:rPr>
          <w:rFonts w:cs="Times New Roman"/>
        </w:rPr>
        <w:t xml:space="preserve">Izz ibn Abd al-Salam. c. 1250. </w:t>
      </w:r>
      <w:r w:rsidRPr="00DE7452">
        <w:rPr>
          <w:rFonts w:cs="Times New Roman"/>
          <w:i/>
          <w:iCs/>
          <w:color w:val="444444"/>
        </w:rPr>
        <w:t>Qawā</w:t>
      </w:r>
      <w:r w:rsidRPr="00DE7452">
        <w:rPr>
          <w:rFonts w:ascii="Times New Roman" w:hAnsi="Times New Roman" w:cs="Times New Roman"/>
          <w:i/>
          <w:iCs/>
          <w:color w:val="444444"/>
        </w:rPr>
        <w:t>ʿ</w:t>
      </w:r>
      <w:r w:rsidRPr="00DE7452">
        <w:rPr>
          <w:rFonts w:cs="Times New Roman"/>
          <w:i/>
          <w:iCs/>
          <w:color w:val="444444"/>
        </w:rPr>
        <w:t>id al-A</w:t>
      </w:r>
      <w:r w:rsidRPr="00DE7452">
        <w:rPr>
          <w:rFonts w:ascii="Cambria" w:hAnsi="Cambria" w:cs="Cambria"/>
          <w:i/>
          <w:iCs/>
          <w:color w:val="444444"/>
        </w:rPr>
        <w:t>ḥ</w:t>
      </w:r>
      <w:r w:rsidRPr="00DE7452">
        <w:rPr>
          <w:rFonts w:cs="Times New Roman"/>
          <w:i/>
          <w:iCs/>
          <w:color w:val="444444"/>
        </w:rPr>
        <w:t>kām fī Ma</w:t>
      </w:r>
      <w:r w:rsidRPr="00DE7452">
        <w:rPr>
          <w:rFonts w:ascii="Cambria" w:hAnsi="Cambria" w:cs="Cambria"/>
          <w:i/>
          <w:iCs/>
          <w:color w:val="444444"/>
        </w:rPr>
        <w:t>ṣ</w:t>
      </w:r>
      <w:r w:rsidRPr="00DE7452">
        <w:rPr>
          <w:rFonts w:cs="Times New Roman"/>
          <w:i/>
          <w:iCs/>
          <w:color w:val="444444"/>
        </w:rPr>
        <w:t>āli</w:t>
      </w:r>
      <w:r w:rsidRPr="00DE7452">
        <w:rPr>
          <w:rFonts w:ascii="Cambria" w:hAnsi="Cambria" w:cs="Cambria"/>
          <w:i/>
          <w:iCs/>
          <w:color w:val="444444"/>
        </w:rPr>
        <w:t>ḥ</w:t>
      </w:r>
      <w:r w:rsidRPr="00DE7452">
        <w:rPr>
          <w:rFonts w:cs="Times New Roman"/>
          <w:i/>
          <w:iCs/>
          <w:color w:val="444444"/>
        </w:rPr>
        <w:t xml:space="preserve"> al-Anām</w:t>
      </w:r>
      <w:r w:rsidRPr="00DE7452">
        <w:rPr>
          <w:rFonts w:cs="Times New Roman"/>
        </w:rPr>
        <w:t>. [Rules of Judgment Concerning the Interests of Mankind]. Various trans.</w:t>
      </w:r>
    </w:p>
    <w:p w14:paraId="7B6609C6" w14:textId="77777777" w:rsidR="00197421" w:rsidRPr="00DE7452" w:rsidRDefault="00000000">
      <w:pPr>
        <w:spacing w:after="160" w:line="280" w:lineRule="exact"/>
        <w:ind w:left="360" w:hanging="360"/>
        <w:jc w:val="both"/>
        <w:rPr>
          <w:rFonts w:cs="Times New Roman"/>
        </w:rPr>
      </w:pPr>
      <w:r w:rsidRPr="00DE7452">
        <w:rPr>
          <w:rFonts w:cs="Times New Roman"/>
        </w:rPr>
        <w:t xml:space="preserve">John Paul II. 1987. </w:t>
      </w:r>
      <w:r w:rsidRPr="00DE7452">
        <w:rPr>
          <w:rFonts w:cs="Times New Roman"/>
          <w:i/>
          <w:iCs/>
          <w:color w:val="444444"/>
        </w:rPr>
        <w:t>Sollicitudo Rei Socialis</w:t>
      </w:r>
      <w:r w:rsidRPr="00DE7452">
        <w:rPr>
          <w:rFonts w:cs="Times New Roman"/>
        </w:rPr>
        <w:t>. Vatican City: Libreria Editrice Vaticana.</w:t>
      </w:r>
    </w:p>
    <w:p w14:paraId="45993758" w14:textId="77777777" w:rsidR="00197421" w:rsidRPr="00DE7452" w:rsidRDefault="00000000">
      <w:pPr>
        <w:spacing w:after="160" w:line="280" w:lineRule="exact"/>
        <w:jc w:val="both"/>
        <w:rPr>
          <w:rFonts w:cs="Times New Roman"/>
        </w:rPr>
      </w:pPr>
      <w:r w:rsidRPr="00DE7452">
        <w:rPr>
          <w:rFonts w:cs="Times New Roman"/>
        </w:rPr>
        <w:t xml:space="preserve">Kahneman, Daniel. 2011. </w:t>
      </w:r>
      <w:r w:rsidRPr="00DE7452">
        <w:rPr>
          <w:rFonts w:cs="Times New Roman"/>
          <w:i/>
          <w:iCs/>
          <w:color w:val="444444"/>
        </w:rPr>
        <w:t>Thinking, Fast and Slow</w:t>
      </w:r>
      <w:r w:rsidRPr="00DE7452">
        <w:rPr>
          <w:rFonts w:cs="Times New Roman"/>
        </w:rPr>
        <w:t>. Farrar, Straus and Giroux.</w:t>
      </w:r>
    </w:p>
    <w:p w14:paraId="1E107004" w14:textId="77777777" w:rsidR="00197421" w:rsidRPr="00DE7452" w:rsidRDefault="00000000">
      <w:pPr>
        <w:spacing w:after="160" w:line="280" w:lineRule="exact"/>
        <w:jc w:val="both"/>
        <w:rPr>
          <w:rFonts w:cs="Times New Roman"/>
        </w:rPr>
      </w:pPr>
      <w:r w:rsidRPr="00DE7452">
        <w:rPr>
          <w:rFonts w:cs="Times New Roman"/>
          <w:color w:val="111827"/>
        </w:rPr>
        <w:t xml:space="preserve">Kastrup, Bernardo. 2019. </w:t>
      </w:r>
      <w:r w:rsidRPr="00DE7452">
        <w:rPr>
          <w:rFonts w:cs="Times New Roman"/>
          <w:i/>
          <w:iCs/>
          <w:color w:val="111827"/>
        </w:rPr>
        <w:t>The Idea of the World: A Multi-Disciplinary Argument for the Mental Nature of Reality</w:t>
      </w:r>
      <w:r w:rsidRPr="00DE7452">
        <w:rPr>
          <w:rFonts w:cs="Times New Roman"/>
          <w:color w:val="111827"/>
        </w:rPr>
        <w:t>. iff Books.</w:t>
      </w:r>
    </w:p>
    <w:p w14:paraId="6595A556" w14:textId="77777777" w:rsidR="00197421" w:rsidRPr="00DE7452" w:rsidRDefault="00000000">
      <w:pPr>
        <w:spacing w:after="160" w:line="280" w:lineRule="exact"/>
        <w:ind w:left="360" w:hanging="360"/>
        <w:jc w:val="both"/>
        <w:rPr>
          <w:rFonts w:cs="Times New Roman"/>
        </w:rPr>
      </w:pPr>
      <w:r w:rsidRPr="00DE7452">
        <w:rPr>
          <w:rFonts w:cs="Times New Roman"/>
        </w:rPr>
        <w:t xml:space="preserve">Kautilya. c. 300 BCE. </w:t>
      </w:r>
      <w:r w:rsidRPr="00DE7452">
        <w:rPr>
          <w:rFonts w:cs="Times New Roman"/>
          <w:i/>
          <w:iCs/>
          <w:color w:val="444444"/>
        </w:rPr>
        <w:t>The Arthashastra</w:t>
      </w:r>
      <w:r w:rsidRPr="00DE7452">
        <w:rPr>
          <w:rFonts w:cs="Times New Roman"/>
        </w:rPr>
        <w:t>. Trans. L.N. Rangarajan. Penguin Books, 1992.</w:t>
      </w:r>
    </w:p>
    <w:p w14:paraId="5CA79419" w14:textId="77777777" w:rsidR="00197421" w:rsidRPr="00DE7452" w:rsidRDefault="00000000">
      <w:pPr>
        <w:spacing w:after="160" w:line="280" w:lineRule="exact"/>
        <w:jc w:val="both"/>
        <w:rPr>
          <w:rFonts w:cs="Times New Roman"/>
        </w:rPr>
      </w:pPr>
      <w:r w:rsidRPr="00DE7452">
        <w:rPr>
          <w:rFonts w:cs="Times New Roman"/>
        </w:rPr>
        <w:t xml:space="preserve">Ibn Khaldun. 1377. </w:t>
      </w:r>
      <w:r w:rsidRPr="00DE7452">
        <w:rPr>
          <w:rFonts w:cs="Times New Roman"/>
          <w:i/>
          <w:iCs/>
          <w:color w:val="444444"/>
        </w:rPr>
        <w:t>The Muqaddimah: An Introduction to History</w:t>
      </w:r>
      <w:r w:rsidRPr="00DE7452">
        <w:rPr>
          <w:rFonts w:cs="Times New Roman"/>
        </w:rPr>
        <w:t>. Trans. Franz Rosenthal. 3 vols. Princeton University Press, 1958.</w:t>
      </w:r>
    </w:p>
    <w:p w14:paraId="506F7A70" w14:textId="77777777" w:rsidR="00197421" w:rsidRPr="00DE7452" w:rsidRDefault="00000000">
      <w:pPr>
        <w:spacing w:after="160" w:line="280" w:lineRule="exact"/>
        <w:jc w:val="both"/>
        <w:rPr>
          <w:rFonts w:cs="Times New Roman"/>
        </w:rPr>
      </w:pPr>
      <w:r w:rsidRPr="00DE7452">
        <w:rPr>
          <w:rFonts w:cs="Times New Roman"/>
        </w:rPr>
        <w:t xml:space="preserve">Klare, Michael T. 2001. </w:t>
      </w:r>
      <w:r w:rsidRPr="00DE7452">
        <w:rPr>
          <w:rFonts w:cs="Times New Roman"/>
          <w:i/>
          <w:iCs/>
          <w:color w:val="444444"/>
        </w:rPr>
        <w:t>Resource Wars</w:t>
      </w:r>
      <w:r w:rsidRPr="00DE7452">
        <w:rPr>
          <w:rFonts w:cs="Times New Roman"/>
        </w:rPr>
        <w:t>. Metropolitan Books.</w:t>
      </w:r>
    </w:p>
    <w:p w14:paraId="23E95A9A" w14:textId="77777777" w:rsidR="00197421" w:rsidRPr="00DE7452" w:rsidRDefault="00000000">
      <w:pPr>
        <w:spacing w:after="160" w:line="280" w:lineRule="exact"/>
        <w:jc w:val="both"/>
        <w:rPr>
          <w:rFonts w:cs="Times New Roman"/>
        </w:rPr>
      </w:pPr>
      <w:r w:rsidRPr="00DE7452">
        <w:rPr>
          <w:rFonts w:cs="Times New Roman"/>
        </w:rPr>
        <w:t xml:space="preserve">Lenin, V. I. 1917. </w:t>
      </w:r>
      <w:r w:rsidRPr="00DE7452">
        <w:rPr>
          <w:rFonts w:cs="Times New Roman"/>
          <w:i/>
          <w:iCs/>
          <w:color w:val="444444"/>
        </w:rPr>
        <w:t>The State and Revolution</w:t>
      </w:r>
      <w:r w:rsidRPr="00DE7452">
        <w:rPr>
          <w:rFonts w:cs="Times New Roman"/>
        </w:rPr>
        <w:t>. International Publishers, 1932.</w:t>
      </w:r>
    </w:p>
    <w:p w14:paraId="1491ECB7" w14:textId="77777777" w:rsidR="00197421" w:rsidRPr="00DE7452" w:rsidRDefault="00000000">
      <w:pPr>
        <w:spacing w:after="160" w:line="280" w:lineRule="exact"/>
        <w:ind w:left="360" w:hanging="360"/>
        <w:jc w:val="both"/>
        <w:rPr>
          <w:rFonts w:cs="Times New Roman"/>
        </w:rPr>
      </w:pPr>
      <w:r w:rsidRPr="00DE7452">
        <w:rPr>
          <w:rFonts w:cs="Times New Roman"/>
        </w:rPr>
        <w:t xml:space="preserve">Leo XIII. 1891. </w:t>
      </w:r>
      <w:r w:rsidRPr="00DE7452">
        <w:rPr>
          <w:rFonts w:cs="Times New Roman"/>
          <w:i/>
          <w:iCs/>
          <w:color w:val="444444"/>
        </w:rPr>
        <w:t>Rerum Novarum</w:t>
      </w:r>
      <w:r w:rsidRPr="00DE7452">
        <w:rPr>
          <w:rFonts w:cs="Times New Roman"/>
        </w:rPr>
        <w:t>. Vatican City: Libreria Editrice Vaticana.</w:t>
      </w:r>
    </w:p>
    <w:p w14:paraId="3F1CF48B" w14:textId="77777777" w:rsidR="00197421" w:rsidRPr="00DE7452" w:rsidRDefault="00000000">
      <w:pPr>
        <w:spacing w:after="160" w:line="280" w:lineRule="exact"/>
        <w:jc w:val="both"/>
        <w:rPr>
          <w:rFonts w:cs="Times New Roman"/>
        </w:rPr>
      </w:pPr>
      <w:r w:rsidRPr="00DE7452">
        <w:rPr>
          <w:rFonts w:cs="Times New Roman"/>
        </w:rPr>
        <w:t xml:space="preserve">Lukes, Steven. 1974. </w:t>
      </w:r>
      <w:r w:rsidRPr="00DE7452">
        <w:rPr>
          <w:rFonts w:cs="Times New Roman"/>
          <w:i/>
          <w:iCs/>
          <w:color w:val="444444"/>
        </w:rPr>
        <w:t>Power: A Radical View</w:t>
      </w:r>
      <w:r w:rsidRPr="00DE7452">
        <w:rPr>
          <w:rFonts w:cs="Times New Roman"/>
        </w:rPr>
        <w:t>. Macmillan.</w:t>
      </w:r>
    </w:p>
    <w:p w14:paraId="0FE1B84D" w14:textId="77777777" w:rsidR="00197421" w:rsidRPr="00DE7452" w:rsidRDefault="00000000">
      <w:pPr>
        <w:spacing w:after="160" w:line="280" w:lineRule="exact"/>
        <w:ind w:left="360" w:hanging="360"/>
        <w:jc w:val="both"/>
        <w:rPr>
          <w:rFonts w:cs="Times New Roman"/>
        </w:rPr>
      </w:pPr>
      <w:r w:rsidRPr="00DE7452">
        <w:rPr>
          <w:rFonts w:cs="Times New Roman"/>
        </w:rPr>
        <w:t xml:space="preserve">Luthfi Assyaukanie. 2009. </w:t>
      </w:r>
      <w:r w:rsidRPr="00DE7452">
        <w:rPr>
          <w:rFonts w:cs="Times New Roman"/>
          <w:i/>
          <w:iCs/>
          <w:color w:val="444444"/>
        </w:rPr>
        <w:t>Islam and the Secular State in Indonesia</w:t>
      </w:r>
      <w:r w:rsidRPr="00DE7452">
        <w:rPr>
          <w:rFonts w:cs="Times New Roman"/>
        </w:rPr>
        <w:t>. Institute of Southeast Asian Studies.</w:t>
      </w:r>
    </w:p>
    <w:p w14:paraId="21ECFF6A" w14:textId="77777777" w:rsidR="00197421" w:rsidRPr="00DE7452" w:rsidRDefault="00000000">
      <w:pPr>
        <w:spacing w:after="160" w:line="280" w:lineRule="exact"/>
        <w:jc w:val="both"/>
        <w:rPr>
          <w:rFonts w:cs="Times New Roman"/>
        </w:rPr>
      </w:pPr>
      <w:r w:rsidRPr="00DE7452">
        <w:rPr>
          <w:rFonts w:cs="Times New Roman"/>
        </w:rPr>
        <w:t xml:space="preserve">Malthus, Thomas Robert. 1798. </w:t>
      </w:r>
      <w:r w:rsidRPr="00DE7452">
        <w:rPr>
          <w:rFonts w:cs="Times New Roman"/>
          <w:i/>
          <w:iCs/>
          <w:color w:val="444444"/>
        </w:rPr>
        <w:t>An Essay on the Principle of Population</w:t>
      </w:r>
      <w:r w:rsidRPr="00DE7452">
        <w:rPr>
          <w:rFonts w:cs="Times New Roman"/>
        </w:rPr>
        <w:t>. J. Johnson.</w:t>
      </w:r>
    </w:p>
    <w:p w14:paraId="1E111002" w14:textId="77777777" w:rsidR="00197421" w:rsidRPr="00DE7452" w:rsidRDefault="00000000">
      <w:pPr>
        <w:spacing w:after="160" w:line="280" w:lineRule="exact"/>
        <w:jc w:val="both"/>
        <w:rPr>
          <w:rFonts w:cs="Times New Roman"/>
        </w:rPr>
      </w:pPr>
      <w:r w:rsidRPr="00DE7452">
        <w:rPr>
          <w:rFonts w:cs="Times New Roman"/>
          <w:color w:val="111827"/>
        </w:rPr>
        <w:t xml:space="preserve">Machiavelli, Niccolò. 1513. </w:t>
      </w:r>
      <w:r w:rsidRPr="00DE7452">
        <w:rPr>
          <w:rFonts w:cs="Times New Roman"/>
          <w:i/>
          <w:iCs/>
          <w:color w:val="111827"/>
        </w:rPr>
        <w:t xml:space="preserve">The </w:t>
      </w:r>
      <w:proofErr w:type="gramStart"/>
      <w:r w:rsidRPr="00DE7452">
        <w:rPr>
          <w:rFonts w:cs="Times New Roman"/>
          <w:i/>
          <w:iCs/>
          <w:color w:val="111827"/>
        </w:rPr>
        <w:t>Prince</w:t>
      </w:r>
      <w:proofErr w:type="gramEnd"/>
      <w:r w:rsidRPr="00DE7452">
        <w:rPr>
          <w:rFonts w:cs="Times New Roman"/>
          <w:color w:val="111827"/>
        </w:rPr>
        <w:t>. Trans. Harvey C. Mansfield. University of Chicago Press, 1998.</w:t>
      </w:r>
    </w:p>
    <w:p w14:paraId="1192888E" w14:textId="77777777" w:rsidR="00197421" w:rsidRPr="00DE7452" w:rsidRDefault="00000000">
      <w:pPr>
        <w:spacing w:after="160" w:line="280" w:lineRule="exact"/>
        <w:ind w:left="360" w:hanging="360"/>
        <w:jc w:val="both"/>
        <w:rPr>
          <w:rFonts w:cs="Times New Roman"/>
        </w:rPr>
      </w:pPr>
      <w:r w:rsidRPr="00DE7452">
        <w:rPr>
          <w:rFonts w:cs="Times New Roman"/>
        </w:rPr>
        <w:t xml:space="preserve">Mariátegui, José Carlos. 1928. </w:t>
      </w:r>
      <w:r w:rsidRPr="00DE7452">
        <w:rPr>
          <w:rFonts w:cs="Times New Roman"/>
          <w:i/>
          <w:iCs/>
          <w:color w:val="444444"/>
        </w:rPr>
        <w:t>Seven Interpretive Essays on Peruvian Reality</w:t>
      </w:r>
      <w:r w:rsidRPr="00DE7452">
        <w:rPr>
          <w:rFonts w:cs="Times New Roman"/>
        </w:rPr>
        <w:t>. Trans. Marjory Urquidi. University of Texas Press, 1971.</w:t>
      </w:r>
    </w:p>
    <w:p w14:paraId="4CAA3164" w14:textId="77777777" w:rsidR="00197421" w:rsidRPr="00DE7452" w:rsidRDefault="00000000">
      <w:pPr>
        <w:spacing w:after="160" w:line="280" w:lineRule="exact"/>
        <w:jc w:val="both"/>
        <w:rPr>
          <w:rFonts w:cs="Times New Roman"/>
        </w:rPr>
      </w:pPr>
      <w:r w:rsidRPr="00DE7452">
        <w:rPr>
          <w:rFonts w:cs="Times New Roman"/>
        </w:rPr>
        <w:t xml:space="preserve">Marx, Karl, and Friedrich Engels. 1848. </w:t>
      </w:r>
      <w:r w:rsidRPr="00DE7452">
        <w:rPr>
          <w:rFonts w:cs="Times New Roman"/>
          <w:i/>
          <w:iCs/>
          <w:color w:val="444444"/>
        </w:rPr>
        <w:t>The Communist Manifesto</w:t>
      </w:r>
      <w:r w:rsidRPr="00DE7452">
        <w:rPr>
          <w:rFonts w:cs="Times New Roman"/>
        </w:rPr>
        <w:t>. Penguin Books, 2002.</w:t>
      </w:r>
    </w:p>
    <w:p w14:paraId="4A457F6A" w14:textId="77777777" w:rsidR="00197421" w:rsidRPr="00DE7452" w:rsidRDefault="00000000">
      <w:pPr>
        <w:spacing w:after="160" w:line="280" w:lineRule="exact"/>
        <w:jc w:val="both"/>
        <w:rPr>
          <w:rFonts w:cs="Times New Roman"/>
        </w:rPr>
      </w:pPr>
      <w:r w:rsidRPr="00DE7452">
        <w:rPr>
          <w:rFonts w:cs="Times New Roman"/>
        </w:rPr>
        <w:t xml:space="preserve">Marx, Karl. 1844. </w:t>
      </w:r>
      <w:r w:rsidRPr="00DE7452">
        <w:rPr>
          <w:rFonts w:cs="Times New Roman"/>
          <w:i/>
          <w:iCs/>
          <w:color w:val="444444"/>
        </w:rPr>
        <w:t>Economic and Philosophic Manuscripts of 1844</w:t>
      </w:r>
      <w:r w:rsidRPr="00DE7452">
        <w:rPr>
          <w:rFonts w:cs="Times New Roman"/>
        </w:rPr>
        <w:t>. Trans. Martin Milligan. International Publishers, 1964.</w:t>
      </w:r>
    </w:p>
    <w:p w14:paraId="6735EB8F" w14:textId="77777777" w:rsidR="00197421" w:rsidRPr="00DE7452" w:rsidRDefault="00000000">
      <w:pPr>
        <w:spacing w:after="160" w:line="280" w:lineRule="exact"/>
        <w:jc w:val="both"/>
        <w:rPr>
          <w:rFonts w:cs="Times New Roman"/>
        </w:rPr>
      </w:pPr>
      <w:r w:rsidRPr="00DE7452">
        <w:rPr>
          <w:rFonts w:cs="Times New Roman"/>
        </w:rPr>
        <w:t xml:space="preserve">Marx, Karl. 1845. 'Theses on Feuerbach.' In </w:t>
      </w:r>
      <w:r w:rsidRPr="00DE7452">
        <w:rPr>
          <w:rFonts w:cs="Times New Roman"/>
          <w:i/>
          <w:iCs/>
          <w:color w:val="444444"/>
        </w:rPr>
        <w:t>Selected Works</w:t>
      </w:r>
      <w:r w:rsidRPr="00DE7452">
        <w:rPr>
          <w:rFonts w:cs="Times New Roman"/>
        </w:rPr>
        <w:t>, Vol. 1. Progress Publishers, 1969.</w:t>
      </w:r>
    </w:p>
    <w:p w14:paraId="1A9AB5ED" w14:textId="77777777" w:rsidR="00197421" w:rsidRPr="00DE7452" w:rsidRDefault="00000000">
      <w:pPr>
        <w:spacing w:after="160" w:line="280" w:lineRule="exact"/>
        <w:jc w:val="both"/>
        <w:rPr>
          <w:rFonts w:cs="Times New Roman"/>
        </w:rPr>
      </w:pPr>
      <w:r w:rsidRPr="00DE7452">
        <w:rPr>
          <w:rFonts w:cs="Times New Roman"/>
        </w:rPr>
        <w:lastRenderedPageBreak/>
        <w:t xml:space="preserve">Marx, Karl. 1859. </w:t>
      </w:r>
      <w:r w:rsidRPr="00DE7452">
        <w:rPr>
          <w:rFonts w:cs="Times New Roman"/>
          <w:i/>
          <w:iCs/>
          <w:color w:val="444444"/>
        </w:rPr>
        <w:t>A Contribution to the Critique of Political Economy</w:t>
      </w:r>
      <w:r w:rsidRPr="00DE7452">
        <w:rPr>
          <w:rFonts w:cs="Times New Roman"/>
        </w:rPr>
        <w:t>. International Publishers, 1970.</w:t>
      </w:r>
    </w:p>
    <w:p w14:paraId="3C420AEE" w14:textId="77777777" w:rsidR="00197421" w:rsidRPr="00DE7452" w:rsidRDefault="00000000">
      <w:pPr>
        <w:spacing w:after="160" w:line="280" w:lineRule="exact"/>
        <w:jc w:val="both"/>
        <w:rPr>
          <w:rFonts w:cs="Times New Roman"/>
        </w:rPr>
      </w:pPr>
      <w:r w:rsidRPr="00DE7452">
        <w:rPr>
          <w:rFonts w:cs="Times New Roman"/>
        </w:rPr>
        <w:t xml:space="preserve">Marx, Karl. 1867. </w:t>
      </w:r>
      <w:r w:rsidRPr="00DE7452">
        <w:rPr>
          <w:rFonts w:cs="Times New Roman"/>
          <w:i/>
          <w:iCs/>
          <w:color w:val="444444"/>
        </w:rPr>
        <w:t>Capital: A Critique of Political Economy, Vol. 1</w:t>
      </w:r>
      <w:r w:rsidRPr="00DE7452">
        <w:rPr>
          <w:rFonts w:cs="Times New Roman"/>
        </w:rPr>
        <w:t>. Trans. Ben Fowkes. Penguin Books, 1976.</w:t>
      </w:r>
    </w:p>
    <w:p w14:paraId="3D8D72DF" w14:textId="77777777" w:rsidR="00197421" w:rsidRPr="00DE7452" w:rsidRDefault="00000000">
      <w:pPr>
        <w:spacing w:after="160" w:line="280" w:lineRule="exact"/>
        <w:ind w:left="360" w:hanging="360"/>
        <w:jc w:val="both"/>
        <w:rPr>
          <w:rFonts w:cs="Times New Roman"/>
        </w:rPr>
      </w:pPr>
      <w:r w:rsidRPr="00DE7452">
        <w:rPr>
          <w:rFonts w:cs="Times New Roman"/>
        </w:rPr>
        <w:t xml:space="preserve">Mencius. c. 300 BCE. </w:t>
      </w:r>
      <w:r w:rsidRPr="00DE7452">
        <w:rPr>
          <w:rFonts w:cs="Times New Roman"/>
          <w:i/>
          <w:iCs/>
          <w:color w:val="444444"/>
        </w:rPr>
        <w:t>Mencius</w:t>
      </w:r>
      <w:r w:rsidRPr="00DE7452">
        <w:rPr>
          <w:rFonts w:cs="Times New Roman"/>
        </w:rPr>
        <w:t>. Trans. D.C. Lau. Penguin Books, 2004.</w:t>
      </w:r>
    </w:p>
    <w:p w14:paraId="34C7B58C" w14:textId="77777777" w:rsidR="00197421" w:rsidRPr="00DE7452" w:rsidRDefault="00000000">
      <w:pPr>
        <w:spacing w:after="160" w:line="280" w:lineRule="exact"/>
        <w:jc w:val="both"/>
        <w:rPr>
          <w:rFonts w:cs="Times New Roman"/>
        </w:rPr>
      </w:pPr>
      <w:r w:rsidRPr="00DE7452">
        <w:rPr>
          <w:rFonts w:cs="Times New Roman"/>
        </w:rPr>
        <w:t xml:space="preserve">Minsky, Hyman P. 1986. </w:t>
      </w:r>
      <w:r w:rsidRPr="00DE7452">
        <w:rPr>
          <w:rFonts w:cs="Times New Roman"/>
          <w:i/>
          <w:iCs/>
          <w:color w:val="444444"/>
        </w:rPr>
        <w:t>Stabilizing an Unstable Economy</w:t>
      </w:r>
      <w:r w:rsidRPr="00DE7452">
        <w:rPr>
          <w:rFonts w:cs="Times New Roman"/>
        </w:rPr>
        <w:t>. Yale University Press.</w:t>
      </w:r>
    </w:p>
    <w:p w14:paraId="1E110006" w14:textId="77777777" w:rsidR="00197421" w:rsidRPr="00DE7452" w:rsidRDefault="00000000">
      <w:pPr>
        <w:spacing w:after="160" w:line="280" w:lineRule="exact"/>
        <w:jc w:val="both"/>
        <w:rPr>
          <w:rFonts w:cs="Times New Roman"/>
        </w:rPr>
      </w:pPr>
      <w:r w:rsidRPr="00DE7452">
        <w:rPr>
          <w:rFonts w:cs="Times New Roman"/>
          <w:color w:val="111827"/>
        </w:rPr>
        <w:t xml:space="preserve">Montesquieu, Charles-Louis de Secondat. 1748. </w:t>
      </w:r>
      <w:r w:rsidRPr="00DE7452">
        <w:rPr>
          <w:rFonts w:cs="Times New Roman"/>
          <w:i/>
          <w:iCs/>
          <w:color w:val="111827"/>
        </w:rPr>
        <w:t>De l’Esprit des Lois [The Spirit of the Laws]</w:t>
      </w:r>
      <w:r w:rsidRPr="00DE7452">
        <w:rPr>
          <w:rFonts w:cs="Times New Roman"/>
          <w:color w:val="111827"/>
        </w:rPr>
        <w:t>. Trans. Anne Cohler, Basia Miller, Harold Stone. Cambridge University Press, 1989.</w:t>
      </w:r>
    </w:p>
    <w:p w14:paraId="15850EF5" w14:textId="77777777" w:rsidR="00197421" w:rsidRPr="00DE7452" w:rsidRDefault="00000000">
      <w:pPr>
        <w:spacing w:after="160" w:line="280" w:lineRule="exact"/>
        <w:jc w:val="both"/>
        <w:rPr>
          <w:rFonts w:cs="Times New Roman"/>
        </w:rPr>
      </w:pPr>
      <w:r w:rsidRPr="00DE7452">
        <w:rPr>
          <w:rFonts w:cs="Times New Roman"/>
        </w:rPr>
        <w:t xml:space="preserve">Nagel, Thomas. 1974. 'What is it like to be a bat?' </w:t>
      </w:r>
      <w:r w:rsidRPr="00DE7452">
        <w:rPr>
          <w:rFonts w:cs="Times New Roman"/>
          <w:i/>
          <w:iCs/>
          <w:color w:val="444444"/>
        </w:rPr>
        <w:t>Philosophical Review</w:t>
      </w:r>
      <w:r w:rsidRPr="00DE7452">
        <w:rPr>
          <w:rFonts w:cs="Times New Roman"/>
        </w:rPr>
        <w:t xml:space="preserve"> 83 (4): 435-450.</w:t>
      </w:r>
    </w:p>
    <w:p w14:paraId="2C9B9995" w14:textId="77777777" w:rsidR="00197421" w:rsidRPr="00DE7452" w:rsidRDefault="00000000">
      <w:pPr>
        <w:spacing w:after="160" w:line="280" w:lineRule="exact"/>
        <w:jc w:val="both"/>
        <w:rPr>
          <w:rFonts w:cs="Times New Roman"/>
        </w:rPr>
      </w:pPr>
      <w:r w:rsidRPr="00DE7452">
        <w:rPr>
          <w:rFonts w:cs="Times New Roman"/>
        </w:rPr>
        <w:t xml:space="preserve">Nagel, Thomas. 2012. </w:t>
      </w:r>
      <w:r w:rsidRPr="00DE7452">
        <w:rPr>
          <w:rFonts w:cs="Times New Roman"/>
          <w:i/>
          <w:iCs/>
          <w:color w:val="444444"/>
        </w:rPr>
        <w:t>Mind and Cosmos</w:t>
      </w:r>
      <w:r w:rsidRPr="00DE7452">
        <w:rPr>
          <w:rFonts w:cs="Times New Roman"/>
        </w:rPr>
        <w:t>. Oxford University Press.</w:t>
      </w:r>
    </w:p>
    <w:p w14:paraId="6C8C83CA" w14:textId="77777777" w:rsidR="00197421" w:rsidRPr="00DE7452" w:rsidRDefault="00000000">
      <w:pPr>
        <w:spacing w:after="160" w:line="280" w:lineRule="exact"/>
        <w:jc w:val="both"/>
        <w:rPr>
          <w:rFonts w:cs="Times New Roman"/>
        </w:rPr>
      </w:pPr>
      <w:r w:rsidRPr="00DE7452">
        <w:rPr>
          <w:rFonts w:cs="Times New Roman"/>
        </w:rPr>
        <w:t xml:space="preserve">North, Douglass C. 1990. </w:t>
      </w:r>
      <w:r w:rsidRPr="00DE7452">
        <w:rPr>
          <w:rFonts w:cs="Times New Roman"/>
          <w:i/>
          <w:iCs/>
          <w:color w:val="444444"/>
        </w:rPr>
        <w:t>Institutions, Institutional Change and Economic Performance</w:t>
      </w:r>
      <w:r w:rsidRPr="00DE7452">
        <w:rPr>
          <w:rFonts w:cs="Times New Roman"/>
        </w:rPr>
        <w:t>. Cambridge University Press.</w:t>
      </w:r>
    </w:p>
    <w:p w14:paraId="65A8C49B" w14:textId="77777777" w:rsidR="00197421" w:rsidRPr="00DE7452" w:rsidRDefault="00000000">
      <w:pPr>
        <w:spacing w:after="160" w:line="280" w:lineRule="exact"/>
        <w:jc w:val="both"/>
        <w:rPr>
          <w:rFonts w:cs="Times New Roman"/>
        </w:rPr>
      </w:pPr>
      <w:r w:rsidRPr="00DE7452">
        <w:rPr>
          <w:rFonts w:cs="Times New Roman"/>
        </w:rPr>
        <w:t xml:space="preserve">North, Douglass C., John J. Wallis, and Barry R. Weingast. 2009. </w:t>
      </w:r>
      <w:r w:rsidRPr="00DE7452">
        <w:rPr>
          <w:rFonts w:cs="Times New Roman"/>
          <w:i/>
          <w:iCs/>
          <w:color w:val="444444"/>
        </w:rPr>
        <w:t>Violence and Social Orders</w:t>
      </w:r>
      <w:r w:rsidRPr="00DE7452">
        <w:rPr>
          <w:rFonts w:cs="Times New Roman"/>
        </w:rPr>
        <w:t>. Cambridge University Press.</w:t>
      </w:r>
    </w:p>
    <w:p w14:paraId="7EF1A101" w14:textId="77777777" w:rsidR="00197421" w:rsidRPr="00DE7452" w:rsidRDefault="00000000">
      <w:pPr>
        <w:spacing w:after="160" w:line="280" w:lineRule="exact"/>
        <w:jc w:val="both"/>
        <w:rPr>
          <w:rFonts w:cs="Times New Roman"/>
        </w:rPr>
      </w:pPr>
      <w:r w:rsidRPr="00DE7452">
        <w:rPr>
          <w:rFonts w:cs="Times New Roman"/>
        </w:rPr>
        <w:t xml:space="preserve">Nussbaum, Martha C. 2011. </w:t>
      </w:r>
      <w:r w:rsidRPr="00DE7452">
        <w:rPr>
          <w:rFonts w:cs="Times New Roman"/>
          <w:i/>
          <w:iCs/>
        </w:rPr>
        <w:t>Creating Capabilities: The Human Development Approach</w:t>
      </w:r>
      <w:r w:rsidRPr="00DE7452">
        <w:rPr>
          <w:rFonts w:cs="Times New Roman"/>
        </w:rPr>
        <w:t>. Harvard University Press.</w:t>
      </w:r>
    </w:p>
    <w:p w14:paraId="7C2CFF81" w14:textId="77777777" w:rsidR="00197421" w:rsidRPr="00DE7452" w:rsidRDefault="00000000">
      <w:pPr>
        <w:spacing w:after="160" w:line="280" w:lineRule="exact"/>
        <w:jc w:val="both"/>
        <w:rPr>
          <w:rFonts w:cs="Times New Roman"/>
        </w:rPr>
      </w:pPr>
      <w:r w:rsidRPr="00DE7452">
        <w:rPr>
          <w:rFonts w:cs="Times New Roman"/>
        </w:rPr>
        <w:t xml:space="preserve">Olson, Mancur. 1965. </w:t>
      </w:r>
      <w:r w:rsidRPr="00DE7452">
        <w:rPr>
          <w:rFonts w:cs="Times New Roman"/>
          <w:i/>
          <w:iCs/>
          <w:color w:val="444444"/>
        </w:rPr>
        <w:t>The Logic of Collective Action</w:t>
      </w:r>
      <w:r w:rsidRPr="00DE7452">
        <w:rPr>
          <w:rFonts w:cs="Times New Roman"/>
        </w:rPr>
        <w:t>. Harvard University Press.</w:t>
      </w:r>
    </w:p>
    <w:p w14:paraId="168B61A0" w14:textId="77777777" w:rsidR="00197421" w:rsidRPr="00DE7452" w:rsidRDefault="00000000">
      <w:pPr>
        <w:spacing w:after="160" w:line="280" w:lineRule="exact"/>
        <w:ind w:left="360" w:hanging="360"/>
        <w:jc w:val="both"/>
        <w:rPr>
          <w:rFonts w:cs="Times New Roman"/>
        </w:rPr>
      </w:pPr>
      <w:r w:rsidRPr="00DE7452">
        <w:rPr>
          <w:rFonts w:cs="Times New Roman"/>
        </w:rPr>
        <w:t xml:space="preserve">Ostrom, Elinor. 1990. </w:t>
      </w:r>
      <w:r w:rsidRPr="00DE7452">
        <w:rPr>
          <w:rFonts w:cs="Times New Roman"/>
          <w:i/>
          <w:iCs/>
          <w:color w:val="444444"/>
        </w:rPr>
        <w:t>Governing the Commons: The Evolution of Institutions for Collective Action</w:t>
      </w:r>
      <w:r w:rsidRPr="00DE7452">
        <w:rPr>
          <w:rFonts w:cs="Times New Roman"/>
        </w:rPr>
        <w:t>. Cambridge University Press.</w:t>
      </w:r>
    </w:p>
    <w:p w14:paraId="685FB507" w14:textId="77777777" w:rsidR="00197421" w:rsidRPr="00DE7452" w:rsidRDefault="00000000">
      <w:pPr>
        <w:spacing w:after="160" w:line="280" w:lineRule="exact"/>
        <w:jc w:val="both"/>
        <w:rPr>
          <w:rFonts w:cs="Times New Roman"/>
        </w:rPr>
      </w:pPr>
      <w:r w:rsidRPr="00DE7452">
        <w:rPr>
          <w:rFonts w:cs="Times New Roman"/>
        </w:rPr>
        <w:t xml:space="preserve">Peirce, Charles Sanders. 1878. 'How to make our ideas clear.' </w:t>
      </w:r>
      <w:r w:rsidRPr="00DE7452">
        <w:rPr>
          <w:rFonts w:cs="Times New Roman"/>
          <w:i/>
          <w:iCs/>
          <w:color w:val="444444"/>
        </w:rPr>
        <w:t>Popular Science Monthly</w:t>
      </w:r>
      <w:r w:rsidRPr="00DE7452">
        <w:rPr>
          <w:rFonts w:cs="Times New Roman"/>
        </w:rPr>
        <w:t xml:space="preserve"> 12: 286-302.</w:t>
      </w:r>
    </w:p>
    <w:p w14:paraId="6552E389" w14:textId="77777777" w:rsidR="00197421" w:rsidRPr="00DE7452" w:rsidRDefault="00000000">
      <w:pPr>
        <w:spacing w:after="160" w:line="280" w:lineRule="exact"/>
        <w:jc w:val="both"/>
        <w:rPr>
          <w:rFonts w:cs="Times New Roman"/>
        </w:rPr>
      </w:pPr>
      <w:r w:rsidRPr="00DE7452">
        <w:rPr>
          <w:rFonts w:cs="Times New Roman"/>
        </w:rPr>
        <w:t xml:space="preserve">Perez, Carlota. 2002. </w:t>
      </w:r>
      <w:r w:rsidRPr="00DE7452">
        <w:rPr>
          <w:rFonts w:cs="Times New Roman"/>
          <w:i/>
          <w:iCs/>
          <w:color w:val="444444"/>
        </w:rPr>
        <w:t>Technological Revolutions and Financial Capital</w:t>
      </w:r>
      <w:r w:rsidRPr="00DE7452">
        <w:rPr>
          <w:rFonts w:cs="Times New Roman"/>
        </w:rPr>
        <w:t>. Edward Elgar.</w:t>
      </w:r>
    </w:p>
    <w:p w14:paraId="37EFD95C" w14:textId="77777777" w:rsidR="00197421" w:rsidRPr="00DE7452" w:rsidRDefault="00000000">
      <w:pPr>
        <w:spacing w:after="160" w:line="280" w:lineRule="exact"/>
        <w:jc w:val="both"/>
        <w:rPr>
          <w:rFonts w:cs="Times New Roman"/>
        </w:rPr>
      </w:pPr>
      <w:r w:rsidRPr="00DE7452">
        <w:rPr>
          <w:rFonts w:cs="Times New Roman"/>
        </w:rPr>
        <w:t xml:space="preserve">Pierson, Paul. 2004. </w:t>
      </w:r>
      <w:r w:rsidRPr="00DE7452">
        <w:rPr>
          <w:rFonts w:cs="Times New Roman"/>
          <w:i/>
          <w:iCs/>
          <w:color w:val="444444"/>
        </w:rPr>
        <w:t>Politics in Time</w:t>
      </w:r>
      <w:r w:rsidRPr="00DE7452">
        <w:rPr>
          <w:rFonts w:cs="Times New Roman"/>
        </w:rPr>
        <w:t>. Princeton University Press.</w:t>
      </w:r>
    </w:p>
    <w:p w14:paraId="0772690E" w14:textId="77777777" w:rsidR="00197421" w:rsidRPr="00DE7452" w:rsidRDefault="00000000">
      <w:pPr>
        <w:spacing w:after="160" w:line="280" w:lineRule="exact"/>
        <w:jc w:val="both"/>
        <w:rPr>
          <w:rFonts w:cs="Times New Roman"/>
          <w:lang w:val="sv-SE"/>
        </w:rPr>
      </w:pPr>
      <w:r w:rsidRPr="00DE7452">
        <w:rPr>
          <w:rFonts w:cs="Times New Roman"/>
        </w:rPr>
        <w:t xml:space="preserve">Polanyi, Karl. 1944. </w:t>
      </w:r>
      <w:r w:rsidRPr="00DE7452">
        <w:rPr>
          <w:rFonts w:cs="Times New Roman"/>
          <w:i/>
          <w:iCs/>
          <w:color w:val="444444"/>
        </w:rPr>
        <w:t>The Great Transformation</w:t>
      </w:r>
      <w:r w:rsidRPr="00DE7452">
        <w:rPr>
          <w:rFonts w:cs="Times New Roman"/>
        </w:rPr>
        <w:t xml:space="preserve">. </w:t>
      </w:r>
      <w:r w:rsidRPr="00DE7452">
        <w:rPr>
          <w:rFonts w:cs="Times New Roman"/>
          <w:lang w:val="sv-SE"/>
        </w:rPr>
        <w:t>Farrar &amp; Rinehart.</w:t>
      </w:r>
    </w:p>
    <w:p w14:paraId="3AB0CDD2" w14:textId="77777777" w:rsidR="00197421" w:rsidRPr="00DE7452" w:rsidRDefault="00000000">
      <w:pPr>
        <w:spacing w:after="160" w:line="280" w:lineRule="exact"/>
        <w:jc w:val="both"/>
        <w:rPr>
          <w:rFonts w:cs="Times New Roman"/>
        </w:rPr>
      </w:pPr>
      <w:r w:rsidRPr="00DE7452">
        <w:rPr>
          <w:rFonts w:cs="Times New Roman"/>
        </w:rPr>
        <w:t xml:space="preserve">Popper, Karl R. 1959. </w:t>
      </w:r>
      <w:r w:rsidRPr="00DE7452">
        <w:rPr>
          <w:rFonts w:cs="Times New Roman"/>
          <w:i/>
          <w:iCs/>
          <w:color w:val="444444"/>
        </w:rPr>
        <w:t>The Logic of Scientific Discovery</w:t>
      </w:r>
      <w:r w:rsidRPr="00DE7452">
        <w:rPr>
          <w:rFonts w:cs="Times New Roman"/>
        </w:rPr>
        <w:t>. Hutchinson.</w:t>
      </w:r>
    </w:p>
    <w:p w14:paraId="2BD4C9EE" w14:textId="77777777" w:rsidR="00197421" w:rsidRPr="00DE7452" w:rsidRDefault="00000000">
      <w:pPr>
        <w:spacing w:after="160" w:line="280" w:lineRule="exact"/>
        <w:jc w:val="both"/>
        <w:rPr>
          <w:rFonts w:cs="Times New Roman"/>
        </w:rPr>
      </w:pPr>
      <w:r w:rsidRPr="00DE7452">
        <w:rPr>
          <w:rFonts w:cs="Times New Roman"/>
        </w:rPr>
        <w:t xml:space="preserve">Prigogine, Ilya, and Isabelle Stengers. 1984. </w:t>
      </w:r>
      <w:r w:rsidRPr="00DE7452">
        <w:rPr>
          <w:rFonts w:cs="Times New Roman"/>
          <w:i/>
          <w:iCs/>
          <w:color w:val="444444"/>
        </w:rPr>
        <w:t>Order Out of Chaos</w:t>
      </w:r>
      <w:r w:rsidRPr="00DE7452">
        <w:rPr>
          <w:rFonts w:cs="Times New Roman"/>
        </w:rPr>
        <w:t>. Bantam Books.</w:t>
      </w:r>
    </w:p>
    <w:p w14:paraId="54DE4093" w14:textId="77777777" w:rsidR="00197421" w:rsidRPr="00DE7452" w:rsidRDefault="00000000">
      <w:pPr>
        <w:spacing w:after="160" w:line="280" w:lineRule="exact"/>
        <w:jc w:val="both"/>
        <w:rPr>
          <w:rFonts w:cs="Times New Roman"/>
        </w:rPr>
      </w:pPr>
      <w:r w:rsidRPr="00DE7452">
        <w:rPr>
          <w:rFonts w:cs="Times New Roman"/>
        </w:rPr>
        <w:t xml:space="preserve">Rawls, John. 1971. </w:t>
      </w:r>
      <w:r w:rsidRPr="00DE7452">
        <w:rPr>
          <w:rFonts w:cs="Times New Roman"/>
          <w:i/>
          <w:iCs/>
          <w:color w:val="444444"/>
        </w:rPr>
        <w:t>A Theory of Justice</w:t>
      </w:r>
      <w:r w:rsidRPr="00DE7452">
        <w:rPr>
          <w:rFonts w:cs="Times New Roman"/>
        </w:rPr>
        <w:t>. Harvard University Press.</w:t>
      </w:r>
    </w:p>
    <w:p w14:paraId="4B34EE44" w14:textId="77777777" w:rsidR="00197421" w:rsidRPr="00DE7452" w:rsidRDefault="00000000">
      <w:pPr>
        <w:spacing w:after="160" w:line="280" w:lineRule="exact"/>
        <w:jc w:val="both"/>
        <w:rPr>
          <w:rFonts w:cs="Times New Roman"/>
        </w:rPr>
      </w:pPr>
      <w:r w:rsidRPr="00DE7452">
        <w:rPr>
          <w:rFonts w:cs="Times New Roman"/>
          <w:lang w:val="sv-SE"/>
        </w:rPr>
        <w:t xml:space="preserve">Reinert, Erik S. 2007. </w:t>
      </w:r>
      <w:r w:rsidRPr="00DE7452">
        <w:rPr>
          <w:rFonts w:cs="Times New Roman"/>
          <w:i/>
          <w:iCs/>
          <w:color w:val="444444"/>
        </w:rPr>
        <w:t>How Rich Countries Got Rich</w:t>
      </w:r>
      <w:r w:rsidRPr="00DE7452">
        <w:rPr>
          <w:rFonts w:cs="Times New Roman"/>
        </w:rPr>
        <w:t>. Carroll &amp; Graf.</w:t>
      </w:r>
    </w:p>
    <w:p w14:paraId="6168136C" w14:textId="77777777" w:rsidR="00197421" w:rsidRPr="00DE7452" w:rsidRDefault="00000000">
      <w:pPr>
        <w:spacing w:after="160" w:line="280" w:lineRule="exact"/>
        <w:ind w:left="360" w:hanging="360"/>
        <w:jc w:val="both"/>
        <w:rPr>
          <w:rFonts w:cs="Times New Roman"/>
        </w:rPr>
      </w:pPr>
      <w:r w:rsidRPr="00DE7452">
        <w:rPr>
          <w:rFonts w:cs="Times New Roman"/>
        </w:rPr>
        <w:t xml:space="preserve">Robison, Richard, and Vedi Hadiz. 2004. </w:t>
      </w:r>
      <w:r w:rsidRPr="00DE7452">
        <w:rPr>
          <w:rFonts w:cs="Times New Roman"/>
          <w:i/>
          <w:iCs/>
          <w:color w:val="444444"/>
        </w:rPr>
        <w:t>Reorganising Power in Indonesia: The Politics of Oligarchy in an Age of Markets</w:t>
      </w:r>
      <w:r w:rsidRPr="00DE7452">
        <w:rPr>
          <w:rFonts w:cs="Times New Roman"/>
        </w:rPr>
        <w:t>. RoutledgeCurzon.</w:t>
      </w:r>
    </w:p>
    <w:p w14:paraId="1C0F542F" w14:textId="77777777" w:rsidR="00197421" w:rsidRPr="00DE7452" w:rsidRDefault="00000000">
      <w:pPr>
        <w:spacing w:after="160" w:line="280" w:lineRule="exact"/>
        <w:jc w:val="both"/>
        <w:rPr>
          <w:rFonts w:cs="Times New Roman"/>
        </w:rPr>
      </w:pPr>
      <w:r w:rsidRPr="00DE7452">
        <w:rPr>
          <w:rFonts w:cs="Times New Roman"/>
        </w:rPr>
        <w:t xml:space="preserve">Rockstrom, Johan, et al. 2009. 'A safe operating space for humanity.' </w:t>
      </w:r>
      <w:r w:rsidRPr="00DE7452">
        <w:rPr>
          <w:rFonts w:cs="Times New Roman"/>
          <w:i/>
          <w:iCs/>
          <w:color w:val="444444"/>
        </w:rPr>
        <w:t>Nature</w:t>
      </w:r>
      <w:r w:rsidRPr="00DE7452">
        <w:rPr>
          <w:rFonts w:cs="Times New Roman"/>
        </w:rPr>
        <w:t xml:space="preserve"> 461: 472-475.</w:t>
      </w:r>
    </w:p>
    <w:p w14:paraId="5816335B" w14:textId="77777777" w:rsidR="00197421" w:rsidRPr="00DE7452" w:rsidRDefault="00000000">
      <w:pPr>
        <w:spacing w:after="160" w:line="280" w:lineRule="exact"/>
        <w:jc w:val="both"/>
        <w:rPr>
          <w:rFonts w:cs="Times New Roman"/>
        </w:rPr>
      </w:pPr>
      <w:r w:rsidRPr="00DE7452">
        <w:rPr>
          <w:rFonts w:cs="Times New Roman"/>
        </w:rPr>
        <w:t xml:space="preserve">Rodney, Walter. 1972. </w:t>
      </w:r>
      <w:r w:rsidRPr="00DE7452">
        <w:rPr>
          <w:rFonts w:cs="Times New Roman"/>
          <w:i/>
          <w:iCs/>
          <w:color w:val="444444"/>
        </w:rPr>
        <w:t>How Europe Underdeveloped Africa</w:t>
      </w:r>
      <w:r w:rsidRPr="00DE7452">
        <w:rPr>
          <w:rFonts w:cs="Times New Roman"/>
        </w:rPr>
        <w:t>. Bogle-L'Ouverture Publications.</w:t>
      </w:r>
    </w:p>
    <w:p w14:paraId="48A578AD" w14:textId="77777777" w:rsidR="00197421" w:rsidRPr="00DE7452" w:rsidRDefault="00000000">
      <w:pPr>
        <w:spacing w:after="160" w:line="280" w:lineRule="exact"/>
        <w:jc w:val="both"/>
        <w:rPr>
          <w:rFonts w:cs="Times New Roman"/>
        </w:rPr>
      </w:pPr>
      <w:r w:rsidRPr="00DE7452">
        <w:rPr>
          <w:rFonts w:cs="Times New Roman"/>
        </w:rPr>
        <w:lastRenderedPageBreak/>
        <w:t xml:space="preserve">Rodrik, Dani. 2007. </w:t>
      </w:r>
      <w:r w:rsidRPr="00DE7452">
        <w:rPr>
          <w:rFonts w:cs="Times New Roman"/>
          <w:i/>
          <w:iCs/>
          <w:color w:val="444444"/>
        </w:rPr>
        <w:t>One Economics, Many Recipes</w:t>
      </w:r>
      <w:r w:rsidRPr="00DE7452">
        <w:rPr>
          <w:rFonts w:cs="Times New Roman"/>
        </w:rPr>
        <w:t>. Princeton University Press.</w:t>
      </w:r>
    </w:p>
    <w:p w14:paraId="0F1353C0" w14:textId="77777777" w:rsidR="00197421" w:rsidRPr="00DE7452" w:rsidRDefault="00000000">
      <w:pPr>
        <w:spacing w:after="160" w:line="280" w:lineRule="exact"/>
        <w:jc w:val="both"/>
        <w:rPr>
          <w:rFonts w:cs="Times New Roman"/>
        </w:rPr>
      </w:pPr>
      <w:r w:rsidRPr="00DE7452">
        <w:rPr>
          <w:rFonts w:cs="Times New Roman"/>
        </w:rPr>
        <w:t xml:space="preserve">Rodrik, Dani. 2011. </w:t>
      </w:r>
      <w:r w:rsidRPr="00DE7452">
        <w:rPr>
          <w:rFonts w:cs="Times New Roman"/>
          <w:i/>
          <w:iCs/>
          <w:color w:val="444444"/>
        </w:rPr>
        <w:t>The Globalization Paradox</w:t>
      </w:r>
      <w:r w:rsidRPr="00DE7452">
        <w:rPr>
          <w:rFonts w:cs="Times New Roman"/>
        </w:rPr>
        <w:t>. Norton.</w:t>
      </w:r>
    </w:p>
    <w:p w14:paraId="4B081385" w14:textId="77777777" w:rsidR="00197421" w:rsidRPr="00DE7452" w:rsidRDefault="00000000">
      <w:pPr>
        <w:spacing w:after="160" w:line="280" w:lineRule="exact"/>
        <w:ind w:left="360" w:hanging="360"/>
        <w:jc w:val="both"/>
        <w:rPr>
          <w:rFonts w:cs="Times New Roman"/>
        </w:rPr>
      </w:pPr>
      <w:r w:rsidRPr="00DE7452">
        <w:rPr>
          <w:rFonts w:cs="Times New Roman"/>
        </w:rPr>
        <w:t xml:space="preserve">Ibn Rushd (Averroes). 1180. </w:t>
      </w:r>
      <w:r w:rsidRPr="00DE7452">
        <w:rPr>
          <w:rFonts w:cs="Times New Roman"/>
          <w:i/>
          <w:iCs/>
          <w:color w:val="444444"/>
        </w:rPr>
        <w:t>Tahafut al-Tahafut (The Incoherence of the Incoherence)</w:t>
      </w:r>
      <w:r w:rsidRPr="00DE7452">
        <w:rPr>
          <w:rFonts w:cs="Times New Roman"/>
        </w:rPr>
        <w:t>. Trans. Simon Van Den Bergh. Luzac &amp; Co., 1954.</w:t>
      </w:r>
    </w:p>
    <w:p w14:paraId="1E110003" w14:textId="77777777" w:rsidR="00197421" w:rsidRPr="00DE7452" w:rsidRDefault="00000000">
      <w:pPr>
        <w:spacing w:after="160" w:line="280" w:lineRule="exact"/>
        <w:jc w:val="both"/>
        <w:rPr>
          <w:rFonts w:cs="Times New Roman"/>
        </w:rPr>
      </w:pPr>
      <w:r w:rsidRPr="00DE7452">
        <w:rPr>
          <w:rFonts w:cs="Times New Roman"/>
          <w:color w:val="111827"/>
        </w:rPr>
        <w:t xml:space="preserve">Sartre, Jean-Paul. 1943. </w:t>
      </w:r>
      <w:r w:rsidRPr="00DE7452">
        <w:rPr>
          <w:rFonts w:cs="Times New Roman"/>
          <w:i/>
          <w:iCs/>
          <w:color w:val="111827"/>
        </w:rPr>
        <w:t>Being and Nothingness: An Essay on Phenomenological Ontology</w:t>
      </w:r>
      <w:r w:rsidRPr="00DE7452">
        <w:rPr>
          <w:rFonts w:cs="Times New Roman"/>
          <w:color w:val="111827"/>
        </w:rPr>
        <w:t>. Trans. Hazel E. Barnes. Philosophical Library, 1956.</w:t>
      </w:r>
    </w:p>
    <w:p w14:paraId="131D5E47" w14:textId="77777777" w:rsidR="00197421" w:rsidRPr="00DE7452" w:rsidRDefault="00000000">
      <w:pPr>
        <w:spacing w:after="160" w:line="280" w:lineRule="exact"/>
        <w:jc w:val="both"/>
        <w:rPr>
          <w:rFonts w:cs="Times New Roman"/>
        </w:rPr>
      </w:pPr>
      <w:r w:rsidRPr="00DE7452">
        <w:rPr>
          <w:rFonts w:cs="Times New Roman"/>
        </w:rPr>
        <w:t xml:space="preserve">Schelling, Thomas C. 1978. </w:t>
      </w:r>
      <w:r w:rsidRPr="00DE7452">
        <w:rPr>
          <w:rFonts w:cs="Times New Roman"/>
          <w:i/>
          <w:iCs/>
          <w:color w:val="444444"/>
        </w:rPr>
        <w:t>Micromotives and Macrobehavior</w:t>
      </w:r>
      <w:r w:rsidRPr="00DE7452">
        <w:rPr>
          <w:rFonts w:cs="Times New Roman"/>
        </w:rPr>
        <w:t>. Norton.</w:t>
      </w:r>
    </w:p>
    <w:p w14:paraId="6181386F" w14:textId="77777777" w:rsidR="00197421" w:rsidRPr="00DE7452" w:rsidRDefault="00000000">
      <w:pPr>
        <w:spacing w:after="160" w:line="280" w:lineRule="exact"/>
        <w:ind w:left="360" w:hanging="360"/>
        <w:jc w:val="both"/>
        <w:rPr>
          <w:rFonts w:cs="Times New Roman"/>
        </w:rPr>
      </w:pPr>
      <w:r w:rsidRPr="00DE7452">
        <w:rPr>
          <w:rFonts w:cs="Times New Roman"/>
        </w:rPr>
        <w:t xml:space="preserve">Schmitt, Carl. 1932. </w:t>
      </w:r>
      <w:r w:rsidRPr="00DE7452">
        <w:rPr>
          <w:rFonts w:cs="Times New Roman"/>
          <w:i/>
          <w:iCs/>
          <w:color w:val="444444"/>
        </w:rPr>
        <w:t>The Concept of the Political</w:t>
      </w:r>
      <w:r w:rsidRPr="00DE7452">
        <w:rPr>
          <w:rFonts w:cs="Times New Roman"/>
        </w:rPr>
        <w:t>. Trans. George Schwab. University of Chicago Press, 1996.</w:t>
      </w:r>
    </w:p>
    <w:p w14:paraId="7380AA7D" w14:textId="77777777" w:rsidR="00197421" w:rsidRPr="00DE7452" w:rsidRDefault="00000000">
      <w:pPr>
        <w:spacing w:after="160" w:line="280" w:lineRule="exact"/>
        <w:jc w:val="both"/>
        <w:rPr>
          <w:rFonts w:cs="Times New Roman"/>
        </w:rPr>
      </w:pPr>
      <w:r w:rsidRPr="00DE7452">
        <w:rPr>
          <w:rFonts w:cs="Times New Roman"/>
        </w:rPr>
        <w:t xml:space="preserve">Schumpeter, Joseph A. 1942. </w:t>
      </w:r>
      <w:r w:rsidRPr="00DE7452">
        <w:rPr>
          <w:rFonts w:cs="Times New Roman"/>
          <w:i/>
          <w:iCs/>
          <w:color w:val="444444"/>
        </w:rPr>
        <w:t>Capitalism, Socialism and Democracy</w:t>
      </w:r>
      <w:r w:rsidRPr="00DE7452">
        <w:rPr>
          <w:rFonts w:cs="Times New Roman"/>
        </w:rPr>
        <w:t>. Harper &amp; Brothers.</w:t>
      </w:r>
    </w:p>
    <w:p w14:paraId="796D65CB" w14:textId="77777777" w:rsidR="00197421" w:rsidRPr="00DE7452" w:rsidRDefault="00000000">
      <w:pPr>
        <w:spacing w:after="160" w:line="280" w:lineRule="exact"/>
        <w:ind w:left="360" w:hanging="360"/>
        <w:jc w:val="both"/>
        <w:rPr>
          <w:rFonts w:cs="Times New Roman"/>
        </w:rPr>
      </w:pPr>
      <w:r w:rsidRPr="00DE7452">
        <w:rPr>
          <w:rFonts w:cs="Times New Roman"/>
        </w:rPr>
        <w:t xml:space="preserve">Scott, James C. 1990. </w:t>
      </w:r>
      <w:r w:rsidRPr="00DE7452">
        <w:rPr>
          <w:rFonts w:cs="Times New Roman"/>
          <w:i/>
          <w:iCs/>
          <w:color w:val="444444"/>
        </w:rPr>
        <w:t>Domination and the Arts of Resistance: Hidden Transcripts</w:t>
      </w:r>
      <w:r w:rsidRPr="00DE7452">
        <w:rPr>
          <w:rFonts w:cs="Times New Roman"/>
        </w:rPr>
        <w:t>. Yale University Press.</w:t>
      </w:r>
    </w:p>
    <w:p w14:paraId="7EF1A102" w14:textId="77777777" w:rsidR="00197421" w:rsidRPr="00DE7452" w:rsidRDefault="00000000">
      <w:pPr>
        <w:spacing w:after="160" w:line="280" w:lineRule="exact"/>
        <w:jc w:val="both"/>
        <w:rPr>
          <w:rFonts w:cs="Times New Roman"/>
        </w:rPr>
      </w:pPr>
      <w:r w:rsidRPr="00DE7452">
        <w:rPr>
          <w:rFonts w:cs="Times New Roman"/>
        </w:rPr>
        <w:t xml:space="preserve">Searle, John R. 1964. 'How to Derive \u201cOught\u201d from \u201cIs.\u201d' </w:t>
      </w:r>
      <w:r w:rsidRPr="00DE7452">
        <w:rPr>
          <w:rFonts w:cs="Times New Roman"/>
          <w:i/>
          <w:iCs/>
        </w:rPr>
        <w:t>Philosophical Review</w:t>
      </w:r>
      <w:r w:rsidRPr="00DE7452">
        <w:rPr>
          <w:rFonts w:cs="Times New Roman"/>
        </w:rPr>
        <w:t xml:space="preserve"> 73 (1): 43\u201358.</w:t>
      </w:r>
    </w:p>
    <w:p w14:paraId="6D603D90" w14:textId="77777777" w:rsidR="00197421" w:rsidRPr="00DE7452" w:rsidRDefault="00000000">
      <w:pPr>
        <w:spacing w:after="160" w:line="280" w:lineRule="exact"/>
        <w:jc w:val="both"/>
        <w:rPr>
          <w:rFonts w:cs="Times New Roman"/>
        </w:rPr>
      </w:pPr>
      <w:r w:rsidRPr="00DE7452">
        <w:rPr>
          <w:rFonts w:cs="Times New Roman"/>
        </w:rPr>
        <w:t xml:space="preserve">Sen, Amartya. 1999. </w:t>
      </w:r>
      <w:r w:rsidRPr="00DE7452">
        <w:rPr>
          <w:rFonts w:cs="Times New Roman"/>
          <w:i/>
          <w:iCs/>
          <w:color w:val="444444"/>
        </w:rPr>
        <w:t>Development as Freedom</w:t>
      </w:r>
      <w:r w:rsidRPr="00DE7452">
        <w:rPr>
          <w:rFonts w:cs="Times New Roman"/>
        </w:rPr>
        <w:t>. Anchor Books.</w:t>
      </w:r>
    </w:p>
    <w:p w14:paraId="2026A850" w14:textId="77777777" w:rsidR="00197421" w:rsidRPr="00DE7452" w:rsidRDefault="00000000">
      <w:pPr>
        <w:spacing w:after="160" w:line="280" w:lineRule="exact"/>
        <w:jc w:val="both"/>
        <w:rPr>
          <w:rFonts w:cs="Times New Roman"/>
        </w:rPr>
      </w:pPr>
      <w:r w:rsidRPr="00DE7452">
        <w:rPr>
          <w:rFonts w:cs="Times New Roman"/>
        </w:rPr>
        <w:t xml:space="preserve">Singer, Peter. 1975. </w:t>
      </w:r>
      <w:r w:rsidRPr="00DE7452">
        <w:rPr>
          <w:rFonts w:cs="Times New Roman"/>
          <w:i/>
          <w:iCs/>
          <w:color w:val="444444"/>
        </w:rPr>
        <w:t>Animal Liberation</w:t>
      </w:r>
      <w:r w:rsidRPr="00DE7452">
        <w:rPr>
          <w:rFonts w:cs="Times New Roman"/>
        </w:rPr>
        <w:t>. New York Review Books.</w:t>
      </w:r>
    </w:p>
    <w:p w14:paraId="3D32DEA7" w14:textId="77777777" w:rsidR="00197421" w:rsidRPr="00DE7452" w:rsidRDefault="00000000">
      <w:pPr>
        <w:spacing w:after="160" w:line="280" w:lineRule="exact"/>
        <w:ind w:left="360" w:hanging="360"/>
        <w:jc w:val="both"/>
        <w:rPr>
          <w:rFonts w:cs="Times New Roman"/>
        </w:rPr>
      </w:pPr>
      <w:r w:rsidRPr="00DE7452">
        <w:rPr>
          <w:rFonts w:cs="Times New Roman"/>
        </w:rPr>
        <w:t xml:space="preserve">Sobrino, Jon. 1978. </w:t>
      </w:r>
      <w:r w:rsidRPr="00DE7452">
        <w:rPr>
          <w:rFonts w:cs="Times New Roman"/>
          <w:i/>
          <w:iCs/>
          <w:color w:val="444444"/>
        </w:rPr>
        <w:t>Christology at the Crossroads</w:t>
      </w:r>
      <w:r w:rsidRPr="00DE7452">
        <w:rPr>
          <w:rFonts w:cs="Times New Roman"/>
        </w:rPr>
        <w:t>. Trans. John Drury. Orbis Books.</w:t>
      </w:r>
    </w:p>
    <w:p w14:paraId="38359681" w14:textId="77777777" w:rsidR="00197421" w:rsidRPr="00DE7452" w:rsidRDefault="00000000">
      <w:pPr>
        <w:spacing w:after="160" w:line="280" w:lineRule="exact"/>
        <w:jc w:val="both"/>
        <w:rPr>
          <w:rFonts w:cs="Times New Roman"/>
        </w:rPr>
      </w:pPr>
      <w:r w:rsidRPr="00DE7452">
        <w:rPr>
          <w:rFonts w:cs="Times New Roman"/>
        </w:rPr>
        <w:t xml:space="preserve">Spinoza, Baruch. 1677. </w:t>
      </w:r>
      <w:r w:rsidRPr="00DE7452">
        <w:rPr>
          <w:rFonts w:cs="Times New Roman"/>
          <w:i/>
          <w:iCs/>
          <w:color w:val="444444"/>
        </w:rPr>
        <w:t>Ethics</w:t>
      </w:r>
      <w:r w:rsidRPr="00DE7452">
        <w:rPr>
          <w:rFonts w:cs="Times New Roman"/>
        </w:rPr>
        <w:t>. Trans. Edwin Curley. Princeton University Press, 1994.</w:t>
      </w:r>
    </w:p>
    <w:p w14:paraId="2A197107" w14:textId="77777777" w:rsidR="00197421" w:rsidRPr="00DE7452" w:rsidRDefault="00000000">
      <w:pPr>
        <w:spacing w:after="160" w:line="280" w:lineRule="exact"/>
        <w:jc w:val="both"/>
        <w:rPr>
          <w:rFonts w:cs="Times New Roman"/>
        </w:rPr>
      </w:pPr>
      <w:r w:rsidRPr="00DE7452">
        <w:rPr>
          <w:rFonts w:cs="Times New Roman"/>
        </w:rPr>
        <w:t xml:space="preserve">Stigler, George J. 1971. 'The theory of economic regulation.' </w:t>
      </w:r>
      <w:r w:rsidRPr="00DE7452">
        <w:rPr>
          <w:rFonts w:cs="Times New Roman"/>
          <w:i/>
          <w:iCs/>
          <w:color w:val="444444"/>
        </w:rPr>
        <w:t>Bell Journal of Economics and Management Science</w:t>
      </w:r>
      <w:r w:rsidRPr="00DE7452">
        <w:rPr>
          <w:rFonts w:cs="Times New Roman"/>
        </w:rPr>
        <w:t xml:space="preserve"> 2 (1): 3-21.</w:t>
      </w:r>
    </w:p>
    <w:p w14:paraId="1E110004" w14:textId="77777777" w:rsidR="00197421" w:rsidRPr="00DE7452" w:rsidRDefault="00000000">
      <w:pPr>
        <w:spacing w:after="160" w:line="280" w:lineRule="exact"/>
        <w:jc w:val="both"/>
        <w:rPr>
          <w:rFonts w:cs="Times New Roman"/>
        </w:rPr>
      </w:pPr>
      <w:r w:rsidRPr="00DE7452">
        <w:rPr>
          <w:rFonts w:cs="Times New Roman"/>
          <w:color w:val="111827"/>
        </w:rPr>
        <w:t xml:space="preserve">Taylor, Charles. 2007. </w:t>
      </w:r>
      <w:r w:rsidRPr="00DE7452">
        <w:rPr>
          <w:rFonts w:cs="Times New Roman"/>
          <w:i/>
          <w:iCs/>
          <w:color w:val="111827"/>
        </w:rPr>
        <w:t>A Secular Age</w:t>
      </w:r>
      <w:r w:rsidRPr="00DE7452">
        <w:rPr>
          <w:rFonts w:cs="Times New Roman"/>
          <w:color w:val="111827"/>
        </w:rPr>
        <w:t>. Harvard University Press.</w:t>
      </w:r>
    </w:p>
    <w:p w14:paraId="3FCEBE75" w14:textId="77777777" w:rsidR="00197421" w:rsidRPr="00DE7452" w:rsidRDefault="00000000">
      <w:pPr>
        <w:spacing w:after="160" w:line="280" w:lineRule="exact"/>
        <w:ind w:left="360" w:hanging="360"/>
        <w:jc w:val="both"/>
        <w:rPr>
          <w:rFonts w:cs="Times New Roman"/>
        </w:rPr>
      </w:pPr>
      <w:r w:rsidRPr="00DE7452">
        <w:rPr>
          <w:rFonts w:cs="Times New Roman"/>
        </w:rPr>
        <w:t xml:space="preserve">Thompson, E. P. 1963. </w:t>
      </w:r>
      <w:r w:rsidRPr="00DE7452">
        <w:rPr>
          <w:rFonts w:cs="Times New Roman"/>
          <w:i/>
          <w:iCs/>
          <w:color w:val="444444"/>
        </w:rPr>
        <w:t>The Making of the English Working Class</w:t>
      </w:r>
      <w:r w:rsidRPr="00DE7452">
        <w:rPr>
          <w:rFonts w:cs="Times New Roman"/>
        </w:rPr>
        <w:t>. Victor Gollancz.</w:t>
      </w:r>
    </w:p>
    <w:p w14:paraId="68B67D0B" w14:textId="77777777" w:rsidR="00197421" w:rsidRPr="00DE7452" w:rsidRDefault="00000000">
      <w:pPr>
        <w:spacing w:after="160" w:line="280" w:lineRule="exact"/>
        <w:jc w:val="both"/>
        <w:rPr>
          <w:rFonts w:cs="Times New Roman"/>
        </w:rPr>
      </w:pPr>
      <w:r w:rsidRPr="00DE7452">
        <w:rPr>
          <w:rFonts w:cs="Times New Roman"/>
        </w:rPr>
        <w:t xml:space="preserve">Tomasello, Michael. 2019. </w:t>
      </w:r>
      <w:r w:rsidRPr="00DE7452">
        <w:rPr>
          <w:rFonts w:cs="Times New Roman"/>
          <w:i/>
          <w:iCs/>
          <w:color w:val="444444"/>
        </w:rPr>
        <w:t>Becoming Human: A Theory of Ontogeny</w:t>
      </w:r>
      <w:r w:rsidRPr="00DE7452">
        <w:rPr>
          <w:rFonts w:cs="Times New Roman"/>
        </w:rPr>
        <w:t>. Harvard University Press.</w:t>
      </w:r>
    </w:p>
    <w:p w14:paraId="3BE7F220" w14:textId="77777777" w:rsidR="00197421" w:rsidRPr="00DE7452" w:rsidRDefault="00000000">
      <w:pPr>
        <w:spacing w:after="160" w:line="280" w:lineRule="exact"/>
        <w:jc w:val="both"/>
        <w:rPr>
          <w:rFonts w:cs="Times New Roman"/>
        </w:rPr>
      </w:pPr>
      <w:r w:rsidRPr="00DE7452">
        <w:rPr>
          <w:rFonts w:cs="Times New Roman"/>
        </w:rPr>
        <w:t xml:space="preserve">Tversky, Amos, and Daniel Kahneman. 1974. 'Judgment under uncertainty: Heuristics and biases.' </w:t>
      </w:r>
      <w:r w:rsidRPr="00DE7452">
        <w:rPr>
          <w:rFonts w:cs="Times New Roman"/>
          <w:i/>
          <w:iCs/>
          <w:color w:val="444444"/>
        </w:rPr>
        <w:t>Science</w:t>
      </w:r>
      <w:r w:rsidRPr="00DE7452">
        <w:rPr>
          <w:rFonts w:cs="Times New Roman"/>
        </w:rPr>
        <w:t xml:space="preserve"> 185: 1124-1131.</w:t>
      </w:r>
    </w:p>
    <w:p w14:paraId="7FC39843" w14:textId="77777777" w:rsidR="00197421" w:rsidRPr="00DE7452" w:rsidRDefault="00000000">
      <w:pPr>
        <w:spacing w:after="160" w:line="280" w:lineRule="exact"/>
        <w:jc w:val="both"/>
        <w:rPr>
          <w:rFonts w:cs="Times New Roman"/>
        </w:rPr>
      </w:pPr>
      <w:r w:rsidRPr="00DE7452">
        <w:rPr>
          <w:rFonts w:cs="Times New Roman"/>
        </w:rPr>
        <w:t xml:space="preserve">Wallerstein, Immanuel. 1974. </w:t>
      </w:r>
      <w:r w:rsidRPr="00DE7452">
        <w:rPr>
          <w:rFonts w:cs="Times New Roman"/>
          <w:i/>
          <w:iCs/>
          <w:color w:val="444444"/>
        </w:rPr>
        <w:t>The Modern World-System I</w:t>
      </w:r>
      <w:r w:rsidRPr="00DE7452">
        <w:rPr>
          <w:rFonts w:cs="Times New Roman"/>
        </w:rPr>
        <w:t>. Academic Press.</w:t>
      </w:r>
    </w:p>
    <w:p w14:paraId="66BD1B0C" w14:textId="77777777" w:rsidR="00197421" w:rsidRPr="00DE7452" w:rsidRDefault="00000000">
      <w:pPr>
        <w:spacing w:after="160" w:line="280" w:lineRule="exact"/>
        <w:jc w:val="both"/>
        <w:rPr>
          <w:rFonts w:cs="Times New Roman"/>
        </w:rPr>
      </w:pPr>
      <w:r w:rsidRPr="00DE7452">
        <w:rPr>
          <w:rFonts w:cs="Times New Roman"/>
        </w:rPr>
        <w:t xml:space="preserve">Waltz, Kenneth N. 1979. </w:t>
      </w:r>
      <w:r w:rsidRPr="00DE7452">
        <w:rPr>
          <w:rFonts w:cs="Times New Roman"/>
          <w:i/>
          <w:iCs/>
          <w:color w:val="444444"/>
        </w:rPr>
        <w:t>Theory of International Politics</w:t>
      </w:r>
      <w:r w:rsidRPr="00DE7452">
        <w:rPr>
          <w:rFonts w:cs="Times New Roman"/>
        </w:rPr>
        <w:t>. McGraw-Hill.</w:t>
      </w:r>
    </w:p>
    <w:p w14:paraId="7ADBB025" w14:textId="77777777" w:rsidR="00197421" w:rsidRPr="00DE7452" w:rsidRDefault="00000000">
      <w:pPr>
        <w:spacing w:after="160" w:line="280" w:lineRule="exact"/>
        <w:jc w:val="both"/>
        <w:rPr>
          <w:rFonts w:cs="Times New Roman"/>
        </w:rPr>
      </w:pPr>
      <w:r w:rsidRPr="00DE7452">
        <w:rPr>
          <w:rFonts w:cs="Times New Roman"/>
        </w:rPr>
        <w:t xml:space="preserve">Weber, Max. 1919. 'Politics as a Vocation.' In </w:t>
      </w:r>
      <w:r w:rsidRPr="00DE7452">
        <w:rPr>
          <w:rFonts w:cs="Times New Roman"/>
          <w:i/>
          <w:iCs/>
          <w:color w:val="444444"/>
        </w:rPr>
        <w:t>From Max Weber</w:t>
      </w:r>
      <w:r w:rsidRPr="00DE7452">
        <w:rPr>
          <w:rFonts w:cs="Times New Roman"/>
        </w:rPr>
        <w:t>, ed. H. H. Gerth and C. W. Mills. Oxford University Press, 1946.</w:t>
      </w:r>
    </w:p>
    <w:p w14:paraId="4C409B61" w14:textId="77777777" w:rsidR="00197421" w:rsidRPr="00DE7452" w:rsidRDefault="00000000">
      <w:pPr>
        <w:spacing w:after="160" w:line="280" w:lineRule="exact"/>
        <w:jc w:val="both"/>
        <w:rPr>
          <w:rFonts w:cs="Times New Roman"/>
        </w:rPr>
      </w:pPr>
      <w:r w:rsidRPr="00DE7452">
        <w:rPr>
          <w:rFonts w:cs="Times New Roman"/>
        </w:rPr>
        <w:t xml:space="preserve">Wilson, Edward O. 1978. </w:t>
      </w:r>
      <w:r w:rsidRPr="00DE7452">
        <w:rPr>
          <w:rFonts w:cs="Times New Roman"/>
          <w:i/>
          <w:iCs/>
          <w:color w:val="444444"/>
        </w:rPr>
        <w:t>On Human Nature</w:t>
      </w:r>
      <w:r w:rsidRPr="00DE7452">
        <w:rPr>
          <w:rFonts w:cs="Times New Roman"/>
        </w:rPr>
        <w:t>. Harvard University Press.</w:t>
      </w:r>
    </w:p>
    <w:p w14:paraId="28F36B5E" w14:textId="77777777" w:rsidR="00197421" w:rsidRPr="00DE7452" w:rsidRDefault="00000000">
      <w:pPr>
        <w:spacing w:after="160" w:line="280" w:lineRule="exact"/>
        <w:ind w:left="360" w:hanging="360"/>
        <w:jc w:val="both"/>
        <w:rPr>
          <w:rFonts w:cs="Times New Roman"/>
        </w:rPr>
      </w:pPr>
      <w:r w:rsidRPr="00DE7452">
        <w:rPr>
          <w:rFonts w:cs="Times New Roman"/>
        </w:rPr>
        <w:t xml:space="preserve">Wiredu, Kwame, ed. 2004. </w:t>
      </w:r>
      <w:r w:rsidRPr="00DE7452">
        <w:rPr>
          <w:rFonts w:cs="Times New Roman"/>
          <w:i/>
          <w:iCs/>
          <w:color w:val="444444"/>
        </w:rPr>
        <w:t>A Companion to African Philosophy</w:t>
      </w:r>
      <w:r w:rsidRPr="00DE7452">
        <w:rPr>
          <w:rFonts w:cs="Times New Roman"/>
        </w:rPr>
        <w:t>. Blackwell.</w:t>
      </w:r>
    </w:p>
    <w:p w14:paraId="767CB332" w14:textId="77777777" w:rsidR="00197421" w:rsidRPr="00DE7452" w:rsidRDefault="00000000">
      <w:pPr>
        <w:spacing w:after="160" w:line="280" w:lineRule="exact"/>
        <w:ind w:left="360" w:hanging="360"/>
        <w:jc w:val="both"/>
        <w:rPr>
          <w:rFonts w:cs="Times New Roman"/>
        </w:rPr>
      </w:pPr>
      <w:r w:rsidRPr="00DE7452">
        <w:rPr>
          <w:rFonts w:cs="Times New Roman"/>
        </w:rPr>
        <w:t xml:space="preserve">Wiredu, Kwame. 1980. </w:t>
      </w:r>
      <w:r w:rsidRPr="00DE7452">
        <w:rPr>
          <w:rFonts w:cs="Times New Roman"/>
          <w:i/>
          <w:iCs/>
          <w:color w:val="444444"/>
        </w:rPr>
        <w:t>Philosophy and an African Culture</w:t>
      </w:r>
      <w:r w:rsidRPr="00DE7452">
        <w:rPr>
          <w:rFonts w:cs="Times New Roman"/>
        </w:rPr>
        <w:t>. Cambridge University Press.</w:t>
      </w:r>
    </w:p>
    <w:p w14:paraId="0613C73A" w14:textId="77777777" w:rsidR="00197421" w:rsidRPr="00DE7452" w:rsidRDefault="00000000">
      <w:pPr>
        <w:spacing w:after="160" w:line="280" w:lineRule="exact"/>
        <w:jc w:val="both"/>
        <w:rPr>
          <w:rFonts w:cs="Times New Roman"/>
        </w:rPr>
      </w:pPr>
      <w:r w:rsidRPr="00DE7452">
        <w:rPr>
          <w:rFonts w:cs="Times New Roman"/>
        </w:rPr>
        <w:t xml:space="preserve">Wright, Erik Olin. 2010. </w:t>
      </w:r>
      <w:r w:rsidRPr="00DE7452">
        <w:rPr>
          <w:rFonts w:cs="Times New Roman"/>
          <w:i/>
          <w:iCs/>
          <w:color w:val="444444"/>
        </w:rPr>
        <w:t>Envisioning Real Utopias</w:t>
      </w:r>
      <w:r w:rsidRPr="00DE7452">
        <w:rPr>
          <w:rFonts w:cs="Times New Roman"/>
        </w:rPr>
        <w:t>. Verso.</w:t>
      </w:r>
    </w:p>
    <w:p w14:paraId="0DB53AAE" w14:textId="77777777" w:rsidR="00197421" w:rsidRPr="00DE7452" w:rsidRDefault="00000000">
      <w:pPr>
        <w:spacing w:after="160" w:line="280" w:lineRule="exact"/>
        <w:jc w:val="both"/>
        <w:rPr>
          <w:rFonts w:cs="Times New Roman"/>
        </w:rPr>
      </w:pPr>
      <w:r w:rsidRPr="00DE7452">
        <w:rPr>
          <w:rFonts w:cs="Times New Roman"/>
        </w:rPr>
        <w:lastRenderedPageBreak/>
        <w:t xml:space="preserve">Yergin, Daniel. 1991. </w:t>
      </w:r>
      <w:r w:rsidRPr="00DE7452">
        <w:rPr>
          <w:rFonts w:cs="Times New Roman"/>
          <w:i/>
          <w:iCs/>
          <w:color w:val="444444"/>
        </w:rPr>
        <w:t>The Prize: The Epic Quest for Oil, Money and Power</w:t>
      </w:r>
      <w:r w:rsidRPr="00DE7452">
        <w:rPr>
          <w:rFonts w:cs="Times New Roman"/>
        </w:rPr>
        <w:t>. Simon &amp; Schuster.</w:t>
      </w:r>
    </w:p>
    <w:p w14:paraId="1E110005" w14:textId="77777777" w:rsidR="00197421" w:rsidRPr="00DE7452" w:rsidRDefault="00000000">
      <w:pPr>
        <w:spacing w:after="160" w:line="280" w:lineRule="exact"/>
        <w:jc w:val="both"/>
        <w:rPr>
          <w:rFonts w:cs="Times New Roman"/>
        </w:rPr>
      </w:pPr>
      <w:r w:rsidRPr="00DE7452">
        <w:rPr>
          <w:rFonts w:cs="Times New Roman"/>
          <w:color w:val="111827"/>
        </w:rPr>
        <w:t xml:space="preserve">Zuboff, Shoshana. 2019. </w:t>
      </w:r>
      <w:r w:rsidRPr="00DE7452">
        <w:rPr>
          <w:rFonts w:cs="Times New Roman"/>
          <w:i/>
          <w:iCs/>
          <w:color w:val="111827"/>
        </w:rPr>
        <w:t>The Age of Surveillance Capitalism: The Fight for a Human Future at the New Frontier of Power</w:t>
      </w:r>
      <w:r w:rsidRPr="00DE7452">
        <w:rPr>
          <w:rFonts w:cs="Times New Roman"/>
          <w:color w:val="111827"/>
        </w:rPr>
        <w:t>. PublicAffairs.</w:t>
      </w:r>
    </w:p>
    <w:p w14:paraId="38F4D0EC" w14:textId="77777777" w:rsidR="00197421" w:rsidRPr="00DE7452" w:rsidRDefault="00000000">
      <w:pPr>
        <w:spacing w:after="160" w:line="280" w:lineRule="exact"/>
        <w:ind w:left="360" w:hanging="360"/>
        <w:jc w:val="both"/>
        <w:rPr>
          <w:rFonts w:cs="Times New Roman"/>
        </w:rPr>
      </w:pPr>
      <w:r w:rsidRPr="00DE7452">
        <w:rPr>
          <w:rFonts w:cs="Times New Roman"/>
        </w:rPr>
        <w:t xml:space="preserve">Zhao Tingyang. 2005. </w:t>
      </w:r>
      <w:r w:rsidRPr="00DE7452">
        <w:rPr>
          <w:rFonts w:cs="Times New Roman"/>
          <w:i/>
          <w:iCs/>
          <w:color w:val="444444"/>
        </w:rPr>
        <w:t>Tianxia Tixi: Shijie Zhidu Zhexue Daolun</w:t>
      </w:r>
      <w:r w:rsidRPr="00DE7452">
        <w:rPr>
          <w:rFonts w:cs="Times New Roman"/>
        </w:rPr>
        <w:t>. [The Tianxia System: A Philosophy for the World Institution]. Jiangsu jiaoyu chubanshe. [Partial trans. in various collections]</w:t>
      </w:r>
    </w:p>
    <w:sectPr w:rsidR="00197421" w:rsidRPr="00DE745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A3DC7" w14:textId="77777777" w:rsidR="00B72F9C" w:rsidRPr="00B71FEC" w:rsidRDefault="00B72F9C">
      <w:r w:rsidRPr="00B71FEC">
        <w:separator/>
      </w:r>
    </w:p>
  </w:endnote>
  <w:endnote w:type="continuationSeparator" w:id="0">
    <w:p w14:paraId="409B7A9E" w14:textId="77777777" w:rsidR="00B72F9C" w:rsidRPr="00B71FEC" w:rsidRDefault="00B72F9C">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7674F" w14:textId="77777777" w:rsidR="00B72F9C" w:rsidRPr="00B71FEC" w:rsidRDefault="00B72F9C">
      <w:r w:rsidRPr="00B71FEC">
        <w:separator/>
      </w:r>
    </w:p>
  </w:footnote>
  <w:footnote w:type="continuationSeparator" w:id="0">
    <w:p w14:paraId="46A6DDCE" w14:textId="77777777" w:rsidR="00B72F9C" w:rsidRPr="00B71FEC" w:rsidRDefault="00B72F9C">
      <w:r w:rsidRPr="00B71FE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63F9"/>
    <w:rsid w:val="00197421"/>
    <w:rsid w:val="00254DD3"/>
    <w:rsid w:val="003151D3"/>
    <w:rsid w:val="004051D0"/>
    <w:rsid w:val="005D3563"/>
    <w:rsid w:val="006048FC"/>
    <w:rsid w:val="00617CF4"/>
    <w:rsid w:val="00675E7D"/>
    <w:rsid w:val="00697E97"/>
    <w:rsid w:val="00757C73"/>
    <w:rsid w:val="00832BD2"/>
    <w:rsid w:val="00842536"/>
    <w:rsid w:val="00A2046E"/>
    <w:rsid w:val="00A31174"/>
    <w:rsid w:val="00AE5678"/>
    <w:rsid w:val="00AE5BCB"/>
    <w:rsid w:val="00B71FEC"/>
    <w:rsid w:val="00B72F9C"/>
    <w:rsid w:val="00BA0D67"/>
    <w:rsid w:val="00C73FA6"/>
    <w:rsid w:val="00CA3739"/>
    <w:rsid w:val="00CB724A"/>
    <w:rsid w:val="00D84FA9"/>
    <w:rsid w:val="00DE7452"/>
    <w:rsid w:val="00FD4B04"/>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639</Pages>
  <Words>337200</Words>
  <Characters>1922042</Characters>
  <Application>Microsoft Office Word</Application>
  <DocSecurity>0</DocSecurity>
  <Lines>16017</Lines>
  <Paragraphs>4509</Paragraphs>
  <ScaleCrop>false</ScaleCrop>
  <Company/>
  <LinksUpToDate>false</LinksUpToDate>
  <CharactersWithSpaces>2254733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ikhsan</cp:lastModifiedBy>
  <cp:revision>16</cp:revision>
  <cp:lastPrinted>2026-04-07T18:12:00Z</cp:lastPrinted>
  <dcterms:created xsi:type="dcterms:W3CDTF">2026-03-08T09:44:00Z</dcterms:created>
  <dcterms:modified xsi:type="dcterms:W3CDTF">2026-05-23T15:25:00Z</dcterms:modified>
</cp:coreProperties>
</file>