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before="120" w:lineRule="auto"/>
        <w:ind w:left="0" w:hanging="2"/>
        <w:rPr>
          <w:rFonts w:ascii="Arial" w:cs="Arial" w:eastAsia="Arial" w:hAnsi="Arial"/>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3970020</wp:posOffset>
            </wp:positionH>
            <wp:positionV relativeFrom="paragraph">
              <wp:posOffset>114300</wp:posOffset>
            </wp:positionV>
            <wp:extent cx="1696720" cy="495935"/>
            <wp:effectExtent b="0" l="0" r="0" t="0"/>
            <wp:wrapNone/>
            <wp:docPr id="1038"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696720" cy="4959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5966460</wp:posOffset>
            </wp:positionH>
            <wp:positionV relativeFrom="paragraph">
              <wp:posOffset>-200021</wp:posOffset>
            </wp:positionV>
            <wp:extent cx="509905" cy="1019810"/>
            <wp:effectExtent b="0" l="0" r="0" t="0"/>
            <wp:wrapNone/>
            <wp:docPr id="1039"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09905" cy="101981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before="120" w:lineRule="auto"/>
        <w:ind w:left="0" w:hanging="2"/>
        <w:rPr>
          <w:rFonts w:ascii="Arial" w:cs="Arial" w:eastAsia="Arial" w:hAnsi="Arial"/>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before="120" w:line="240" w:lineRule="auto"/>
        <w:ind w:left="2" w:hanging="4"/>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before="120" w:line="240" w:lineRule="auto"/>
        <w:ind w:left="2" w:hanging="4"/>
        <w:jc w:val="center"/>
        <w:rPr>
          <w:rFonts w:ascii="Arial" w:cs="Arial" w:eastAsia="Arial" w:hAnsi="Arial"/>
          <w:color w:val="000000"/>
          <w:sz w:val="36"/>
          <w:szCs w:val="36"/>
        </w:rPr>
      </w:pPr>
      <w:r w:rsidDel="00000000" w:rsidR="00000000" w:rsidRPr="00000000">
        <w:rPr>
          <w:rFonts w:ascii="Arial" w:cs="Arial" w:eastAsia="Arial" w:hAnsi="Arial"/>
          <w:b w:val="1"/>
          <w:sz w:val="36"/>
          <w:szCs w:val="36"/>
          <w:rtl w:val="0"/>
        </w:rPr>
        <w:t xml:space="preserve">ЗАПРОШУЄМО</w:t>
      </w:r>
      <w:r w:rsidDel="00000000" w:rsidR="00000000" w:rsidRPr="00000000">
        <w:rPr>
          <w:rtl w:val="0"/>
        </w:rPr>
      </w:r>
    </w:p>
    <w:p w:rsidR="00000000" w:rsidDel="00000000" w:rsidP="00000000" w:rsidRDefault="00000000" w:rsidRPr="00000000" w14:paraId="00000005">
      <w:pPr>
        <w:spacing w:after="240" w:before="120" w:line="240" w:lineRule="auto"/>
        <w:ind w:left="0" w:hanging="2"/>
        <w:jc w:val="center"/>
        <w:rPr>
          <w:rFonts w:ascii="Arial" w:cs="Arial" w:eastAsia="Arial" w:hAnsi="Arial"/>
        </w:rPr>
      </w:pPr>
      <w:bookmarkStart w:colFirst="0" w:colLast="0" w:name="_heading=h.mp40favegcgb" w:id="0"/>
      <w:bookmarkEnd w:id="0"/>
      <w:r w:rsidDel="00000000" w:rsidR="00000000" w:rsidRPr="00000000">
        <w:rPr>
          <w:rFonts w:ascii="Arial" w:cs="Arial" w:eastAsia="Arial" w:hAnsi="Arial"/>
          <w:rtl w:val="0"/>
        </w:rPr>
        <w:t xml:space="preserve">на серію з 12 вебінарів </w:t>
      </w:r>
      <w:r w:rsidDel="00000000" w:rsidR="00000000" w:rsidRPr="00000000">
        <w:rPr>
          <w:rFonts w:ascii="Arial" w:cs="Arial" w:eastAsia="Arial" w:hAnsi="Arial"/>
          <w:b w:val="1"/>
          <w:rtl w:val="0"/>
        </w:rPr>
        <w:t xml:space="preserve">«Перевірено громадами: рішення МЕР, які реально працюють»</w:t>
      </w:r>
      <w:r w:rsidDel="00000000" w:rsidR="00000000" w:rsidRPr="00000000">
        <w:rPr>
          <w:rFonts w:ascii="Arial" w:cs="Arial" w:eastAsia="Arial" w:hAnsi="Arial"/>
          <w:rtl w:val="0"/>
        </w:rPr>
        <w:br w:type="textWrapping"/>
        <w:t xml:space="preserve">про інструменти та прикладні рішення для стимулювання економічного розвитку громад</w:t>
        <w:br w:type="textWrapping"/>
        <w:t xml:space="preserve">у форматі case study та групових менторингових сесій</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20" w:before="120" w:line="240" w:lineRule="auto"/>
        <w:ind w:left="2" w:hanging="4"/>
        <w:jc w:val="center"/>
        <w:rPr>
          <w:rFonts w:ascii="Arial" w:cs="Arial" w:eastAsia="Arial" w:hAnsi="Arial"/>
          <w:b w:val="1"/>
          <w:color w:val="0066cc"/>
          <w:sz w:val="36"/>
          <w:szCs w:val="36"/>
        </w:rPr>
      </w:pPr>
      <w:r w:rsidDel="00000000" w:rsidR="00000000" w:rsidRPr="00000000">
        <w:rPr>
          <w:rFonts w:ascii="Arial" w:cs="Arial" w:eastAsia="Arial" w:hAnsi="Arial"/>
          <w:b w:val="1"/>
          <w:color w:val="0066cc"/>
          <w:sz w:val="36"/>
          <w:szCs w:val="36"/>
          <w:rtl w:val="0"/>
        </w:rPr>
        <w:t xml:space="preserve">Вебінар #5 </w:t>
      </w:r>
    </w:p>
    <w:p w:rsidR="00000000" w:rsidDel="00000000" w:rsidP="00000000" w:rsidRDefault="00000000" w:rsidRPr="00000000" w14:paraId="00000007">
      <w:pPr>
        <w:spacing w:after="120" w:before="120" w:line="240" w:lineRule="auto"/>
        <w:ind w:left="0" w:hanging="2"/>
        <w:jc w:val="center"/>
        <w:rPr>
          <w:rFonts w:ascii="Arial Black" w:cs="Arial Black" w:eastAsia="Arial Black" w:hAnsi="Arial Black"/>
          <w:color w:val="000000"/>
        </w:rPr>
      </w:pPr>
      <w:sdt>
        <w:sdtPr>
          <w:id w:val="-646147447"/>
          <w:tag w:val="goog_rdk_0"/>
        </w:sdtPr>
        <w:sdtContent>
          <w:r w:rsidDel="00000000" w:rsidR="00000000" w:rsidRPr="00000000">
            <w:rPr>
              <w:rFonts w:ascii="Arial" w:cs="Arial" w:eastAsia="Arial" w:hAnsi="Arial"/>
              <w:b w:val="1"/>
              <w:color w:val="cc3300"/>
              <w:sz w:val="40"/>
              <w:szCs w:val="40"/>
              <w:rtl w:val="0"/>
            </w:rPr>
            <w:t xml:space="preserve">МІЖНАРОДНЕ МІЖМУНІЦИПАЛЬНЕ ПАРТНЕРСТВО ДЛЯ РОЗВИТКУ ГРОМАДИ</w:t>
          </w:r>
        </w:sdtContent>
      </w:sdt>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before="120" w:line="240" w:lineRule="auto"/>
        <w:ind w:left="0" w:hanging="2"/>
        <w:jc w:val="center"/>
        <w:rPr>
          <w:rFonts w:ascii="Arial" w:cs="Arial" w:eastAsia="Arial" w:hAnsi="Arial"/>
          <w:color w:val="000000"/>
        </w:rPr>
      </w:pPr>
      <w:r w:rsidDel="00000000" w:rsidR="00000000" w:rsidRPr="00000000">
        <w:rPr>
          <w:rFonts w:ascii="Arial" w:cs="Arial" w:eastAsia="Arial" w:hAnsi="Arial"/>
          <w:rtl w:val="0"/>
        </w:rPr>
        <w:t xml:space="preserve">п</w:t>
      </w:r>
      <w:r w:rsidDel="00000000" w:rsidR="00000000" w:rsidRPr="00000000">
        <w:rPr>
          <w:rFonts w:ascii="Arial" w:cs="Arial" w:eastAsia="Arial" w:hAnsi="Arial"/>
          <w:color w:val="000000"/>
          <w:rtl w:val="0"/>
        </w:rPr>
        <w:t xml:space="preserve">т, </w:t>
      </w:r>
      <w:r w:rsidDel="00000000" w:rsidR="00000000" w:rsidRPr="00000000">
        <w:rPr>
          <w:rFonts w:ascii="Arial" w:cs="Arial" w:eastAsia="Arial" w:hAnsi="Arial"/>
          <w:rtl w:val="0"/>
        </w:rPr>
        <w:t xml:space="preserve">18</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липня</w:t>
      </w:r>
      <w:r w:rsidDel="00000000" w:rsidR="00000000" w:rsidRPr="00000000">
        <w:rPr>
          <w:rFonts w:ascii="Arial" w:cs="Arial" w:eastAsia="Arial" w:hAnsi="Arial"/>
          <w:color w:val="000000"/>
          <w:rtl w:val="0"/>
        </w:rPr>
        <w:t xml:space="preserve"> 2025, 9:30</w:t>
        <w:br w:type="textWrapping"/>
        <w:t xml:space="preserve">онлайн (zoom)</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20" w:before="120" w:line="240" w:lineRule="auto"/>
        <w:ind w:left="0" w:hanging="2"/>
        <w:rPr>
          <w:rFonts w:ascii="Arial Black" w:cs="Arial Black" w:eastAsia="Arial Black" w:hAnsi="Arial Black"/>
          <w:color w:val="000000"/>
          <w:sz w:val="20"/>
          <w:szCs w:val="20"/>
        </w:rPr>
      </w:pPr>
      <w:r w:rsidDel="00000000" w:rsidR="00000000" w:rsidRPr="00000000">
        <w:rPr>
          <w:rFonts w:ascii="Arial" w:cs="Arial" w:eastAsia="Arial" w:hAnsi="Arial"/>
        </w:rPr>
        <w:drawing>
          <wp:inline distB="114300" distT="114300" distL="114300" distR="114300">
            <wp:extent cx="6570670" cy="2921000"/>
            <wp:effectExtent b="25400" l="25400" r="25400" t="25400"/>
            <wp:docPr id="1040"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6570670" cy="2921000"/>
                    </a:xfrm>
                    <a:prstGeom prst="rect"/>
                    <a:ln w="25400">
                      <a:solidFill>
                        <a:srgbClr val="DEEAF6"/>
                      </a:solidFill>
                      <a:prstDash val="solid"/>
                    </a:ln>
                  </pic:spPr>
                </pic:pic>
              </a:graphicData>
            </a:graphic>
          </wp:inline>
        </w:drawing>
      </w:r>
      <w:r w:rsidDel="00000000" w:rsidR="00000000" w:rsidRPr="00000000">
        <w:rPr>
          <w:rFonts w:ascii="Arial" w:cs="Arial" w:eastAsia="Arial" w:hAnsi="Arial"/>
          <w:color w:val="000000"/>
          <w:rtl w:val="0"/>
        </w:rPr>
        <w:br w:type="textWrapping"/>
      </w:r>
      <w:r w:rsidDel="00000000" w:rsidR="00000000" w:rsidRPr="00000000">
        <w:rPr>
          <w:color w:val="000000"/>
          <w:rtl w:val="0"/>
        </w:rPr>
        <w:br w:type="textWrapping"/>
      </w:r>
      <w:sdt>
        <w:sdtPr>
          <w:id w:val="-244170504"/>
          <w:tag w:val="goog_rdk_1"/>
        </w:sdtPr>
        <w:sdtContent>
          <w:r w:rsidDel="00000000" w:rsidR="00000000" w:rsidRPr="00000000">
            <w:rPr>
              <w:rFonts w:ascii="Arial" w:cs="Arial" w:eastAsia="Arial" w:hAnsi="Arial"/>
              <w:b w:val="1"/>
              <w:color w:val="c00000"/>
              <w:sz w:val="24"/>
              <w:szCs w:val="24"/>
              <w:rtl w:val="0"/>
            </w:rPr>
            <w:t xml:space="preserve">МЕТА</w:t>
          </w:r>
        </w:sdtContent>
      </w:sdt>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20" w:line="240" w:lineRule="auto"/>
        <w:ind w:left="0" w:hanging="2"/>
        <w:rPr>
          <w:rFonts w:ascii="Arial" w:cs="Arial" w:eastAsia="Arial" w:hAnsi="Arial"/>
          <w:color w:val="000000"/>
        </w:rPr>
      </w:pPr>
      <w:r w:rsidDel="00000000" w:rsidR="00000000" w:rsidRPr="00000000">
        <w:rPr>
          <w:rFonts w:ascii="Arial" w:cs="Arial" w:eastAsia="Arial" w:hAnsi="Arial"/>
          <w:color w:val="000000"/>
          <w:rtl w:val="0"/>
        </w:rPr>
        <w:t xml:space="preserve">Сприяти економічному розвитку громад через обмін досвідом та поширення кращих практик реалізації інструментів та практичних рішень.</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20" w:line="240" w:lineRule="auto"/>
        <w:rPr>
          <w:rFonts w:ascii="Arial" w:cs="Arial" w:eastAsia="Arial" w:hAnsi="Arial"/>
          <w:color w:val="000000"/>
          <w:sz w:val="10"/>
          <w:szCs w:val="1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20" w:before="120" w:line="240" w:lineRule="auto"/>
        <w:ind w:left="0" w:hanging="2"/>
        <w:rPr>
          <w:rFonts w:ascii="Arial Black" w:cs="Arial Black" w:eastAsia="Arial Black" w:hAnsi="Arial Black"/>
          <w:color w:val="000000"/>
          <w:sz w:val="20"/>
          <w:szCs w:val="20"/>
        </w:rPr>
      </w:pPr>
      <w:sdt>
        <w:sdtPr>
          <w:id w:val="-1753837020"/>
          <w:tag w:val="goog_rdk_2"/>
        </w:sdtPr>
        <w:sdtContent>
          <w:r w:rsidDel="00000000" w:rsidR="00000000" w:rsidRPr="00000000">
            <w:rPr>
              <w:rFonts w:ascii="Arial" w:cs="Arial" w:eastAsia="Arial" w:hAnsi="Arial"/>
              <w:b w:val="1"/>
              <w:color w:val="c00000"/>
              <w:sz w:val="24"/>
              <w:szCs w:val="24"/>
              <w:rtl w:val="0"/>
            </w:rPr>
            <w:t xml:space="preserve">ДЛЯ КОГО</w:t>
          </w:r>
        </w:sdtContent>
      </w:sdt>
      <w:r w:rsidDel="00000000" w:rsidR="00000000" w:rsidRPr="00000000">
        <w:rPr>
          <w:rtl w:val="0"/>
        </w:rPr>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pacing w:after="0" w:line="240" w:lineRule="auto"/>
        <w:ind w:left="284" w:hanging="286"/>
        <w:rPr>
          <w:rFonts w:ascii="Arial" w:cs="Arial" w:eastAsia="Arial" w:hAnsi="Arial"/>
          <w:color w:val="000000"/>
        </w:rPr>
      </w:pPr>
      <w:bookmarkStart w:colFirst="0" w:colLast="0" w:name="_heading=h.fspwmkngv10m" w:id="1"/>
      <w:bookmarkEnd w:id="1"/>
      <w:r w:rsidDel="00000000" w:rsidR="00000000" w:rsidRPr="00000000">
        <w:rPr>
          <w:rFonts w:ascii="Arial" w:cs="Arial" w:eastAsia="Arial" w:hAnsi="Arial"/>
          <w:color w:val="000000"/>
          <w:rtl w:val="0"/>
        </w:rPr>
        <w:t xml:space="preserve">для керівників громад</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pacing w:after="0" w:line="240" w:lineRule="auto"/>
        <w:ind w:left="284" w:hanging="286"/>
        <w:rPr>
          <w:rFonts w:ascii="Arial" w:cs="Arial" w:eastAsia="Arial" w:hAnsi="Arial"/>
          <w:color w:val="000000"/>
        </w:rPr>
      </w:pPr>
      <w:r w:rsidDel="00000000" w:rsidR="00000000" w:rsidRPr="00000000">
        <w:rPr>
          <w:rFonts w:ascii="Arial" w:cs="Arial" w:eastAsia="Arial" w:hAnsi="Arial"/>
          <w:color w:val="000000"/>
          <w:rtl w:val="0"/>
        </w:rPr>
        <w:t xml:space="preserve">для спеціалістів економічних відділів громад</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120" w:line="240" w:lineRule="auto"/>
        <w:ind w:left="284" w:hanging="286"/>
        <w:rPr>
          <w:rFonts w:ascii="Arial" w:cs="Arial" w:eastAsia="Arial" w:hAnsi="Arial"/>
          <w:color w:val="000000"/>
        </w:rPr>
      </w:pPr>
      <w:r w:rsidDel="00000000" w:rsidR="00000000" w:rsidRPr="00000000">
        <w:rPr>
          <w:rFonts w:ascii="Arial" w:cs="Arial" w:eastAsia="Arial" w:hAnsi="Arial"/>
          <w:color w:val="000000"/>
          <w:rtl w:val="0"/>
        </w:rPr>
        <w:t xml:space="preserve">для фахівців агенцій економічного розвитку, проєктних офісів, локальних організацій сприяння бізнесу</w:t>
      </w:r>
    </w:p>
    <w:p w:rsidR="00000000" w:rsidDel="00000000" w:rsidP="00000000" w:rsidRDefault="00000000" w:rsidRPr="00000000" w14:paraId="00000010">
      <w:pPr>
        <w:ind w:left="0" w:hanging="2"/>
        <w:rPr>
          <w:rFonts w:ascii="Arial" w:cs="Arial" w:eastAsia="Arial" w:hAnsi="Arial"/>
          <w:b w:val="1"/>
          <w:color w:val="c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20" w:before="360" w:line="240" w:lineRule="auto"/>
        <w:ind w:left="0" w:hanging="2"/>
        <w:rPr>
          <w:rFonts w:ascii="Arial" w:cs="Arial" w:eastAsia="Arial" w:hAnsi="Arial"/>
          <w:color w:val="c00000"/>
          <w:sz w:val="24"/>
          <w:szCs w:val="24"/>
        </w:rPr>
      </w:pPr>
      <w:r w:rsidDel="00000000" w:rsidR="00000000" w:rsidRPr="00000000">
        <w:rPr>
          <w:rFonts w:ascii="Arial" w:cs="Arial" w:eastAsia="Arial" w:hAnsi="Arial"/>
          <w:b w:val="1"/>
          <w:color w:val="c00000"/>
          <w:sz w:val="24"/>
          <w:szCs w:val="24"/>
          <w:rtl w:val="0"/>
        </w:rPr>
        <w:t xml:space="preserve">ПРОГРАМА ВЕБІНАРУ </w:t>
      </w:r>
      <w:r w:rsidDel="00000000" w:rsidR="00000000" w:rsidRPr="00000000">
        <w:rPr>
          <w:rFonts w:ascii="Arial" w:cs="Arial" w:eastAsia="Arial" w:hAnsi="Arial"/>
          <w:color w:val="c00000"/>
          <w:sz w:val="24"/>
          <w:szCs w:val="24"/>
          <w:rtl w:val="0"/>
        </w:rPr>
        <w:t xml:space="preserve">(case study)</w:t>
      </w:r>
    </w:p>
    <w:tbl>
      <w:tblPr>
        <w:tblStyle w:val="Table1"/>
        <w:tblW w:w="10348.0" w:type="dxa"/>
        <w:jc w:val="left"/>
        <w:tblInd w:w="-5.0" w:type="dxa"/>
        <w:tblBorders>
          <w:top w:color="deeaf6" w:space="0" w:sz="4" w:val="single"/>
          <w:left w:color="deeaf6" w:space="0" w:sz="4" w:val="single"/>
          <w:bottom w:color="deeaf6" w:space="0" w:sz="4" w:val="single"/>
          <w:right w:color="deeaf6" w:space="0" w:sz="4" w:val="single"/>
          <w:insideH w:color="deeaf6" w:space="0" w:sz="4" w:val="single"/>
          <w:insideV w:color="deeaf6" w:space="0" w:sz="4" w:val="single"/>
        </w:tblBorders>
        <w:tblLayout w:type="fixed"/>
        <w:tblLook w:val="0000"/>
      </w:tblPr>
      <w:tblGrid>
        <w:gridCol w:w="1565"/>
        <w:gridCol w:w="8783"/>
        <w:tblGridChange w:id="0">
          <w:tblGrid>
            <w:gridCol w:w="1565"/>
            <w:gridCol w:w="8783"/>
          </w:tblGrid>
        </w:tblGridChange>
      </w:tblGrid>
      <w:tr>
        <w:trPr>
          <w:cantSplit w:val="0"/>
          <w:tblHeader w:val="0"/>
        </w:trPr>
        <w:tc>
          <w:tcP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9:20 – 9:30</w:t>
            </w:r>
          </w:p>
        </w:tc>
        <w:tc>
          <w:tcPr>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rPr>
            </w:pPr>
            <w:r w:rsidDel="00000000" w:rsidR="00000000" w:rsidRPr="00000000">
              <w:rPr>
                <w:rFonts w:ascii="Arial" w:cs="Arial" w:eastAsia="Arial" w:hAnsi="Arial"/>
                <w:color w:val="000000"/>
                <w:rtl w:val="0"/>
              </w:rPr>
              <w:t xml:space="preserve">Реєстрація учасників.</w:t>
            </w:r>
          </w:p>
        </w:tc>
      </w:tr>
      <w:tr>
        <w:trPr>
          <w:cantSplit w:val="0"/>
          <w:tblHeader w:val="0"/>
        </w:trPr>
        <w:tc>
          <w:tcP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9:30 – 10:10</w:t>
            </w:r>
          </w:p>
        </w:tc>
        <w:tc>
          <w:tcP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20" w:before="60" w:line="240" w:lineRule="auto"/>
              <w:ind w:left="0" w:hanging="2"/>
              <w:rPr>
                <w:rFonts w:ascii="Arial" w:cs="Arial" w:eastAsia="Arial" w:hAnsi="Arial"/>
              </w:rPr>
            </w:pPr>
            <w:r w:rsidDel="00000000" w:rsidR="00000000" w:rsidRPr="00000000">
              <w:rPr>
                <w:rFonts w:ascii="Arial" w:cs="Arial" w:eastAsia="Arial" w:hAnsi="Arial"/>
                <w:b w:val="1"/>
                <w:color w:val="000000"/>
                <w:rtl w:val="0"/>
              </w:rPr>
              <w:t xml:space="preserve">Експертний виступ</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20" w:before="60" w:line="240" w:lineRule="auto"/>
              <w:ind w:left="0" w:hanging="2"/>
              <w:rPr>
                <w:rFonts w:ascii="Arial" w:cs="Arial" w:eastAsia="Arial" w:hAnsi="Arial"/>
              </w:rPr>
            </w:pPr>
            <w:r w:rsidDel="00000000" w:rsidR="00000000" w:rsidRPr="00000000">
              <w:rPr>
                <w:rFonts w:ascii="Arial" w:cs="Arial" w:eastAsia="Arial" w:hAnsi="Arial"/>
                <w:rtl w:val="0"/>
              </w:rPr>
              <w:t xml:space="preserve">Міжмуніципальне партнерство як інструмент розвитку громади. Як встановити зв’язки з громадами інших країн, реалізовувати спільні проєкти, залучати технічну допомогу та підвищувати інституційну спроможність.</w:t>
              <w:br w:type="textWrapping"/>
              <w:t xml:space="preserve">Форми співпраці: побратимство, обміни, спільні ініціативи, участь у міжнародних програмах.</w:t>
              <w:br w:type="textWrapping"/>
              <w:t xml:space="preserve">Що важливо: документи, координація, комунікація, бюджет. Як знайти партнерів і вибудувати сталі взаємини.</w:t>
            </w:r>
          </w:p>
        </w:tc>
      </w:tr>
      <w:tr>
        <w:trPr>
          <w:cantSplit w:val="0"/>
          <w:tblHeader w:val="0"/>
        </w:trPr>
        <w:tc>
          <w:tcP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10:10 – 11:30</w:t>
            </w:r>
          </w:p>
        </w:tc>
        <w:tc>
          <w:tcP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20" w:before="60" w:line="240" w:lineRule="auto"/>
              <w:ind w:left="0" w:hanging="2"/>
              <w:rPr>
                <w:rFonts w:ascii="Arial" w:cs="Arial" w:eastAsia="Arial" w:hAnsi="Arial"/>
                <w:color w:val="000000"/>
              </w:rPr>
            </w:pPr>
            <w:r w:rsidDel="00000000" w:rsidR="00000000" w:rsidRPr="00000000">
              <w:rPr>
                <w:rFonts w:ascii="Arial" w:cs="Arial" w:eastAsia="Arial" w:hAnsi="Arial"/>
                <w:b w:val="1"/>
                <w:color w:val="000000"/>
                <w:rtl w:val="0"/>
              </w:rPr>
              <w:t xml:space="preserve">Кращі практики</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20" w:line="240" w:lineRule="auto"/>
              <w:ind w:left="0" w:hanging="2"/>
              <w:rPr>
                <w:rFonts w:ascii="Arial" w:cs="Arial" w:eastAsia="Arial" w:hAnsi="Arial"/>
                <w:color w:val="000000"/>
              </w:rPr>
            </w:pPr>
            <w:r w:rsidDel="00000000" w:rsidR="00000000" w:rsidRPr="00000000">
              <w:rPr>
                <w:rFonts w:ascii="Arial" w:cs="Arial" w:eastAsia="Arial" w:hAnsi="Arial"/>
                <w:rtl w:val="0"/>
              </w:rPr>
              <w:t xml:space="preserve">Реальні приклади громад, які успішно реалізують міжнародне партнерство для розвитку:</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120" w:line="240" w:lineRule="auto"/>
              <w:ind w:left="447" w:hanging="449"/>
              <w:rPr>
                <w:rFonts w:ascii="Arial" w:cs="Arial" w:eastAsia="Arial" w:hAnsi="Arial"/>
                <w:color w:val="000000"/>
              </w:rPr>
            </w:pPr>
            <w:r w:rsidDel="00000000" w:rsidR="00000000" w:rsidRPr="00000000">
              <w:rPr>
                <w:rFonts w:ascii="Arial" w:cs="Arial" w:eastAsia="Arial" w:hAnsi="Arial"/>
                <w:rtl w:val="0"/>
              </w:rPr>
              <w:t xml:space="preserve">Чортківська громада, Тернопільська область</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20" w:line="240" w:lineRule="auto"/>
              <w:ind w:left="447" w:hanging="449"/>
              <w:rPr>
                <w:rFonts w:ascii="Arial" w:cs="Arial" w:eastAsia="Arial" w:hAnsi="Arial"/>
              </w:rPr>
            </w:pPr>
            <w:r w:rsidDel="00000000" w:rsidR="00000000" w:rsidRPr="00000000">
              <w:rPr>
                <w:rFonts w:ascii="Arial" w:cs="Arial" w:eastAsia="Arial" w:hAnsi="Arial"/>
                <w:rtl w:val="0"/>
              </w:rPr>
              <w:t xml:space="preserve">Кам’янець-Подільська громада, Хмельницька область</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120" w:line="240" w:lineRule="auto"/>
              <w:ind w:left="447" w:hanging="449"/>
              <w:rPr>
                <w:rFonts w:ascii="Arial" w:cs="Arial" w:eastAsia="Arial" w:hAnsi="Arial"/>
              </w:rPr>
            </w:pPr>
            <w:r w:rsidDel="00000000" w:rsidR="00000000" w:rsidRPr="00000000">
              <w:rPr>
                <w:rFonts w:ascii="Arial" w:cs="Arial" w:eastAsia="Arial" w:hAnsi="Arial"/>
                <w:rtl w:val="0"/>
              </w:rPr>
              <w:t xml:space="preserve">Добротвірська громада, Львівська область</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120" w:line="240" w:lineRule="auto"/>
              <w:ind w:left="447" w:hanging="449"/>
              <w:rPr>
                <w:rFonts w:ascii="Arial" w:cs="Arial" w:eastAsia="Arial" w:hAnsi="Arial"/>
              </w:rPr>
            </w:pPr>
            <w:r w:rsidDel="00000000" w:rsidR="00000000" w:rsidRPr="00000000">
              <w:rPr>
                <w:rFonts w:ascii="Arial" w:cs="Arial" w:eastAsia="Arial" w:hAnsi="Arial"/>
                <w:rtl w:val="0"/>
              </w:rPr>
              <w:t xml:space="preserve">Бурштинська громада, Івано-Франківська область</w:t>
            </w:r>
          </w:p>
        </w:tc>
      </w:tr>
      <w:tr>
        <w:trPr>
          <w:cantSplit w:val="0"/>
          <w:tblHeader w:val="0"/>
        </w:trPr>
        <w:tc>
          <w:tcP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11:30 – 11:45</w:t>
            </w:r>
          </w:p>
        </w:tc>
        <w:tc>
          <w:tcP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rPr>
            </w:pPr>
            <w:r w:rsidDel="00000000" w:rsidR="00000000" w:rsidRPr="00000000">
              <w:rPr>
                <w:rFonts w:ascii="Arial" w:cs="Arial" w:eastAsia="Arial" w:hAnsi="Arial"/>
                <w:rtl w:val="0"/>
              </w:rPr>
              <w:t xml:space="preserve">П</w:t>
            </w:r>
            <w:r w:rsidDel="00000000" w:rsidR="00000000" w:rsidRPr="00000000">
              <w:rPr>
                <w:rFonts w:ascii="Arial" w:cs="Arial" w:eastAsia="Arial" w:hAnsi="Arial"/>
                <w:color w:val="000000"/>
                <w:rtl w:val="0"/>
              </w:rPr>
              <w:t xml:space="preserve">ерерва</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before="360" w:line="240" w:lineRule="auto"/>
        <w:ind w:left="0" w:hanging="2"/>
        <w:rPr>
          <w:rFonts w:ascii="Arial" w:cs="Arial" w:eastAsia="Arial" w:hAnsi="Arial"/>
          <w:color w:val="c00000"/>
          <w:sz w:val="24"/>
          <w:szCs w:val="24"/>
        </w:rPr>
      </w:pPr>
      <w:r w:rsidDel="00000000" w:rsidR="00000000" w:rsidRPr="00000000">
        <w:rPr>
          <w:rFonts w:ascii="Arial" w:cs="Arial" w:eastAsia="Arial" w:hAnsi="Arial"/>
          <w:b w:val="1"/>
          <w:color w:val="c00000"/>
          <w:sz w:val="24"/>
          <w:szCs w:val="24"/>
          <w:rtl w:val="0"/>
        </w:rPr>
        <w:t xml:space="preserve">ГРУПОВА МЕНТОРИНГОВА СЕСІЯ</w:t>
      </w:r>
      <w:r w:rsidDel="00000000" w:rsidR="00000000" w:rsidRPr="00000000">
        <w:rPr>
          <w:rtl w:val="0"/>
        </w:rPr>
      </w:r>
    </w:p>
    <w:tbl>
      <w:tblPr>
        <w:tblStyle w:val="Table2"/>
        <w:tblW w:w="10348.0" w:type="dxa"/>
        <w:jc w:val="left"/>
        <w:tblInd w:w="-5.0" w:type="dxa"/>
        <w:tblBorders>
          <w:top w:color="deeaf6" w:space="0" w:sz="4" w:val="single"/>
          <w:left w:color="deeaf6" w:space="0" w:sz="4" w:val="single"/>
          <w:bottom w:color="deeaf6" w:space="0" w:sz="4" w:val="single"/>
          <w:right w:color="deeaf6" w:space="0" w:sz="4" w:val="single"/>
          <w:insideH w:color="deeaf6" w:space="0" w:sz="4" w:val="single"/>
          <w:insideV w:color="deeaf6" w:space="0" w:sz="4" w:val="single"/>
        </w:tblBorders>
        <w:tblLayout w:type="fixed"/>
        <w:tblLook w:val="0000"/>
      </w:tblPr>
      <w:tblGrid>
        <w:gridCol w:w="1565"/>
        <w:gridCol w:w="8783"/>
        <w:tblGridChange w:id="0">
          <w:tblGrid>
            <w:gridCol w:w="1565"/>
            <w:gridCol w:w="8783"/>
          </w:tblGrid>
        </w:tblGridChange>
      </w:tblGrid>
      <w:tr>
        <w:trPr>
          <w:cantSplit w:val="0"/>
          <w:trHeight w:val="610.95703125" w:hRule="atLeast"/>
          <w:tblHeader w:val="0"/>
        </w:trPr>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11:45 – 13:00</w:t>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rPr>
            </w:pPr>
            <w:r w:rsidDel="00000000" w:rsidR="00000000" w:rsidRPr="00000000">
              <w:rPr>
                <w:rFonts w:ascii="Arial" w:cs="Arial" w:eastAsia="Arial" w:hAnsi="Arial"/>
                <w:color w:val="000000"/>
                <w:rtl w:val="0"/>
              </w:rPr>
              <w:t xml:space="preserve">Дискусія. Відповіді на запитання від учасників події. </w:t>
              <w:br w:type="textWrapping"/>
              <w:t xml:space="preserve">Обмін досвідом.</w:t>
            </w:r>
          </w:p>
        </w:tc>
      </w:tr>
      <w:tr>
        <w:trPr>
          <w:cantSplit w:val="0"/>
          <w:tblHeader w:val="0"/>
        </w:trPr>
        <w:tc>
          <w:tcP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13:00</w:t>
            </w:r>
          </w:p>
        </w:tc>
        <w:tc>
          <w:tcP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rPr>
            </w:pPr>
            <w:r w:rsidDel="00000000" w:rsidR="00000000" w:rsidRPr="00000000">
              <w:rPr>
                <w:rFonts w:ascii="Arial" w:cs="Arial" w:eastAsia="Arial" w:hAnsi="Arial"/>
                <w:color w:val="000000"/>
                <w:rtl w:val="0"/>
              </w:rPr>
              <w:t xml:space="preserve">Завершення</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20" w:before="360" w:line="240" w:lineRule="auto"/>
        <w:ind w:left="0" w:hanging="2"/>
        <w:rPr>
          <w:rFonts w:ascii="Arial Black" w:cs="Arial Black" w:eastAsia="Arial Black" w:hAnsi="Arial Black"/>
          <w:color w:val="000000"/>
          <w:sz w:val="20"/>
          <w:szCs w:val="20"/>
        </w:rPr>
      </w:pPr>
      <w:sdt>
        <w:sdtPr>
          <w:id w:val="1859142644"/>
          <w:tag w:val="goog_rdk_3"/>
        </w:sdtPr>
        <w:sdtContent>
          <w:r w:rsidDel="00000000" w:rsidR="00000000" w:rsidRPr="00000000">
            <w:rPr>
              <w:rFonts w:ascii="Arial" w:cs="Arial" w:eastAsia="Arial" w:hAnsi="Arial"/>
              <w:b w:val="1"/>
              <w:color w:val="c00000"/>
              <w:sz w:val="24"/>
              <w:szCs w:val="24"/>
              <w:rtl w:val="0"/>
            </w:rPr>
            <w:t xml:space="preserve">ОРГАНІЗАЦІЙНІ ПИТАННЯ</w:t>
          </w:r>
        </w:sdtContent>
      </w:sdt>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20" w:line="240" w:lineRule="auto"/>
        <w:ind w:left="0" w:hanging="2"/>
        <w:rPr>
          <w:rFonts w:ascii="Arial" w:cs="Arial" w:eastAsia="Arial" w:hAnsi="Arial"/>
          <w:color w:val="000000"/>
        </w:rPr>
      </w:pPr>
      <w:r w:rsidDel="00000000" w:rsidR="00000000" w:rsidRPr="00000000">
        <w:rPr>
          <w:rFonts w:ascii="Arial" w:cs="Arial" w:eastAsia="Arial" w:hAnsi="Arial"/>
          <w:color w:val="000000"/>
          <w:rtl w:val="0"/>
        </w:rPr>
        <w:t xml:space="preserve">Реєстрація на подію до 12:00 </w:t>
      </w:r>
      <w:r w:rsidDel="00000000" w:rsidR="00000000" w:rsidRPr="00000000">
        <w:rPr>
          <w:rFonts w:ascii="Arial" w:cs="Arial" w:eastAsia="Arial" w:hAnsi="Arial"/>
          <w:rtl w:val="0"/>
        </w:rPr>
        <w:t xml:space="preserve">17 липня</w:t>
      </w:r>
      <w:r w:rsidDel="00000000" w:rsidR="00000000" w:rsidRPr="00000000">
        <w:rPr>
          <w:rFonts w:ascii="Arial" w:cs="Arial" w:eastAsia="Arial" w:hAnsi="Arial"/>
          <w:color w:val="000000"/>
          <w:rtl w:val="0"/>
        </w:rPr>
        <w:t xml:space="preserve"> 2025 </w:t>
      </w:r>
      <w:r w:rsidDel="00000000" w:rsidR="00000000" w:rsidRPr="00000000">
        <w:rPr>
          <w:rFonts w:ascii="Arial" w:cs="Arial" w:eastAsia="Arial" w:hAnsi="Arial"/>
          <w:rtl w:val="0"/>
        </w:rPr>
        <w:t xml:space="preserve">тут:</w:t>
      </w:r>
      <w:r w:rsidDel="00000000" w:rsidR="00000000" w:rsidRPr="00000000">
        <w:rPr>
          <w:rFonts w:ascii="Arial" w:cs="Arial" w:eastAsia="Arial" w:hAnsi="Arial"/>
          <w:color w:val="000000"/>
          <w:rtl w:val="0"/>
        </w:rPr>
        <w:t xml:space="preserve"> </w:t>
      </w:r>
      <w:hyperlink r:id="rId10">
        <w:r w:rsidDel="00000000" w:rsidR="00000000" w:rsidRPr="00000000">
          <w:rPr>
            <w:rFonts w:ascii="Arial" w:cs="Arial" w:eastAsia="Arial" w:hAnsi="Arial"/>
            <w:color w:val="1155cc"/>
            <w:u w:val="single"/>
            <w:rtl w:val="0"/>
          </w:rPr>
          <w:t xml:space="preserve">https://us02web.zoom.us/meeting/register/HI8tgivDT1KcpWPnFHDm0Q#/registration</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line="240" w:lineRule="auto"/>
        <w:ind w:left="0" w:hanging="2"/>
        <w:rPr>
          <w:rFonts w:ascii="Arial" w:cs="Arial" w:eastAsia="Arial" w:hAnsi="Arial"/>
          <w:color w:val="000000"/>
        </w:rPr>
      </w:pPr>
      <w:r w:rsidDel="00000000" w:rsidR="00000000" w:rsidRPr="00000000">
        <w:rPr>
          <w:rFonts w:ascii="Arial" w:cs="Arial" w:eastAsia="Arial" w:hAnsi="Arial"/>
          <w:color w:val="000000"/>
          <w:rtl w:val="0"/>
        </w:rPr>
        <w:t xml:space="preserve">Участь безкоштовна </w:t>
      </w:r>
      <w:r w:rsidDel="00000000" w:rsidR="00000000" w:rsidRPr="00000000">
        <w:rPr>
          <w:rFonts w:ascii="Arial" w:cs="Arial" w:eastAsia="Arial" w:hAnsi="Arial"/>
          <w:rtl w:val="0"/>
        </w:rPr>
        <w:t xml:space="preserve">за </w:t>
      </w:r>
      <w:r w:rsidDel="00000000" w:rsidR="00000000" w:rsidRPr="00000000">
        <w:rPr>
          <w:rFonts w:ascii="Arial" w:cs="Arial" w:eastAsia="Arial" w:hAnsi="Arial"/>
          <w:color w:val="000000"/>
          <w:rtl w:val="0"/>
        </w:rPr>
        <w:t xml:space="preserve">умови реєстрації, наявності вільних місць та підтвердження від організаторів.  </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240" w:lineRule="auto"/>
        <w:ind w:left="0" w:hanging="2"/>
        <w:rPr>
          <w:rFonts w:ascii="Arial" w:cs="Arial" w:eastAsia="Arial" w:hAnsi="Arial"/>
          <w:color w:val="000000"/>
        </w:rPr>
      </w:pPr>
      <w:r w:rsidDel="00000000" w:rsidR="00000000" w:rsidRPr="00000000">
        <w:rPr>
          <w:rFonts w:ascii="Arial" w:cs="Arial" w:eastAsia="Arial" w:hAnsi="Arial"/>
          <w:color w:val="000000"/>
          <w:rtl w:val="0"/>
        </w:rPr>
        <w:t xml:space="preserve">Посилання на zoom-кімнату буде надано на е-мейл одразу після реєстрації (див. також папки «спам» та «реклама»).</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line="240" w:lineRule="auto"/>
        <w:ind w:left="-2" w:firstLine="0"/>
        <w:rPr>
          <w:rFonts w:ascii="Arial" w:cs="Arial" w:eastAsia="Arial" w:hAnsi="Arial"/>
          <w:color w:val="000000"/>
          <w:sz w:val="2"/>
          <w:szCs w:val="2"/>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before="360" w:line="240" w:lineRule="auto"/>
        <w:ind w:left="0" w:hanging="2"/>
        <w:rPr>
          <w:rFonts w:ascii="Arial Black" w:cs="Arial Black" w:eastAsia="Arial Black" w:hAnsi="Arial Black"/>
          <w:color w:val="000000"/>
          <w:sz w:val="20"/>
          <w:szCs w:val="20"/>
        </w:rPr>
      </w:pPr>
      <w:sdt>
        <w:sdtPr>
          <w:id w:val="433912594"/>
          <w:tag w:val="goog_rdk_4"/>
        </w:sdtPr>
        <w:sdtContent>
          <w:r w:rsidDel="00000000" w:rsidR="00000000" w:rsidRPr="00000000">
            <w:rPr>
              <w:rFonts w:ascii="Arial" w:cs="Arial" w:eastAsia="Arial" w:hAnsi="Arial"/>
              <w:b w:val="1"/>
              <w:color w:val="c00000"/>
              <w:sz w:val="24"/>
              <w:szCs w:val="24"/>
              <w:rtl w:val="0"/>
            </w:rPr>
            <w:t xml:space="preserve">КАЛЕНДАР 12 ПОДІЙ</w:t>
          </w:r>
        </w:sdtContent>
      </w:sdt>
      <w:r w:rsidDel="00000000" w:rsidR="00000000" w:rsidRPr="00000000">
        <w:rPr>
          <w:rtl w:val="0"/>
        </w:rPr>
      </w:r>
    </w:p>
    <w:tbl>
      <w:tblPr>
        <w:tblStyle w:val="Table3"/>
        <w:tblW w:w="10917.0" w:type="dxa"/>
        <w:jc w:val="left"/>
        <w:tblInd w:w="-431.0" w:type="dxa"/>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00"/>
      </w:tblPr>
      <w:tblGrid>
        <w:gridCol w:w="439"/>
        <w:gridCol w:w="7642"/>
        <w:gridCol w:w="1560"/>
        <w:gridCol w:w="1276"/>
        <w:tblGridChange w:id="0">
          <w:tblGrid>
            <w:gridCol w:w="439"/>
            <w:gridCol w:w="7642"/>
            <w:gridCol w:w="1560"/>
            <w:gridCol w:w="1276"/>
          </w:tblGrid>
        </w:tblGridChange>
      </w:tblGrid>
      <w:tr>
        <w:trPr>
          <w:cantSplit w:val="0"/>
          <w:tblHeader w:val="0"/>
        </w:trPr>
        <w:tc>
          <w:tcPr>
            <w:shd w:fill="1f3864" w:val="clea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deeaf6"/>
                <w:sz w:val="20"/>
                <w:szCs w:val="20"/>
              </w:rPr>
            </w:pPr>
            <w:r w:rsidDel="00000000" w:rsidR="00000000" w:rsidRPr="00000000">
              <w:rPr>
                <w:rFonts w:ascii="Arial" w:cs="Arial" w:eastAsia="Arial" w:hAnsi="Arial"/>
                <w:color w:val="deeaf6"/>
                <w:sz w:val="20"/>
                <w:szCs w:val="20"/>
                <w:rtl w:val="0"/>
              </w:rPr>
              <w:t xml:space="preserve">№</w:t>
            </w:r>
          </w:p>
        </w:tc>
        <w:tc>
          <w:tcPr>
            <w:shd w:fill="1f3864" w:val="clea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deeaf6"/>
                <w:sz w:val="20"/>
                <w:szCs w:val="20"/>
              </w:rPr>
            </w:pPr>
            <w:r w:rsidDel="00000000" w:rsidR="00000000" w:rsidRPr="00000000">
              <w:rPr>
                <w:rFonts w:ascii="Arial" w:cs="Arial" w:eastAsia="Arial" w:hAnsi="Arial"/>
                <w:color w:val="deeaf6"/>
                <w:sz w:val="20"/>
                <w:szCs w:val="20"/>
                <w:rtl w:val="0"/>
              </w:rPr>
              <w:t xml:space="preserve">Тема</w:t>
            </w:r>
          </w:p>
        </w:tc>
        <w:tc>
          <w:tcPr>
            <w:shd w:fill="1f3864" w:val="clea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deeaf6"/>
                <w:sz w:val="20"/>
                <w:szCs w:val="20"/>
              </w:rPr>
            </w:pPr>
            <w:r w:rsidDel="00000000" w:rsidR="00000000" w:rsidRPr="00000000">
              <w:rPr>
                <w:rFonts w:ascii="Arial" w:cs="Arial" w:eastAsia="Arial" w:hAnsi="Arial"/>
                <w:color w:val="deeaf6"/>
                <w:sz w:val="20"/>
                <w:szCs w:val="20"/>
                <w:rtl w:val="0"/>
              </w:rPr>
              <w:t xml:space="preserve">Дата</w:t>
            </w:r>
          </w:p>
        </w:tc>
        <w:tc>
          <w:tcPr>
            <w:shd w:fill="1f3864" w:val="cle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deeaf6"/>
                <w:sz w:val="20"/>
                <w:szCs w:val="20"/>
              </w:rPr>
            </w:pPr>
            <w:r w:rsidDel="00000000" w:rsidR="00000000" w:rsidRPr="00000000">
              <w:rPr>
                <w:rFonts w:ascii="Arial" w:cs="Arial" w:eastAsia="Arial" w:hAnsi="Arial"/>
                <w:color w:val="deeaf6"/>
                <w:sz w:val="20"/>
                <w:szCs w:val="20"/>
                <w:rtl w:val="0"/>
              </w:rPr>
              <w:t xml:space="preserve">Реєстрація</w:t>
            </w:r>
          </w:p>
        </w:tc>
      </w:tr>
      <w:tr>
        <w:trPr>
          <w:cantSplit w:val="0"/>
          <w:tblHeader w:val="0"/>
        </w:trPr>
        <w:tc>
          <w:tcP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Створення інвестиційного сайту громади та його використання для залучення інвестицій</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i w:val="1"/>
                <w:color w:val="000000"/>
                <w:sz w:val="18"/>
                <w:szCs w:val="18"/>
                <w:rtl w:val="0"/>
              </w:rPr>
              <w:t xml:space="preserve">Як розробити і запустити сучасний інвестиційний сайт громади, ефективно ним користуватись для залучення інвесторів та підтримки бізнесу – на базі прикладів успішного впровадження в інших громадах.</w:t>
            </w:r>
            <w:r w:rsidDel="00000000" w:rsidR="00000000" w:rsidRPr="00000000">
              <w:rPr>
                <w:rtl w:val="0"/>
              </w:rPr>
            </w:r>
          </w:p>
        </w:tc>
        <w:tc>
          <w:tcP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пт, 20 червня, 9:30</w:t>
            </w:r>
          </w:p>
        </w:tc>
        <w:tc>
          <w:tcPr>
            <w:vAlign w:val="center"/>
          </w:tcPr>
          <w:p w:rsidR="00000000" w:rsidDel="00000000" w:rsidP="00000000" w:rsidRDefault="00000000" w:rsidRPr="00000000" w14:paraId="00000033">
            <w:pPr>
              <w:spacing w:after="60" w:before="60" w:line="240" w:lineRule="auto"/>
              <w:ind w:left="0" w:hanging="2"/>
              <w:rPr>
                <w:rFonts w:ascii="Arial" w:cs="Arial" w:eastAsia="Arial" w:hAnsi="Arial"/>
                <w:color w:val="000000"/>
                <w:sz w:val="20"/>
                <w:szCs w:val="20"/>
                <w:highlight w:val="yellow"/>
              </w:rPr>
            </w:pPr>
            <w:hyperlink r:id="rId11">
              <w:r w:rsidDel="00000000" w:rsidR="00000000" w:rsidRPr="00000000">
                <w:rPr>
                  <w:rFonts w:ascii="Arial" w:cs="Arial" w:eastAsia="Arial" w:hAnsi="Arial"/>
                  <w:color w:val="0000ff"/>
                  <w:sz w:val="20"/>
                  <w:szCs w:val="20"/>
                  <w:u w:val="single"/>
                  <w:rtl w:val="0"/>
                </w:rPr>
                <w:t xml:space="preserve">запис</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Брендинг і маркетинг території: як посилити інвестиційну привабливість громади</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i w:val="1"/>
                <w:color w:val="000000"/>
                <w:sz w:val="18"/>
                <w:szCs w:val="18"/>
                <w:rtl w:val="0"/>
              </w:rPr>
              <w:t xml:space="preserve">Розгляд ефективних інструментів брендингу та маркетингу території, які допомагають сформувати позитивний імідж громади, привернути увагу інвесторів і стимулювати економічний розвиток – на основі практичних кейсів.</w:t>
            </w:r>
            <w:r w:rsidDel="00000000" w:rsidR="00000000" w:rsidRPr="00000000">
              <w:rPr>
                <w:rtl w:val="0"/>
              </w:rPr>
            </w:r>
          </w:p>
        </w:tc>
        <w:tc>
          <w:tcP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пт, 27 червня, 9:30</w:t>
            </w:r>
          </w:p>
        </w:tc>
        <w:tc>
          <w:tcPr>
            <w:vAlign w:val="center"/>
          </w:tcPr>
          <w:p w:rsidR="00000000" w:rsidDel="00000000" w:rsidP="00000000" w:rsidRDefault="00000000" w:rsidRPr="00000000" w14:paraId="00000038">
            <w:pPr>
              <w:spacing w:after="60" w:before="60" w:line="240" w:lineRule="auto"/>
              <w:ind w:left="0" w:hanging="2"/>
              <w:rPr>
                <w:rFonts w:ascii="Arial" w:cs="Arial" w:eastAsia="Arial" w:hAnsi="Arial"/>
                <w:color w:val="000000"/>
                <w:sz w:val="20"/>
                <w:szCs w:val="20"/>
                <w:highlight w:val="yellow"/>
              </w:rPr>
            </w:pPr>
            <w:hyperlink r:id="rId12">
              <w:r w:rsidDel="00000000" w:rsidR="00000000" w:rsidRPr="00000000">
                <w:rPr>
                  <w:rFonts w:ascii="Arial" w:cs="Arial" w:eastAsia="Arial" w:hAnsi="Arial"/>
                  <w:color w:val="0000ff"/>
                  <w:sz w:val="20"/>
                  <w:szCs w:val="20"/>
                  <w:u w:val="single"/>
                  <w:rtl w:val="0"/>
                </w:rPr>
                <w:t xml:space="preserve">запис</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p>
        </w:tc>
        <w:tc>
          <w:tcP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Промоція громади через локальні продукти та послуги</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i w:val="1"/>
                <w:color w:val="000000"/>
                <w:sz w:val="18"/>
                <w:szCs w:val="18"/>
                <w:rtl w:val="0"/>
              </w:rPr>
              <w:t xml:space="preserve">Як громада може використовувати унікальні локальні товари, ремесла, гастрономію чи туристичні послуги для створення впізнаваного образу, стимулювання економіки та залучення зовнішньої уваги – з прикладами успішних ініціатив.</w:t>
            </w:r>
            <w:r w:rsidDel="00000000" w:rsidR="00000000" w:rsidRPr="00000000">
              <w:rPr>
                <w:rtl w:val="0"/>
              </w:rPr>
            </w:r>
          </w:p>
        </w:tc>
        <w:tc>
          <w:tcP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пт, 4 липня, 9:30</w:t>
            </w:r>
          </w:p>
        </w:tc>
        <w:tc>
          <w:tcPr>
            <w:vAlign w:val="center"/>
          </w:tcPr>
          <w:p w:rsidR="00000000" w:rsidDel="00000000" w:rsidP="00000000" w:rsidRDefault="00000000" w:rsidRPr="00000000" w14:paraId="0000003D">
            <w:pPr>
              <w:spacing w:after="60" w:before="60" w:line="240" w:lineRule="auto"/>
              <w:ind w:left="0" w:hanging="2"/>
              <w:rPr>
                <w:rFonts w:ascii="Arial" w:cs="Arial" w:eastAsia="Arial" w:hAnsi="Arial"/>
                <w:color w:val="000000"/>
                <w:sz w:val="20"/>
                <w:szCs w:val="20"/>
                <w:highlight w:val="yellow"/>
              </w:rPr>
            </w:pPr>
            <w:hyperlink r:id="rId13">
              <w:r w:rsidDel="00000000" w:rsidR="00000000" w:rsidRPr="00000000">
                <w:rPr>
                  <w:rFonts w:ascii="Arial" w:cs="Arial" w:eastAsia="Arial" w:hAnsi="Arial"/>
                  <w:color w:val="0000ff"/>
                  <w:sz w:val="20"/>
                  <w:szCs w:val="20"/>
                  <w:u w:val="single"/>
                  <w:rtl w:val="0"/>
                </w:rPr>
                <w:t xml:space="preserve">запис</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w:t>
            </w:r>
          </w:p>
        </w:tc>
        <w:tc>
          <w:tcPr>
            <w:vAlign w:val="cente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Фестивалі та ярмарки як інструмент економічного розвитку громади</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i w:val="1"/>
                <w:color w:val="000000"/>
                <w:sz w:val="18"/>
                <w:szCs w:val="18"/>
                <w:rtl w:val="0"/>
              </w:rPr>
              <w:t xml:space="preserve">Як організація подій на основі локальної ідентичності для місцевих виробників та надавачів послуг може активізувати малий бізнес, залучити туристів, сформувати позитивний імідж громади та сприяти зростанню економічної активності.</w:t>
            </w:r>
            <w:r w:rsidDel="00000000" w:rsidR="00000000" w:rsidRPr="00000000">
              <w:rPr>
                <w:rtl w:val="0"/>
              </w:rPr>
            </w:r>
          </w:p>
        </w:tc>
        <w:tc>
          <w:tcPr>
            <w:vAlign w:val="center"/>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пт, 11 липня, 9:30</w:t>
            </w:r>
          </w:p>
        </w:tc>
        <w:tc>
          <w:tcPr>
            <w:vAlign w:val="center"/>
          </w:tcPr>
          <w:p w:rsidR="00000000" w:rsidDel="00000000" w:rsidP="00000000" w:rsidRDefault="00000000" w:rsidRPr="00000000" w14:paraId="00000042">
            <w:pPr>
              <w:spacing w:after="60" w:before="60" w:line="240" w:lineRule="auto"/>
              <w:ind w:left="0" w:hanging="2"/>
              <w:rPr>
                <w:rFonts w:ascii="Arial" w:cs="Arial" w:eastAsia="Arial" w:hAnsi="Arial"/>
                <w:color w:val="000000"/>
                <w:sz w:val="20"/>
                <w:szCs w:val="20"/>
                <w:highlight w:val="yellow"/>
              </w:rPr>
            </w:pPr>
            <w:hyperlink r:id="rId14">
              <w:r w:rsidDel="00000000" w:rsidR="00000000" w:rsidRPr="00000000">
                <w:rPr>
                  <w:rFonts w:ascii="Arial" w:cs="Arial" w:eastAsia="Arial" w:hAnsi="Arial"/>
                  <w:color w:val="0000ff"/>
                  <w:sz w:val="20"/>
                  <w:szCs w:val="20"/>
                  <w:u w:val="single"/>
                  <w:rtl w:val="0"/>
                </w:rPr>
                <w:t xml:space="preserve">запис</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w:t>
            </w:r>
          </w:p>
        </w:tc>
        <w:tc>
          <w:tcP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Міжнародне міжмуніципальне партнерство для розвитку громади</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i w:val="1"/>
                <w:color w:val="000000"/>
                <w:sz w:val="18"/>
                <w:szCs w:val="18"/>
                <w:rtl w:val="0"/>
              </w:rPr>
              <w:t xml:space="preserve">Як громади можуть встановлювати партнерства з муніципалітетами інших країн для обміну досвідом, реалізації спільних проєктів, залучення міжнародної технічної допомоги та підвищення власної спроможності – з прикладами успішної співпраці.</w:t>
            </w:r>
            <w:r w:rsidDel="00000000" w:rsidR="00000000" w:rsidRPr="00000000">
              <w:rPr>
                <w:rtl w:val="0"/>
              </w:rPr>
            </w:r>
          </w:p>
        </w:tc>
        <w:tc>
          <w:tcPr>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пт, 18 липня, 9:30</w:t>
            </w:r>
          </w:p>
        </w:tc>
        <w:tc>
          <w:tcPr>
            <w:vAlign w:val="center"/>
          </w:tcPr>
          <w:p w:rsidR="00000000" w:rsidDel="00000000" w:rsidP="00000000" w:rsidRDefault="00000000" w:rsidRPr="00000000" w14:paraId="00000047">
            <w:pPr>
              <w:spacing w:after="60" w:before="60" w:line="240" w:lineRule="auto"/>
              <w:ind w:left="0" w:hanging="2"/>
              <w:rPr>
                <w:rFonts w:ascii="Arial" w:cs="Arial" w:eastAsia="Arial" w:hAnsi="Arial"/>
                <w:color w:val="000000"/>
                <w:sz w:val="20"/>
                <w:szCs w:val="20"/>
              </w:rPr>
            </w:pPr>
            <w:hyperlink r:id="rId15">
              <w:r w:rsidDel="00000000" w:rsidR="00000000" w:rsidRPr="00000000">
                <w:rPr>
                  <w:rFonts w:ascii="Arial" w:cs="Arial" w:eastAsia="Arial" w:hAnsi="Arial"/>
                  <w:color w:val="1155cc"/>
                  <w:sz w:val="20"/>
                  <w:szCs w:val="20"/>
                  <w:u w:val="single"/>
                  <w:rtl w:val="0"/>
                </w:rPr>
                <w:t xml:space="preserve">тут»»</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w:t>
            </w:r>
          </w:p>
        </w:tc>
        <w:tc>
          <w:tcP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Підтримка інклюзивного підприємництва в громаді</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i w:val="1"/>
                <w:color w:val="000000"/>
                <w:sz w:val="18"/>
                <w:szCs w:val="18"/>
                <w:rtl w:val="0"/>
              </w:rPr>
              <w:t xml:space="preserve">Як громади можуть сприяти розвитку бізнесів, що залучають до роботи або створюють продукти й послуги для ветеранів, жінок, молоді, людей з інвалідністю та інших вразливих груп – з прикладами ефективних підходів.</w:t>
            </w:r>
            <w:r w:rsidDel="00000000" w:rsidR="00000000" w:rsidRPr="00000000">
              <w:rPr>
                <w:rtl w:val="0"/>
              </w:rPr>
            </w:r>
          </w:p>
        </w:tc>
        <w:tc>
          <w:tcP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пт, 25 липня, 9:30</w:t>
            </w:r>
          </w:p>
        </w:tc>
        <w:tc>
          <w:tcP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w:t>
            </w:r>
          </w:p>
        </w:tc>
        <w:tc>
          <w:tcP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Формування економічної спеціалізації малої громади</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i w:val="1"/>
                <w:color w:val="000000"/>
                <w:sz w:val="18"/>
                <w:szCs w:val="18"/>
                <w:rtl w:val="0"/>
              </w:rPr>
              <w:t xml:space="preserve">Як малі громади можуть визначити свою пріоритетну галузь або нішу, розвинути економічну екосистему навколо неї та використати спеціалізацію як інструмент для залучення інвестицій і створення робочих місць – з реальними прикладами.</w:t>
            </w:r>
            <w:r w:rsidDel="00000000" w:rsidR="00000000" w:rsidRPr="00000000">
              <w:rPr>
                <w:rtl w:val="0"/>
              </w:rPr>
            </w:r>
          </w:p>
        </w:tc>
        <w:tc>
          <w:tcP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пт, 1 серпня, 9:30</w:t>
            </w:r>
          </w:p>
        </w:tc>
        <w:tc>
          <w:tcP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w:t>
            </w:r>
          </w:p>
        </w:tc>
        <w:tc>
          <w:tcPr>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Сприяння залученню грантового фінансування для бізнесу громади</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i w:val="1"/>
                <w:color w:val="000000"/>
                <w:sz w:val="18"/>
                <w:szCs w:val="18"/>
                <w:rtl w:val="0"/>
              </w:rPr>
              <w:t xml:space="preserve">Як громада може допомагати місцевим підприємцям знаходити актуальні гранти, готувати заявки, отримувати фінансування та реалізовувати проєкти – з прикладами інструментів підтримки та успішних кейсів.</w:t>
            </w:r>
            <w:r w:rsidDel="00000000" w:rsidR="00000000" w:rsidRPr="00000000">
              <w:rPr>
                <w:rtl w:val="0"/>
              </w:rPr>
            </w:r>
          </w:p>
        </w:tc>
        <w:tc>
          <w:tcP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пт, 8 серпня, 9:30</w:t>
            </w:r>
          </w:p>
        </w:tc>
        <w:tc>
          <w:tcP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w:t>
            </w:r>
          </w:p>
        </w:tc>
        <w:tc>
          <w:tcP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Револьверні фонди, кредитні спілки та інші небанківські інструменти фінансової підтримки у громадах</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i w:val="1"/>
                <w:color w:val="000000"/>
                <w:sz w:val="18"/>
                <w:szCs w:val="18"/>
                <w:rtl w:val="0"/>
              </w:rPr>
              <w:t xml:space="preserve">Як громади можуть запускати або співпрацювати з інструментами небанківського фінансування для підтримки місцевого бізнесу, фермерства чи стартапів. На основі прикладів ефективних моделей, що вже працюють в Україні.</w:t>
            </w:r>
            <w:r w:rsidDel="00000000" w:rsidR="00000000" w:rsidRPr="00000000">
              <w:rPr>
                <w:rtl w:val="0"/>
              </w:rPr>
            </w:r>
          </w:p>
        </w:tc>
        <w:tc>
          <w:tcP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пт, 15 серпня, 9:30</w:t>
            </w:r>
          </w:p>
        </w:tc>
        <w:tc>
          <w:tcP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w:t>
            </w:r>
          </w:p>
        </w:tc>
        <w:tc>
          <w:tcP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Локальні об’єднання для посилення економічної спроможності громади</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i w:val="1"/>
                <w:color w:val="000000"/>
                <w:sz w:val="18"/>
                <w:szCs w:val="18"/>
                <w:rtl w:val="0"/>
              </w:rPr>
              <w:t xml:space="preserve">Як створення та розвиток кооперативів, кластерів та інших форм локальної взаємодії сприяє економічному зростанню громади. Практичні приклади того, як спільна діяльність підприємців дозволяє зменшити витрати, посилити маркетинг, розширити ринки збуту та підвищити конкурентоспроможність.</w:t>
            </w:r>
            <w:r w:rsidDel="00000000" w:rsidR="00000000" w:rsidRPr="00000000">
              <w:rPr>
                <w:rtl w:val="0"/>
              </w:rPr>
            </w:r>
          </w:p>
        </w:tc>
        <w:tc>
          <w:tcP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пт, 22 серпня, 9:30</w:t>
            </w:r>
          </w:p>
        </w:tc>
        <w:tc>
          <w:tcP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w:t>
            </w:r>
          </w:p>
        </w:tc>
        <w:tc>
          <w:tcP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Створення агенцій регіонального розвитку та проєктних офісів у громадах</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i w:val="1"/>
                <w:color w:val="000000"/>
                <w:sz w:val="18"/>
                <w:szCs w:val="18"/>
                <w:rtl w:val="0"/>
              </w:rPr>
              <w:t xml:space="preserve">Як організувати інституції, що працюють на системне залучення інвестицій, грантів і підтримку місцевих ініціатив. Розгляд прикладів створення й ефективної роботи агенцій економічного розвитку, проєктних офісів і команд, що забезпечують стратегічний розвиток громади.</w:t>
            </w:r>
            <w:r w:rsidDel="00000000" w:rsidR="00000000" w:rsidRPr="00000000">
              <w:rPr>
                <w:rtl w:val="0"/>
              </w:rPr>
            </w:r>
          </w:p>
        </w:tc>
        <w:tc>
          <w:tcP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пт, 29 серпня, 9:30</w:t>
            </w:r>
          </w:p>
        </w:tc>
        <w:tc>
          <w:tcP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60" w:before="60" w:line="240" w:lineRule="auto"/>
              <w:ind w:left="0"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w:t>
            </w:r>
          </w:p>
        </w:tc>
        <w:tc>
          <w:tcP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Неформальна професійна освіта у громаді: успішні кейси в Україні</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i w:val="1"/>
                <w:color w:val="000000"/>
                <w:sz w:val="18"/>
                <w:szCs w:val="18"/>
                <w:rtl w:val="0"/>
              </w:rPr>
              <w:t xml:space="preserve">Як підвищення рівня знань і навичок жителів громади через неформальну освіту сприяє економічному розвитку. Освітні послуги для дітей, дорослих та людей «третього покоління» як інструмент розвитку людського капіталу. Приклади освітніх ініціатив, що створюють робочі місця та стимулюють локальну економіку.</w:t>
            </w:r>
            <w:r w:rsidDel="00000000" w:rsidR="00000000" w:rsidRPr="00000000">
              <w:rPr>
                <w:rtl w:val="0"/>
              </w:rPr>
            </w:r>
          </w:p>
        </w:tc>
        <w:tc>
          <w:tcP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пт, 5 вересня, 9:30</w:t>
            </w:r>
          </w:p>
        </w:tc>
        <w:tc>
          <w:tcP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60" w:before="60" w:line="240" w:lineRule="auto"/>
              <w:ind w:left="0" w:hanging="2"/>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0"/>
        </w:tabs>
        <w:spacing w:after="0" w:line="240" w:lineRule="auto"/>
        <w:jc w:val="both"/>
        <w:rPr>
          <w:rFonts w:ascii="Open Sans" w:cs="Open Sans" w:eastAsia="Open Sans" w:hAnsi="Open Sans"/>
          <w:color w:val="000000"/>
          <w:sz w:val="10"/>
          <w:szCs w:val="1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000000"/>
        </w:rPr>
      </w:pPr>
      <w:bookmarkStart w:colFirst="0" w:colLast="0" w:name="_heading=h.8jc0sx8efpcr" w:id="2"/>
      <w:bookmarkEnd w:id="2"/>
      <w:r w:rsidDel="00000000" w:rsidR="00000000" w:rsidRPr="00000000">
        <w:rPr>
          <w:rFonts w:ascii="Arial" w:cs="Arial" w:eastAsia="Arial" w:hAnsi="Arial"/>
          <w:rtl w:val="0"/>
        </w:rPr>
        <w:t xml:space="preserve">Серія вебінарів та групових менторингових сесій реалізується в межах проєкту «Посилене партнерство для сталого відновлення» (EPSR), який фінансує уряд Швеції через Шведське агентство з питань міжнародної співпраці (Sida) та впроваджує Програма розвитку ООН (ПРООН) в Україні</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before="240" w:line="240" w:lineRule="auto"/>
        <w:ind w:left="0" w:hanging="2"/>
        <w:rPr>
          <w:rFonts w:ascii="Arial" w:cs="Arial" w:eastAsia="Arial" w:hAnsi="Arial"/>
          <w:color w:val="c00000"/>
          <w:sz w:val="24"/>
          <w:szCs w:val="24"/>
        </w:rPr>
      </w:pPr>
      <w:r w:rsidDel="00000000" w:rsidR="00000000" w:rsidRPr="00000000">
        <w:rPr>
          <w:rFonts w:ascii="Arial" w:cs="Arial" w:eastAsia="Arial" w:hAnsi="Arial"/>
          <w:b w:val="1"/>
          <w:color w:val="c00000"/>
          <w:sz w:val="24"/>
          <w:szCs w:val="24"/>
          <w:rtl w:val="0"/>
        </w:rPr>
        <w:t xml:space="preserve">З ОРГАНІЗАЦІЙНИХ ПИТАНЬ</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60" w:line="240" w:lineRule="auto"/>
        <w:ind w:left="0" w:hanging="2"/>
        <w:rPr>
          <w:rFonts w:ascii="Arial" w:cs="Arial" w:eastAsia="Arial" w:hAnsi="Arial"/>
          <w:color w:val="000000"/>
        </w:rPr>
      </w:pPr>
      <w:r w:rsidDel="00000000" w:rsidR="00000000" w:rsidRPr="00000000">
        <w:rPr>
          <w:rFonts w:ascii="Arial" w:cs="Arial" w:eastAsia="Arial" w:hAnsi="Arial"/>
          <w:color w:val="000000"/>
          <w:rtl w:val="0"/>
        </w:rPr>
        <w:t xml:space="preserve">Наталія Балян</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60" w:line="240" w:lineRule="auto"/>
        <w:ind w:left="0" w:hanging="2"/>
        <w:rPr>
          <w:rFonts w:ascii="Arial" w:cs="Arial" w:eastAsia="Arial" w:hAnsi="Arial"/>
          <w:color w:val="000000"/>
        </w:rPr>
      </w:pPr>
      <w:r w:rsidDel="00000000" w:rsidR="00000000" w:rsidRPr="00000000">
        <w:rPr>
          <w:rFonts w:ascii="Arial" w:cs="Arial" w:eastAsia="Arial" w:hAnsi="Arial"/>
          <w:color w:val="000000"/>
          <w:rtl w:val="0"/>
        </w:rPr>
        <w:t xml:space="preserve">+380968045555</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60" w:line="240" w:lineRule="auto"/>
        <w:ind w:left="0" w:hanging="2"/>
        <w:rPr>
          <w:rFonts w:ascii="Arial" w:cs="Arial" w:eastAsia="Arial" w:hAnsi="Arial"/>
          <w:color w:val="000000"/>
        </w:rPr>
      </w:pPr>
      <w:r w:rsidDel="00000000" w:rsidR="00000000" w:rsidRPr="00000000">
        <w:rPr>
          <w:rFonts w:ascii="Arial" w:cs="Arial" w:eastAsia="Arial" w:hAnsi="Arial"/>
          <w:color w:val="000000"/>
          <w:rtl w:val="0"/>
        </w:rPr>
        <w:t xml:space="preserve">natalia.balyan@bc-club.org.ua</w:t>
      </w:r>
    </w:p>
    <w:sectPr>
      <w:footerReference r:id="rId16" w:type="default"/>
      <w:pgSz w:h="16838" w:w="11906" w:orient="portrait"/>
      <w:pgMar w:bottom="709" w:top="709" w:left="992" w:right="566" w:header="709"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Open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ind w:left="0" w:hanging="2"/>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18" w:hanging="360"/>
      </w:pPr>
      <w:rPr>
        <w:rFonts w:ascii="Noto Sans Symbols" w:cs="Noto Sans Symbols" w:eastAsia="Noto Sans Symbols" w:hAnsi="Noto Sans Symbols"/>
        <w:sz w:val="16"/>
        <w:szCs w:val="16"/>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200" w:line="276" w:lineRule="auto"/>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character" w:styleId="a4">
    <w:name w:val="Strong"/>
    <w:rPr>
      <w:b w:val="1"/>
      <w:bCs w:val="1"/>
      <w:w w:val="100"/>
      <w:position w:val="-1"/>
      <w:effect w:val="none"/>
      <w:vertAlign w:val="baseline"/>
      <w:cs w:val="0"/>
      <w:em w:val="none"/>
    </w:rPr>
  </w:style>
  <w:style w:type="paragraph" w:styleId="a5">
    <w:name w:val="Normal (Web)"/>
    <w:basedOn w:val="a"/>
    <w:qFormat w:val="1"/>
    <w:pPr>
      <w:spacing w:after="100" w:afterAutospacing="1" w:before="100" w:beforeAutospacing="1" w:line="240" w:lineRule="auto"/>
    </w:pPr>
    <w:rPr>
      <w:rFonts w:ascii="Times New Roman" w:cs="Times New Roman" w:eastAsia="Times New Roman" w:hAnsi="Times New Roman"/>
      <w:sz w:val="24"/>
      <w:szCs w:val="24"/>
      <w:lang w:eastAsia="ru-RU"/>
    </w:rPr>
  </w:style>
  <w:style w:type="character" w:styleId="a6">
    <w:name w:val="Emphasis"/>
    <w:rPr>
      <w:i w:val="1"/>
      <w:iCs w:val="1"/>
      <w:w w:val="100"/>
      <w:position w:val="-1"/>
      <w:effect w:val="none"/>
      <w:vertAlign w:val="baseline"/>
      <w:cs w:val="0"/>
      <w:em w:val="none"/>
    </w:rPr>
  </w:style>
  <w:style w:type="character" w:styleId="a7">
    <w:name w:val="Hyperlink"/>
    <w:qFormat w:val="1"/>
    <w:rPr>
      <w:color w:val="0000ff"/>
      <w:w w:val="100"/>
      <w:position w:val="-1"/>
      <w:u w:val="single"/>
      <w:effect w:val="none"/>
      <w:vertAlign w:val="baseline"/>
      <w:cs w:val="0"/>
      <w:em w:val="none"/>
    </w:rPr>
  </w:style>
  <w:style w:type="paragraph" w:styleId="Default" w:customStyle="1">
    <w:name w:val="Default"/>
    <w:pPr>
      <w:suppressAutoHyphens w:val="1"/>
      <w:autoSpaceDE w:val="0"/>
      <w:autoSpaceDN w:val="0"/>
      <w:adjustRightInd w:val="0"/>
      <w:spacing w:line="1" w:lineRule="atLeast"/>
      <w:ind w:left="-1" w:leftChars="-1" w:hangingChars="1"/>
      <w:textDirection w:val="btLr"/>
      <w:textAlignment w:val="top"/>
      <w:outlineLvl w:val="0"/>
    </w:pPr>
    <w:rPr>
      <w:rFonts w:ascii="Cambria" w:cs="Cambria" w:hAnsi="Cambria"/>
      <w:color w:val="000000"/>
      <w:position w:val="-1"/>
      <w:sz w:val="24"/>
      <w:szCs w:val="24"/>
      <w:lang w:eastAsia="en-US"/>
    </w:rPr>
  </w:style>
  <w:style w:type="paragraph" w:styleId="a8">
    <w:name w:val="header"/>
    <w:basedOn w:val="a"/>
    <w:qFormat w:val="1"/>
    <w:pPr>
      <w:spacing w:after="0" w:line="240" w:lineRule="auto"/>
    </w:pPr>
  </w:style>
  <w:style w:type="character" w:styleId="a9" w:customStyle="1">
    <w:name w:val="Верхній колонтитул Знак"/>
    <w:basedOn w:val="a0"/>
    <w:rPr>
      <w:w w:val="100"/>
      <w:position w:val="-1"/>
      <w:effect w:val="none"/>
      <w:vertAlign w:val="baseline"/>
      <w:cs w:val="0"/>
      <w:em w:val="none"/>
    </w:rPr>
  </w:style>
  <w:style w:type="paragraph" w:styleId="aa">
    <w:name w:val="footer"/>
    <w:basedOn w:val="a"/>
    <w:qFormat w:val="1"/>
    <w:pPr>
      <w:spacing w:after="0" w:line="240" w:lineRule="auto"/>
    </w:pPr>
  </w:style>
  <w:style w:type="character" w:styleId="ab" w:customStyle="1">
    <w:name w:val="Нижній колонтитул Знак"/>
    <w:basedOn w:val="a0"/>
    <w:rPr>
      <w:w w:val="100"/>
      <w:position w:val="-1"/>
      <w:effect w:val="none"/>
      <w:vertAlign w:val="baseline"/>
      <w:cs w:val="0"/>
      <w:em w:val="none"/>
    </w:rPr>
  </w:style>
  <w:style w:type="paragraph" w:styleId="ac">
    <w:name w:val="Balloon Text"/>
    <w:basedOn w:val="a"/>
    <w:qFormat w:val="1"/>
    <w:pPr>
      <w:spacing w:after="0" w:line="240" w:lineRule="auto"/>
    </w:pPr>
    <w:rPr>
      <w:rFonts w:ascii="Tahoma" w:cs="Tahoma" w:hAnsi="Tahoma"/>
      <w:sz w:val="16"/>
      <w:szCs w:val="16"/>
    </w:rPr>
  </w:style>
  <w:style w:type="character" w:styleId="ad" w:customStyle="1">
    <w:name w:val="Текст у виносці Знак"/>
    <w:rPr>
      <w:rFonts w:ascii="Tahoma" w:cs="Tahoma" w:hAnsi="Tahoma"/>
      <w:w w:val="100"/>
      <w:position w:val="-1"/>
      <w:sz w:val="16"/>
      <w:szCs w:val="16"/>
      <w:effect w:val="none"/>
      <w:vertAlign w:val="baseline"/>
      <w:cs w:val="0"/>
      <w:em w:val="none"/>
    </w:rPr>
  </w:style>
  <w:style w:type="paragraph" w:styleId="ae">
    <w:name w:val="List Paragraph"/>
    <w:basedOn w:val="a"/>
    <w:pPr>
      <w:ind w:left="720"/>
      <w:contextualSpacing w:val="1"/>
    </w:pPr>
    <w:rPr>
      <w:rFonts w:cs="Times New Roman"/>
      <w:lang w:val="uk-UA"/>
    </w:rPr>
  </w:style>
  <w:style w:type="character" w:styleId="af">
    <w:name w:val="Unresolved Mention"/>
    <w:qFormat w:val="1"/>
    <w:rPr>
      <w:color w:val="605e5c"/>
      <w:w w:val="100"/>
      <w:position w:val="-1"/>
      <w:effect w:val="none"/>
      <w:shd w:color="auto" w:fill="e1dfdd" w:val="clear"/>
      <w:vertAlign w:val="baseline"/>
      <w:cs w:val="0"/>
      <w:em w:val="none"/>
    </w:rPr>
  </w:style>
  <w:style w:type="table" w:styleId="af0">
    <w:name w:val="Table Grid"/>
    <w:basedOn w:val="a1"/>
    <w:pPr>
      <w:suppressAutoHyphens w:val="1"/>
      <w:spacing w:line="1" w:lineRule="atLeast"/>
      <w:ind w:left="-1" w:leftChars="-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f1">
    <w:name w:val="FollowedHyperlink"/>
    <w:qFormat w:val="1"/>
    <w:rPr>
      <w:color w:val="954f72"/>
      <w:w w:val="100"/>
      <w:position w:val="-1"/>
      <w:u w:val="single"/>
      <w:effect w:val="none"/>
      <w:vertAlign w:val="baseline"/>
      <w:cs w:val="0"/>
      <w:em w:val="none"/>
    </w:rPr>
  </w:style>
  <w:style w:type="character" w:styleId="af2">
    <w:name w:val="annotation reference"/>
    <w:qFormat w:val="1"/>
    <w:rPr>
      <w:w w:val="100"/>
      <w:position w:val="-1"/>
      <w:sz w:val="16"/>
      <w:szCs w:val="16"/>
      <w:effect w:val="none"/>
      <w:vertAlign w:val="baseline"/>
      <w:cs w:val="0"/>
      <w:em w:val="none"/>
    </w:rPr>
  </w:style>
  <w:style w:type="paragraph" w:styleId="af3">
    <w:name w:val="annotation text"/>
    <w:basedOn w:val="a"/>
    <w:qFormat w:val="1"/>
    <w:rPr>
      <w:sz w:val="20"/>
      <w:szCs w:val="20"/>
    </w:rPr>
  </w:style>
  <w:style w:type="character" w:styleId="af4" w:customStyle="1">
    <w:name w:val="Текст примітки Знак"/>
    <w:rPr>
      <w:w w:val="100"/>
      <w:position w:val="-1"/>
      <w:effect w:val="none"/>
      <w:vertAlign w:val="baseline"/>
      <w:cs w:val="0"/>
      <w:em w:val="none"/>
      <w:lang w:eastAsia="en-US" w:val="ru-RU"/>
    </w:rPr>
  </w:style>
  <w:style w:type="paragraph" w:styleId="af5">
    <w:name w:val="annotation subject"/>
    <w:basedOn w:val="af3"/>
    <w:next w:val="af3"/>
    <w:qFormat w:val="1"/>
    <w:rPr>
      <w:b w:val="1"/>
      <w:bCs w:val="1"/>
    </w:rPr>
  </w:style>
  <w:style w:type="character" w:styleId="af6" w:customStyle="1">
    <w:name w:val="Тема примітки Знак"/>
    <w:rPr>
      <w:b w:val="1"/>
      <w:bCs w:val="1"/>
      <w:w w:val="100"/>
      <w:position w:val="-1"/>
      <w:effect w:val="none"/>
      <w:vertAlign w:val="baseline"/>
      <w:cs w:val="0"/>
      <w:em w:val="none"/>
      <w:lang w:eastAsia="en-US" w:val="ru-RU"/>
    </w:rPr>
  </w:style>
  <w:style w:type="paragraph" w:styleId="af7">
    <w:name w:val="Revision"/>
    <w:pPr>
      <w:suppressAutoHyphens w:val="1"/>
      <w:spacing w:line="1" w:lineRule="atLeast"/>
      <w:ind w:left="-1" w:leftChars="-1" w:hangingChars="1"/>
      <w:textDirection w:val="btLr"/>
      <w:textAlignment w:val="top"/>
      <w:outlineLvl w:val="0"/>
    </w:pPr>
    <w:rPr>
      <w:position w:val="-1"/>
      <w:lang w:eastAsia="en-US"/>
    </w:rPr>
  </w:style>
  <w:style w:type="paragraph" w:styleId="af8">
    <w:name w:val="Body Text"/>
    <w:basedOn w:val="a"/>
    <w:pPr>
      <w:widowControl w:val="0"/>
      <w:autoSpaceDE w:val="0"/>
      <w:autoSpaceDN w:val="0"/>
      <w:spacing w:after="0" w:line="240" w:lineRule="auto"/>
    </w:pPr>
    <w:rPr>
      <w:rFonts w:ascii="TradeGothic LT Light" w:cs="TradeGothic LT Light" w:eastAsia="TradeGothic LT Light" w:hAnsi="TradeGothic LT Light"/>
      <w:sz w:val="20"/>
      <w:szCs w:val="20"/>
      <w:lang w:eastAsia="en-GB" w:val="en-GB"/>
    </w:rPr>
  </w:style>
  <w:style w:type="character" w:styleId="af9" w:customStyle="1">
    <w:name w:val="Основний текст Знак"/>
    <w:rPr>
      <w:rFonts w:ascii="TradeGothic LT Light" w:cs="TradeGothic LT Light" w:eastAsia="TradeGothic LT Light" w:hAnsi="TradeGothic LT Light"/>
      <w:w w:val="100"/>
      <w:position w:val="-1"/>
      <w:effect w:val="none"/>
      <w:vertAlign w:val="baseline"/>
      <w:cs w:val="0"/>
      <w:em w:val="none"/>
      <w:lang w:eastAsia="en-GB" w:val="en-GB"/>
    </w:rPr>
  </w:style>
  <w:style w:type="paragraph" w:styleId="P68B1DB1-BodyText10" w:customStyle="1">
    <w:name w:val="P68B1DB1-BodyText10"/>
    <w:basedOn w:val="af8"/>
    <w:rPr>
      <w:rFonts w:ascii="Calibri" w:cs="Calibri" w:hAnsi="Calibri"/>
      <w:sz w:val="22"/>
    </w:rPr>
  </w:style>
  <w:style w:type="paragraph" w:styleId="P68B1DB1-Normal14" w:customStyle="1">
    <w:name w:val="P68B1DB1-Normal14"/>
    <w:basedOn w:val="a"/>
    <w:pPr>
      <w:widowControl w:val="0"/>
      <w:autoSpaceDE w:val="0"/>
      <w:autoSpaceDN w:val="0"/>
      <w:spacing w:after="0" w:line="240" w:lineRule="auto"/>
    </w:pPr>
    <w:rPr>
      <w:rFonts w:eastAsia="TradeGothic LT Light"/>
      <w:szCs w:val="20"/>
      <w:lang w:eastAsia="en-GB" w:val="en-GB"/>
    </w:rPr>
  </w:style>
  <w:style w:type="paragraph" w:styleId="P68B1DB1-ListParagraph15" w:customStyle="1">
    <w:name w:val="P68B1DB1-ListParagraph15"/>
    <w:basedOn w:val="ae"/>
    <w:pPr>
      <w:widowControl w:val="0"/>
      <w:autoSpaceDE w:val="0"/>
      <w:autoSpaceDN w:val="0"/>
      <w:spacing w:after="0" w:before="1" w:line="240" w:lineRule="auto"/>
      <w:ind w:left="1981" w:hanging="341"/>
    </w:pPr>
    <w:rPr>
      <w:rFonts w:cs="Calibri" w:eastAsia="TradeGothic LT Light"/>
      <w:szCs w:val="20"/>
      <w:lang w:eastAsia="en-GB" w:val="en-GB"/>
    </w:rPr>
  </w:style>
  <w:style w:type="character" w:styleId="Note" w:customStyle="1">
    <w:name w:val="Note"/>
    <w:rPr>
      <w:rFonts w:ascii="Arial" w:hAnsi="Arial"/>
      <w:w w:val="100"/>
      <w:position w:val="-1"/>
      <w:sz w:val="18"/>
      <w:effect w:val="none"/>
      <w:vertAlign w:val="baseline"/>
      <w:cs w:val="0"/>
      <w:em w:val="none"/>
      <w:lang w:val="uk-UA"/>
    </w:rPr>
  </w:style>
  <w:style w:type="table" w:styleId="afb" w:customStyle="1">
    <w:basedOn w:val="TableNormal2"/>
    <w:tblPr>
      <w:tblStyleRowBandSize w:val="1"/>
      <w:tblStyleColBandSize w:val="1"/>
      <w:tblCellMar>
        <w:left w:w="108.0" w:type="dxa"/>
        <w:right w:w="108.0" w:type="dxa"/>
      </w:tblCellMar>
    </w:tblPr>
  </w:style>
  <w:style w:type="table" w:styleId="afc" w:customStyle="1">
    <w:basedOn w:val="TableNormal2"/>
    <w:tblPr>
      <w:tblStyleRowBandSize w:val="1"/>
      <w:tblStyleColBandSize w:val="1"/>
      <w:tblCellMar>
        <w:left w:w="108.0" w:type="dxa"/>
        <w:right w:w="108.0" w:type="dxa"/>
      </w:tblCellMar>
    </w:tblPr>
  </w:style>
  <w:style w:type="table" w:styleId="afd" w:customStyle="1">
    <w:basedOn w:val="TableNormal2"/>
    <w:tblPr>
      <w:tblStyleRowBandSize w:val="1"/>
      <w:tblStyleColBandSize w:val="1"/>
      <w:tblCellMar>
        <w:left w:w="108.0" w:type="dxa"/>
        <w:right w:w="108.0" w:type="dxa"/>
      </w:tblCellMar>
    </w:tblPr>
  </w:style>
  <w:style w:type="table" w:styleId="afe" w:customStyle="1">
    <w:basedOn w:val="TableNormal2"/>
    <w:tblPr>
      <w:tblStyleRowBandSize w:val="1"/>
      <w:tblStyleColBandSize w:val="1"/>
      <w:tblCellMar>
        <w:left w:w="108.0" w:type="dxa"/>
        <w:right w:w="108.0" w:type="dxa"/>
      </w:tblCellMar>
    </w:tblPr>
  </w:style>
  <w:style w:type="table" w:styleId="aff" w:customStyle="1">
    <w:basedOn w:val="TableNormal2"/>
    <w:tblPr>
      <w:tblStyleRowBandSize w:val="1"/>
      <w:tblStyleColBandSize w:val="1"/>
      <w:tblCellMar>
        <w:left w:w="108.0" w:type="dxa"/>
        <w:right w:w="108.0" w:type="dxa"/>
      </w:tblCellMar>
    </w:tblPr>
  </w:style>
  <w:style w:type="table" w:styleId="aff0" w:customStyle="1">
    <w:basedOn w:val="TableNormal2"/>
    <w:tblPr>
      <w:tblStyleRowBandSize w:val="1"/>
      <w:tblStyleColBandSize w:val="1"/>
      <w:tblCellMar>
        <w:left w:w="108.0" w:type="dxa"/>
        <w:right w:w="108.0" w:type="dxa"/>
      </w:tblCellMar>
    </w:tblPr>
  </w:style>
  <w:style w:type="table" w:styleId="aff1" w:customStyle="1">
    <w:basedOn w:val="TableNormal1"/>
    <w:tblPr>
      <w:tblStyleRowBandSize w:val="1"/>
      <w:tblStyleColBandSize w:val="1"/>
      <w:tblCellMar>
        <w:left w:w="108.0" w:type="dxa"/>
        <w:right w:w="108.0" w:type="dxa"/>
      </w:tblCellMar>
    </w:tblPr>
  </w:style>
  <w:style w:type="table" w:styleId="aff2" w:customStyle="1">
    <w:basedOn w:val="TableNormal1"/>
    <w:tblPr>
      <w:tblStyleRowBandSize w:val="1"/>
      <w:tblStyleColBandSize w:val="1"/>
      <w:tblCellMar>
        <w:left w:w="108.0" w:type="dxa"/>
        <w:right w:w="108.0" w:type="dxa"/>
      </w:tblCellMar>
    </w:tblPr>
  </w:style>
  <w:style w:type="table" w:styleId="aff3" w:customStyle="1">
    <w:basedOn w:val="TableNormal1"/>
    <w:tblPr>
      <w:tblStyleRowBandSize w:val="1"/>
      <w:tblStyleColBandSize w:val="1"/>
      <w:tblCellMar>
        <w:left w:w="108.0" w:type="dxa"/>
        <w:right w:w="108.0" w:type="dxa"/>
      </w:tblCellMar>
    </w:tblPr>
  </w:style>
  <w:style w:type="table" w:styleId="aff4" w:customStyle="1">
    <w:basedOn w:val="TableNormal1"/>
    <w:tblPr>
      <w:tblStyleRowBandSize w:val="1"/>
      <w:tblStyleColBandSize w:val="1"/>
      <w:tblCellMar>
        <w:left w:w="108.0" w:type="dxa"/>
        <w:right w:w="108.0" w:type="dxa"/>
      </w:tblCellMar>
    </w:tblPr>
  </w:style>
  <w:style w:type="table" w:styleId="aff5" w:customStyle="1">
    <w:basedOn w:val="TableNormal1"/>
    <w:tblPr>
      <w:tblStyleRowBandSize w:val="1"/>
      <w:tblStyleColBandSize w:val="1"/>
      <w:tblCellMar>
        <w:left w:w="108.0" w:type="dxa"/>
        <w:right w:w="108.0" w:type="dxa"/>
      </w:tblCellMar>
    </w:tblPr>
  </w:style>
  <w:style w:type="table" w:styleId="aff6" w:customStyle="1">
    <w:basedOn w:val="TableNormal1"/>
    <w:tblPr>
      <w:tblStyleRowBandSize w:val="1"/>
      <w:tblStyleColBandSize w:val="1"/>
      <w:tblCellMar>
        <w:left w:w="108.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ind w:left="0"/>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playlist?list=PL98Av73TAceqjy5o1thYZ0B7QeV8jCLxA" TargetMode="External"/><Relationship Id="rId10" Type="http://schemas.openxmlformats.org/officeDocument/2006/relationships/hyperlink" Target="https://us02web.zoom.us/meeting/register/HI8tgivDT1KcpWPnFHDm0Q#/registration" TargetMode="External"/><Relationship Id="rId13" Type="http://schemas.openxmlformats.org/officeDocument/2006/relationships/hyperlink" Target="https://www.youtube.com/playlist?list=PL98Av73TAceqjy5o1thYZ0B7QeV8jCLxA" TargetMode="External"/><Relationship Id="rId12" Type="http://schemas.openxmlformats.org/officeDocument/2006/relationships/hyperlink" Target="https://www.youtube.com/playlist?list=PL98Av73TAceqjy5o1thYZ0B7QeV8jCLx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https://us02web.zoom.us/meeting/register/HI8tgivDT1KcpWPnFHDm0Q#/registration" TargetMode="External"/><Relationship Id="rId14" Type="http://schemas.openxmlformats.org/officeDocument/2006/relationships/hyperlink" Target="https://www.youtube.com/playlist?list=PL98Av73TAceqjy5o1thYZ0B7QeV8jCLxA"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 Id="rId4" Type="http://schemas.openxmlformats.org/officeDocument/2006/relationships/font" Target="fonts/OpenSans-regular.ttf"/><Relationship Id="rId5" Type="http://schemas.openxmlformats.org/officeDocument/2006/relationships/font" Target="fonts/OpenSans-bold.ttf"/><Relationship Id="rId6" Type="http://schemas.openxmlformats.org/officeDocument/2006/relationships/font" Target="fonts/OpenSans-italic.ttf"/><Relationship Id="rId7"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3ifRshTjGWTSnVJ26LUsR1RyBg==">CgMxLjAaHwoBMBIaChgIB0IUCgtBcmlhbCBCbGFjaxIFQXJpYWwaHwoBMRIaChgIB0IUCgtBcmlhbCBCbGFjaxIFQXJpYWwaHwoBMhIaChgIB0IUCgtBcmlhbCBCbGFjaxIFQXJpYWwaHwoBMxIaChgIB0IUCgtBcmlhbCBCbGFjaxIFQXJpYWwaHwoBNBIaChgIB0IUCgtBcmlhbCBCbGFjaxIFQXJpYWwyDmgubXA0MGZhdmVnY2diMg5oLmZzcHdta25ndjEwbTIOaC44amMwc3g4ZWZwY3I4AHIhMUU4Ui1EX1k3SkIzejNxaFhPNlJmQlpKcGFWU2QxeXp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2022-07-11T18:37:00Z</dcterms:created>
  <dc:creator>Mykola</dc:creator>
</cp:coreProperties>
</file>