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5F8F1" w14:textId="77777777" w:rsidR="003447E9" w:rsidRDefault="003447E9" w:rsidP="003447E9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sz w:val="24"/>
          <w:szCs w:val="24"/>
          <w:lang w:val="uk-UA"/>
        </w:rPr>
        <w:t xml:space="preserve">ІНСТРУКЦІЯ </w:t>
      </w:r>
    </w:p>
    <w:p w14:paraId="56CBDF36" w14:textId="77777777" w:rsidR="003447E9" w:rsidRDefault="003447E9" w:rsidP="003447E9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>для медичного застосування лікарського засобу</w:t>
      </w:r>
    </w:p>
    <w:p w14:paraId="663EF428" w14:textId="77777777" w:rsidR="003447E9" w:rsidRDefault="003447E9" w:rsidP="003447E9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</w:p>
    <w:p w14:paraId="18297EB2" w14:textId="77777777" w:rsidR="003447E9" w:rsidRDefault="003447E9" w:rsidP="003447E9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uk-UA" w:eastAsia="x-none"/>
        </w:rPr>
      </w:pPr>
      <w:r>
        <w:rPr>
          <w:rFonts w:ascii="Times New Roman" w:hAnsi="Times New Roman"/>
          <w:b/>
          <w:bCs/>
          <w:sz w:val="24"/>
          <w:szCs w:val="24"/>
          <w:lang w:val="uk-UA"/>
        </w:rPr>
        <w:t>ІНДІРАБ</w:t>
      </w:r>
    </w:p>
    <w:p w14:paraId="0AEE362E" w14:textId="77777777" w:rsidR="003447E9" w:rsidRDefault="003447E9" w:rsidP="003447E9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sz w:val="24"/>
          <w:szCs w:val="24"/>
          <w:lang w:val="uk-UA"/>
        </w:rPr>
        <w:t xml:space="preserve">Вакцина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uk-UA"/>
        </w:rPr>
        <w:t>антирабічна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uk-UA"/>
        </w:rPr>
        <w:t xml:space="preserve"> очищена,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uk-UA"/>
        </w:rPr>
        <w:t>інактивована</w:t>
      </w:r>
      <w:proofErr w:type="spellEnd"/>
    </w:p>
    <w:p w14:paraId="6FA12912" w14:textId="77777777" w:rsidR="003447E9" w:rsidRDefault="003447E9" w:rsidP="003447E9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uk-UA"/>
        </w:rPr>
      </w:pPr>
    </w:p>
    <w:p w14:paraId="14B197BF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shd w:val="clear" w:color="auto" w:fill="FFFFFF"/>
          <w:lang w:val="uk-UA" w:eastAsia="x-none"/>
        </w:rPr>
      </w:pPr>
    </w:p>
    <w:p w14:paraId="7C1725C4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k-UA" w:eastAsia="x-none"/>
        </w:rPr>
      </w:pPr>
      <w:r>
        <w:rPr>
          <w:rFonts w:ascii="Times New Roman" w:hAnsi="Times New Roman"/>
          <w:b/>
          <w:bCs/>
          <w:sz w:val="24"/>
          <w:szCs w:val="24"/>
          <w:shd w:val="clear" w:color="auto" w:fill="FFFFFF"/>
          <w:lang w:val="uk-UA" w:eastAsia="x-none"/>
        </w:rPr>
        <w:t>Склад:</w:t>
      </w:r>
      <w:r>
        <w:rPr>
          <w:rFonts w:ascii="Times New Roman" w:hAnsi="Times New Roman"/>
          <w:sz w:val="24"/>
          <w:szCs w:val="24"/>
          <w:lang w:val="uk-UA" w:eastAsia="x-none"/>
        </w:rPr>
        <w:t xml:space="preserve"> </w:t>
      </w:r>
    </w:p>
    <w:p w14:paraId="1F10D6ED" w14:textId="77777777" w:rsidR="003447E9" w:rsidRDefault="003447E9" w:rsidP="003447E9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  <w:lang w:val="uk-UA" w:eastAsia="x-none"/>
        </w:rPr>
      </w:pPr>
      <w:r>
        <w:rPr>
          <w:rFonts w:ascii="Times New Roman" w:eastAsia="Times New Roman" w:hAnsi="Times New Roman"/>
          <w:i/>
          <w:sz w:val="24"/>
          <w:szCs w:val="24"/>
          <w:lang w:val="uk-UA" w:eastAsia="x-none"/>
        </w:rPr>
        <w:t xml:space="preserve">діюча речовина: </w:t>
      </w:r>
      <w:proofErr w:type="spellStart"/>
      <w:r>
        <w:rPr>
          <w:rFonts w:ascii="Times New Roman" w:eastAsia="Times New Roman" w:hAnsi="Times New Roman"/>
          <w:bCs/>
          <w:sz w:val="24"/>
          <w:szCs w:val="24"/>
          <w:lang w:val="uk-UA" w:eastAsia="x-none"/>
        </w:rPr>
        <w:t>rabies</w:t>
      </w:r>
      <w:proofErr w:type="spellEnd"/>
      <w:r>
        <w:rPr>
          <w:rFonts w:ascii="Times New Roman" w:eastAsia="Times New Roman" w:hAnsi="Times New Roman"/>
          <w:bCs/>
          <w:sz w:val="24"/>
          <w:szCs w:val="24"/>
          <w:lang w:val="uk-UA" w:eastAsia="x-none"/>
        </w:rPr>
        <w:t xml:space="preserve">, </w:t>
      </w:r>
      <w:proofErr w:type="spellStart"/>
      <w:r>
        <w:rPr>
          <w:rFonts w:ascii="Times New Roman" w:eastAsia="Times New Roman" w:hAnsi="Times New Roman"/>
          <w:bCs/>
          <w:sz w:val="24"/>
          <w:szCs w:val="24"/>
          <w:lang w:val="uk-UA" w:eastAsia="x-none"/>
        </w:rPr>
        <w:t>inactivated</w:t>
      </w:r>
      <w:proofErr w:type="spellEnd"/>
      <w:r>
        <w:rPr>
          <w:rFonts w:ascii="Times New Roman" w:eastAsia="Times New Roman" w:hAnsi="Times New Roman"/>
          <w:bCs/>
          <w:sz w:val="24"/>
          <w:szCs w:val="24"/>
          <w:lang w:val="uk-UA" w:eastAsia="x-none"/>
        </w:rPr>
        <w:t xml:space="preserve">, </w:t>
      </w:r>
      <w:proofErr w:type="spellStart"/>
      <w:r>
        <w:rPr>
          <w:rFonts w:ascii="Times New Roman" w:eastAsia="Times New Roman" w:hAnsi="Times New Roman"/>
          <w:bCs/>
          <w:sz w:val="24"/>
          <w:szCs w:val="24"/>
          <w:lang w:val="uk-UA" w:eastAsia="x-none"/>
        </w:rPr>
        <w:t>whole</w:t>
      </w:r>
      <w:proofErr w:type="spellEnd"/>
      <w:r>
        <w:rPr>
          <w:rFonts w:ascii="Times New Roman" w:eastAsia="Times New Roman" w:hAnsi="Times New Roman"/>
          <w:bCs/>
          <w:sz w:val="24"/>
          <w:szCs w:val="24"/>
          <w:lang w:val="uk-UA" w:eastAsia="x-none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4"/>
          <w:szCs w:val="24"/>
          <w:lang w:val="uk-UA" w:eastAsia="x-none"/>
        </w:rPr>
        <w:t>virus</w:t>
      </w:r>
      <w:proofErr w:type="spellEnd"/>
      <w:r>
        <w:rPr>
          <w:rFonts w:ascii="Times New Roman" w:eastAsia="Times New Roman" w:hAnsi="Times New Roman"/>
          <w:bCs/>
          <w:sz w:val="24"/>
          <w:szCs w:val="24"/>
          <w:lang w:val="uk-UA" w:eastAsia="x-none"/>
        </w:rPr>
        <w:t>;</w:t>
      </w:r>
    </w:p>
    <w:p w14:paraId="64120C5A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Одна доза (0,5 мл) відновленої вакцини містить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інактивований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вірус сказу, штам </w:t>
      </w:r>
      <w:r>
        <w:rPr>
          <w:rFonts w:ascii="Times New Roman" w:hAnsi="Times New Roman"/>
          <w:bCs/>
          <w:sz w:val="24"/>
          <w:szCs w:val="24"/>
          <w:lang w:val="uk-UA"/>
        </w:rPr>
        <w:t>РМ</w:t>
      </w:r>
      <w:r>
        <w:rPr>
          <w:rFonts w:ascii="Times New Roman" w:hAnsi="Times New Roman"/>
          <w:sz w:val="24"/>
          <w:szCs w:val="24"/>
          <w:lang w:val="uk-UA" w:eastAsia="x-none"/>
        </w:rPr>
        <w:t xml:space="preserve">, виготовлений на культурі клітин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Веро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>, – не менше 2,5 МО</w:t>
      </w:r>
      <w:r>
        <w:rPr>
          <w:rFonts w:ascii="Times New Roman" w:eastAsia="Times New Roman" w:hAnsi="Times New Roman"/>
          <w:bCs/>
          <w:sz w:val="24"/>
          <w:szCs w:val="24"/>
          <w:lang w:val="uk-UA" w:eastAsia="x-none"/>
        </w:rPr>
        <w:t>;</w:t>
      </w:r>
    </w:p>
    <w:p w14:paraId="2370B2C3" w14:textId="77777777" w:rsidR="003447E9" w:rsidRDefault="003447E9" w:rsidP="003447E9">
      <w:pPr>
        <w:widowControl w:val="0"/>
        <w:adjustRightInd w:val="0"/>
        <w:spacing w:after="0" w:line="240" w:lineRule="auto"/>
        <w:ind w:right="371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i/>
          <w:sz w:val="24"/>
          <w:szCs w:val="24"/>
          <w:lang w:val="uk-UA"/>
        </w:rPr>
        <w:t>допоміжні речовини:</w:t>
      </w:r>
      <w:r>
        <w:rPr>
          <w:rFonts w:ascii="Times New Roman" w:hAnsi="Times New Roman"/>
          <w:sz w:val="24"/>
          <w:szCs w:val="24"/>
          <w:lang w:val="uk-UA"/>
        </w:rPr>
        <w:t xml:space="preserve"> мальтоза – 5 %, альбумін людини – 1 %</w:t>
      </w:r>
      <w:r>
        <w:rPr>
          <w:rFonts w:ascii="Times New Roman" w:eastAsia="Times New Roman" w:hAnsi="Times New Roman"/>
          <w:bCs/>
          <w:sz w:val="24"/>
          <w:szCs w:val="24"/>
          <w:lang w:val="uk-UA" w:eastAsia="x-none"/>
        </w:rPr>
        <w:t>;</w:t>
      </w:r>
    </w:p>
    <w:p w14:paraId="3586A30E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i/>
          <w:sz w:val="24"/>
          <w:szCs w:val="24"/>
          <w:lang w:val="uk-UA" w:eastAsia="x-none"/>
        </w:rPr>
        <w:t>консервант:</w:t>
      </w:r>
      <w:r>
        <w:rPr>
          <w:rFonts w:ascii="Times New Roman" w:hAnsi="Times New Roman"/>
          <w:sz w:val="24"/>
          <w:szCs w:val="24"/>
          <w:lang w:val="uk-UA" w:eastAsia="x-non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тіомерсал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– 0,01 %</w:t>
      </w:r>
      <w:r>
        <w:rPr>
          <w:rFonts w:ascii="Times New Roman" w:eastAsia="Times New Roman" w:hAnsi="Times New Roman"/>
          <w:bCs/>
          <w:sz w:val="24"/>
          <w:szCs w:val="24"/>
          <w:lang w:val="uk-UA" w:eastAsia="x-none"/>
        </w:rPr>
        <w:t>;</w:t>
      </w:r>
    </w:p>
    <w:p w14:paraId="092A1D1E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bCs/>
          <w:i/>
          <w:sz w:val="24"/>
          <w:szCs w:val="24"/>
          <w:shd w:val="clear" w:color="auto" w:fill="FFFFFF"/>
          <w:lang w:val="uk-UA" w:eastAsia="x-none"/>
        </w:rPr>
        <w:t>розчинник</w:t>
      </w:r>
      <w:r>
        <w:rPr>
          <w:rFonts w:ascii="Times New Roman" w:hAnsi="Times New Roman"/>
          <w:bCs/>
          <w:sz w:val="24"/>
          <w:szCs w:val="24"/>
          <w:shd w:val="clear" w:color="auto" w:fill="FFFFFF"/>
          <w:lang w:val="uk-UA" w:eastAsia="x-none"/>
        </w:rPr>
        <w:t xml:space="preserve">: </w:t>
      </w:r>
      <w:r>
        <w:rPr>
          <w:rFonts w:ascii="Times New Roman" w:hAnsi="Times New Roman"/>
          <w:sz w:val="24"/>
          <w:szCs w:val="24"/>
          <w:lang w:val="uk-UA" w:eastAsia="x-none"/>
        </w:rPr>
        <w:t>натрію хлориду розчин для ін</w:t>
      </w:r>
      <w:r>
        <w:rPr>
          <w:rFonts w:ascii="Times New Roman" w:hAnsi="Times New Roman"/>
          <w:bCs/>
          <w:sz w:val="24"/>
          <w:szCs w:val="24"/>
          <w:lang w:val="uk-UA"/>
        </w:rPr>
        <w:t>’</w:t>
      </w:r>
      <w:r>
        <w:rPr>
          <w:rFonts w:ascii="Times New Roman" w:hAnsi="Times New Roman"/>
          <w:sz w:val="24"/>
          <w:szCs w:val="24"/>
          <w:lang w:val="uk-UA" w:eastAsia="x-none"/>
        </w:rPr>
        <w:t>єкцій 0,3 % – 0,5 мл.</w:t>
      </w:r>
    </w:p>
    <w:p w14:paraId="2FABB0E3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Вакцина містить сліди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неоміцину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сульфату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68ADB5A6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</w:p>
    <w:p w14:paraId="6B1EA28E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sz w:val="24"/>
          <w:szCs w:val="24"/>
          <w:lang w:val="uk-UA"/>
        </w:rPr>
        <w:t xml:space="preserve">Лікарська форма.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Ліофілізований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порошок для розчину для ін’єкцій та розчинник.</w:t>
      </w:r>
    </w:p>
    <w:p w14:paraId="114F0817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val="uk-UA" w:eastAsia="x-none"/>
        </w:rPr>
      </w:pPr>
      <w:r>
        <w:rPr>
          <w:rFonts w:ascii="Times New Roman" w:hAnsi="Times New Roman"/>
          <w:i/>
          <w:sz w:val="24"/>
          <w:szCs w:val="24"/>
          <w:lang w:val="uk-UA" w:eastAsia="x-none"/>
        </w:rPr>
        <w:t xml:space="preserve">Основні фізико-хімічні властивості: </w:t>
      </w:r>
      <w:r>
        <w:rPr>
          <w:rFonts w:ascii="Times New Roman" w:hAnsi="Times New Roman"/>
          <w:sz w:val="24"/>
          <w:szCs w:val="24"/>
          <w:lang w:val="uk-UA" w:eastAsia="x-none"/>
        </w:rPr>
        <w:t xml:space="preserve">вакцина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антирабічна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являє собою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ліофілізований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порошок білого або слабко-рожевого кольору. Після розчинення – прозорий або злегка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опалесціюючий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розчин. </w:t>
      </w:r>
    </w:p>
    <w:p w14:paraId="1FF6206A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pacing w:val="-8"/>
          <w:sz w:val="24"/>
          <w:szCs w:val="24"/>
          <w:lang w:val="uk-UA"/>
        </w:rPr>
      </w:pPr>
      <w:r>
        <w:rPr>
          <w:rFonts w:ascii="Times New Roman" w:hAnsi="Times New Roman"/>
          <w:spacing w:val="-8"/>
          <w:sz w:val="24"/>
          <w:szCs w:val="24"/>
          <w:lang w:val="uk-UA"/>
        </w:rPr>
        <w:t xml:space="preserve">Розчинник є прозорою, безбарвною рідиною, практично вільною від видимих часток. </w:t>
      </w:r>
    </w:p>
    <w:p w14:paraId="404655FA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uk-UA"/>
        </w:rPr>
      </w:pPr>
    </w:p>
    <w:p w14:paraId="655D3EFF" w14:textId="77777777" w:rsidR="003447E9" w:rsidRDefault="003447E9" w:rsidP="003447E9">
      <w:pPr>
        <w:spacing w:after="0" w:line="240" w:lineRule="auto"/>
        <w:rPr>
          <w:rFonts w:ascii="Times New Roman" w:hAnsi="Times New Roman"/>
          <w:bCs/>
          <w:sz w:val="24"/>
          <w:szCs w:val="24"/>
          <w:lang w:val="uk-UA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lang w:val="uk-UA"/>
        </w:rPr>
        <w:t>Фармакотерапевтична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uk-UA"/>
        </w:rPr>
        <w:t xml:space="preserve"> група.</w:t>
      </w:r>
      <w:r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Проти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вірусні вакцини. Вакцина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антирабічна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очищена,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інактивована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. </w:t>
      </w:r>
      <w:r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Код АТХ J07В G01.</w:t>
      </w:r>
    </w:p>
    <w:p w14:paraId="45469B0C" w14:textId="77777777" w:rsidR="003447E9" w:rsidRDefault="003447E9" w:rsidP="003447E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uk-UA"/>
        </w:rPr>
      </w:pPr>
    </w:p>
    <w:p w14:paraId="40B6F01B" w14:textId="77777777" w:rsidR="003447E9" w:rsidRDefault="003447E9" w:rsidP="003447E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>Імунологічні і біологічні властивості.</w:t>
      </w:r>
    </w:p>
    <w:p w14:paraId="4525FFFE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 xml:space="preserve">Вакцина являє собою вакцинний штам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Рitman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Моо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е (РМ) вірусу сказу, вирощений у культурі клітин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Веро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інактивований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бета-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пропіолактоном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>, концентрований методом хроматографії з подальшою очисткою методами ультрафільтрації та стерильної фільтрації.</w:t>
      </w:r>
    </w:p>
    <w:p w14:paraId="5DDA985A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uk-UA"/>
        </w:rPr>
      </w:pPr>
      <w:proofErr w:type="spellStart"/>
      <w:r>
        <w:rPr>
          <w:rFonts w:ascii="Times New Roman" w:hAnsi="Times New Roman"/>
          <w:bCs/>
          <w:i/>
          <w:sz w:val="24"/>
          <w:szCs w:val="24"/>
          <w:lang w:val="uk-UA"/>
        </w:rPr>
        <w:t>Фармакодинаміка</w:t>
      </w:r>
      <w:proofErr w:type="spellEnd"/>
      <w:r>
        <w:rPr>
          <w:rFonts w:ascii="Times New Roman" w:hAnsi="Times New Roman"/>
          <w:bCs/>
          <w:i/>
          <w:sz w:val="24"/>
          <w:szCs w:val="24"/>
          <w:lang w:val="uk-UA"/>
        </w:rPr>
        <w:t xml:space="preserve">. </w:t>
      </w:r>
    </w:p>
    <w:p w14:paraId="26138FCF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Вакцина індукує розвиток імунітету проти вірусу сказу.</w:t>
      </w:r>
    </w:p>
    <w:p w14:paraId="5780CD3E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  <w:lang w:val="uk-UA" w:eastAsia="ru-RU"/>
        </w:rPr>
      </w:pPr>
      <w:r>
        <w:rPr>
          <w:rFonts w:ascii="Times New Roman" w:hAnsi="Times New Roman"/>
          <w:i/>
          <w:iCs/>
          <w:sz w:val="24"/>
          <w:szCs w:val="24"/>
          <w:lang w:val="uk-UA" w:eastAsia="ru-RU"/>
        </w:rPr>
        <w:t>Фармакокінетика.</w:t>
      </w:r>
    </w:p>
    <w:p w14:paraId="034EA396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val="uk-UA" w:eastAsia="ru-RU"/>
        </w:rPr>
        <w:t xml:space="preserve">Оцінка </w:t>
      </w:r>
      <w:proofErr w:type="spellStart"/>
      <w:r>
        <w:rPr>
          <w:rFonts w:ascii="Times New Roman" w:hAnsi="Times New Roman"/>
          <w:iCs/>
          <w:sz w:val="24"/>
          <w:szCs w:val="24"/>
          <w:lang w:val="uk-UA" w:eastAsia="ru-RU"/>
        </w:rPr>
        <w:t>фармакокінетичних</w:t>
      </w:r>
      <w:proofErr w:type="spellEnd"/>
      <w:r>
        <w:rPr>
          <w:rFonts w:ascii="Times New Roman" w:hAnsi="Times New Roman"/>
          <w:iCs/>
          <w:sz w:val="24"/>
          <w:szCs w:val="24"/>
          <w:lang w:val="uk-UA" w:eastAsia="ru-RU"/>
        </w:rPr>
        <w:t xml:space="preserve"> властивостей не є </w:t>
      </w:r>
      <w:r>
        <w:rPr>
          <w:rFonts w:ascii="Times New Roman" w:hAnsi="Times New Roman"/>
          <w:sz w:val="24"/>
          <w:szCs w:val="24"/>
          <w:lang w:val="uk-UA"/>
        </w:rPr>
        <w:t>обов</w:t>
      </w:r>
      <w:r>
        <w:rPr>
          <w:rFonts w:ascii="Times New Roman" w:hAnsi="Times New Roman"/>
          <w:bCs/>
          <w:sz w:val="24"/>
          <w:szCs w:val="24"/>
          <w:lang w:val="uk-UA"/>
        </w:rPr>
        <w:t>’</w:t>
      </w:r>
      <w:r>
        <w:rPr>
          <w:rFonts w:ascii="Times New Roman" w:hAnsi="Times New Roman"/>
          <w:sz w:val="24"/>
          <w:szCs w:val="24"/>
          <w:lang w:val="uk-UA"/>
        </w:rPr>
        <w:t>язковою</w:t>
      </w:r>
      <w:r>
        <w:rPr>
          <w:rFonts w:ascii="Times New Roman" w:hAnsi="Times New Roman"/>
          <w:iCs/>
          <w:sz w:val="24"/>
          <w:szCs w:val="24"/>
          <w:lang w:val="uk-UA" w:eastAsia="ru-RU"/>
        </w:rPr>
        <w:t xml:space="preserve"> для вакцин.</w:t>
      </w:r>
    </w:p>
    <w:p w14:paraId="7AE65FB8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uk-UA" w:eastAsia="x-none"/>
        </w:rPr>
      </w:pPr>
    </w:p>
    <w:p w14:paraId="72F318D1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sz w:val="24"/>
          <w:szCs w:val="24"/>
          <w:lang w:val="uk-UA"/>
        </w:rPr>
        <w:t>Клінічні характеристики.</w:t>
      </w:r>
    </w:p>
    <w:p w14:paraId="730C0E52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/>
          <w:sz w:val="24"/>
          <w:szCs w:val="24"/>
          <w:lang w:val="uk-UA"/>
        </w:rPr>
        <w:t>Показання.</w:t>
      </w:r>
    </w:p>
    <w:p w14:paraId="308E5E7E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eastAsia="Arial" w:hAnsi="Times New Roman"/>
          <w:i/>
          <w:iCs/>
          <w:sz w:val="24"/>
          <w:szCs w:val="24"/>
          <w:u w:val="single"/>
          <w:lang w:val="uk-UA"/>
        </w:rPr>
      </w:pPr>
      <w:r>
        <w:rPr>
          <w:rFonts w:ascii="Times New Roman" w:eastAsia="Arial" w:hAnsi="Times New Roman"/>
          <w:i/>
          <w:iCs/>
          <w:sz w:val="24"/>
          <w:szCs w:val="24"/>
          <w:u w:val="single"/>
          <w:lang w:val="uk-UA"/>
        </w:rPr>
        <w:t>Профілактична імунізація (</w:t>
      </w:r>
      <w:proofErr w:type="spellStart"/>
      <w:r>
        <w:rPr>
          <w:rFonts w:ascii="Times New Roman" w:eastAsia="Arial" w:hAnsi="Times New Roman"/>
          <w:i/>
          <w:iCs/>
          <w:sz w:val="24"/>
          <w:szCs w:val="24"/>
          <w:u w:val="single"/>
          <w:lang w:val="uk-UA"/>
        </w:rPr>
        <w:t>преекспозиційна</w:t>
      </w:r>
      <w:proofErr w:type="spellEnd"/>
      <w:r>
        <w:rPr>
          <w:rFonts w:ascii="Times New Roman" w:eastAsia="Arial" w:hAnsi="Times New Roman"/>
          <w:i/>
          <w:iCs/>
          <w:sz w:val="24"/>
          <w:szCs w:val="24"/>
          <w:u w:val="single"/>
          <w:lang w:val="uk-UA"/>
        </w:rPr>
        <w:t xml:space="preserve"> імунізація)</w:t>
      </w:r>
    </w:p>
    <w:p w14:paraId="60CBE79B" w14:textId="77777777" w:rsidR="003447E9" w:rsidRDefault="003447E9" w:rsidP="003447E9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Рекомендовано особам, що за характером професійної діяльності належать до групи ризику, зокрема працівникам ветеринарних лабораторій,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клінік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та інших лабораторій, які працюють із типовим вірусом сказу; мисливцям; лісникам; спеціалістам ветеринарної медицини; працівникам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боєнь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>; таксидермістам; особам, що виконують роботи з відлову і утримання бездомних тварин; працівникам притулків для утримання тварин; військовим; листоношам; дітям, які перебувають в постійному контакті із тваринами та мають високий ризик інфікування вірусом сказу.</w:t>
      </w:r>
    </w:p>
    <w:p w14:paraId="09810B5D" w14:textId="77777777" w:rsidR="003447E9" w:rsidRDefault="003447E9" w:rsidP="003447E9">
      <w:pPr>
        <w:widowControl w:val="0"/>
        <w:shd w:val="clear" w:color="auto" w:fill="FFFFFF"/>
        <w:spacing w:after="0" w:line="0" w:lineRule="atLeast"/>
        <w:jc w:val="both"/>
        <w:rPr>
          <w:rFonts w:ascii="Times New Roman" w:eastAsia="Arial" w:hAnsi="Times New Roman"/>
          <w:i/>
          <w:sz w:val="24"/>
          <w:szCs w:val="24"/>
          <w:u w:val="single"/>
          <w:shd w:val="clear" w:color="auto" w:fill="FFFFFF"/>
          <w:lang w:val="uk-UA"/>
        </w:rPr>
      </w:pPr>
      <w:r>
        <w:rPr>
          <w:rFonts w:ascii="Times New Roman" w:eastAsia="Arial Unicode MS" w:hAnsi="Times New Roman" w:cs="Arial"/>
          <w:i/>
          <w:sz w:val="24"/>
          <w:szCs w:val="24"/>
          <w:u w:val="single"/>
          <w:lang w:val="uk-UA"/>
        </w:rPr>
        <w:t>Л</w:t>
      </w:r>
      <w:r>
        <w:rPr>
          <w:rFonts w:ascii="Times New Roman" w:eastAsia="Arial" w:hAnsi="Times New Roman"/>
          <w:i/>
          <w:sz w:val="24"/>
          <w:szCs w:val="24"/>
          <w:u w:val="single"/>
          <w:shd w:val="clear" w:color="auto" w:fill="FFFFFF"/>
          <w:lang w:val="uk-UA"/>
        </w:rPr>
        <w:t>ікувально-профілактична імунізація (</w:t>
      </w:r>
      <w:proofErr w:type="spellStart"/>
      <w:r>
        <w:rPr>
          <w:rFonts w:ascii="Times New Roman" w:eastAsia="Arial" w:hAnsi="Times New Roman"/>
          <w:i/>
          <w:sz w:val="24"/>
          <w:szCs w:val="24"/>
          <w:u w:val="single"/>
          <w:shd w:val="clear" w:color="auto" w:fill="FFFFFF"/>
          <w:lang w:val="uk-UA"/>
        </w:rPr>
        <w:t>постекспозиційна</w:t>
      </w:r>
      <w:proofErr w:type="spellEnd"/>
      <w:r>
        <w:rPr>
          <w:rFonts w:ascii="Times New Roman" w:eastAsia="Arial" w:hAnsi="Times New Roman"/>
          <w:i/>
          <w:sz w:val="24"/>
          <w:szCs w:val="24"/>
          <w:u w:val="single"/>
          <w:shd w:val="clear" w:color="auto" w:fill="FFFFFF"/>
          <w:lang w:val="uk-UA"/>
        </w:rPr>
        <w:t xml:space="preserve"> імунізація)</w:t>
      </w:r>
    </w:p>
    <w:p w14:paraId="369DB166" w14:textId="77777777" w:rsidR="003447E9" w:rsidRDefault="003447E9" w:rsidP="003447E9">
      <w:pPr>
        <w:widowControl w:val="0"/>
        <w:shd w:val="clear" w:color="auto" w:fill="FFFFFF"/>
        <w:spacing w:after="0" w:line="0" w:lineRule="atLeast"/>
        <w:jc w:val="both"/>
        <w:rPr>
          <w:rFonts w:ascii="Arial" w:eastAsia="Arial" w:hAnsi="Arial" w:cs="Arial"/>
          <w:b/>
          <w:lang w:val="uk-UA"/>
        </w:rPr>
      </w:pPr>
      <w:r>
        <w:rPr>
          <w:rFonts w:ascii="Times New Roman" w:eastAsia="Arial" w:hAnsi="Times New Roman"/>
          <w:sz w:val="24"/>
          <w:szCs w:val="24"/>
          <w:shd w:val="clear" w:color="auto" w:fill="FFFFFF"/>
          <w:lang w:val="uk-UA"/>
        </w:rPr>
        <w:t>Р</w:t>
      </w:r>
      <w:r>
        <w:rPr>
          <w:rFonts w:ascii="Times New Roman" w:eastAsia="Arial" w:hAnsi="Times New Roman" w:cs="Arial"/>
          <w:sz w:val="24"/>
          <w:szCs w:val="24"/>
          <w:lang w:val="uk-UA"/>
        </w:rPr>
        <w:t xml:space="preserve">екомендовано особам, що зазнали укусів, подряпин, ослизнення хворими </w:t>
      </w:r>
      <w:r>
        <w:rPr>
          <w:rFonts w:ascii="Times New Roman" w:eastAsia="Times New Roman" w:hAnsi="Times New Roman" w:cs="Arial"/>
          <w:sz w:val="24"/>
          <w:szCs w:val="24"/>
          <w:lang w:val="uk-UA"/>
        </w:rPr>
        <w:t>або підозрюваними  щодо захворювання на сказ тваринами.</w:t>
      </w:r>
    </w:p>
    <w:p w14:paraId="5AAB5BE3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uk-UA"/>
        </w:rPr>
      </w:pPr>
    </w:p>
    <w:p w14:paraId="7AF0F864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/>
          <w:sz w:val="24"/>
          <w:szCs w:val="24"/>
          <w:lang w:val="uk-UA"/>
        </w:rPr>
        <w:t xml:space="preserve">Протипоказання. </w:t>
      </w:r>
    </w:p>
    <w:p w14:paraId="097607DF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eastAsia="Arial" w:hAnsi="Times New Roman"/>
          <w:i/>
          <w:iCs/>
          <w:sz w:val="24"/>
          <w:szCs w:val="24"/>
          <w:u w:val="single"/>
          <w:lang w:val="uk-UA"/>
        </w:rPr>
      </w:pPr>
      <w:r>
        <w:rPr>
          <w:rFonts w:ascii="Times New Roman" w:eastAsia="Arial" w:hAnsi="Times New Roman"/>
          <w:i/>
          <w:iCs/>
          <w:sz w:val="24"/>
          <w:szCs w:val="24"/>
          <w:u w:val="single"/>
          <w:lang w:val="uk-UA"/>
        </w:rPr>
        <w:t>Профілактична імунізація (</w:t>
      </w:r>
      <w:proofErr w:type="spellStart"/>
      <w:r>
        <w:rPr>
          <w:rFonts w:ascii="Times New Roman" w:eastAsia="Arial" w:hAnsi="Times New Roman"/>
          <w:i/>
          <w:iCs/>
          <w:sz w:val="24"/>
          <w:szCs w:val="24"/>
          <w:u w:val="single"/>
          <w:lang w:val="uk-UA"/>
        </w:rPr>
        <w:t>преекспозиційна</w:t>
      </w:r>
      <w:proofErr w:type="spellEnd"/>
      <w:r>
        <w:rPr>
          <w:rFonts w:ascii="Times New Roman" w:eastAsia="Arial" w:hAnsi="Times New Roman"/>
          <w:i/>
          <w:iCs/>
          <w:sz w:val="24"/>
          <w:szCs w:val="24"/>
          <w:u w:val="single"/>
          <w:lang w:val="uk-UA"/>
        </w:rPr>
        <w:t xml:space="preserve"> імунізація):</w:t>
      </w:r>
    </w:p>
    <w:p w14:paraId="1018AD16" w14:textId="77777777" w:rsidR="003447E9" w:rsidRDefault="003447E9" w:rsidP="003447E9">
      <w:pPr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гостре інфекційне або неінфекційне захворювання чи загострення хронічної хвороби (щеплення рекомендується відстрочити до видужання хворого);</w:t>
      </w:r>
    </w:p>
    <w:p w14:paraId="1DB4EBE0" w14:textId="77777777" w:rsidR="003447E9" w:rsidRDefault="003447E9" w:rsidP="003447E9">
      <w:pPr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алергічні реакції на попереднє введення цього препарату, наприклад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генералізований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висип, набряк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Квінке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тощо;</w:t>
      </w:r>
    </w:p>
    <w:p w14:paraId="40C9C3C5" w14:textId="77777777" w:rsidR="003447E9" w:rsidRDefault="003447E9" w:rsidP="003447E9">
      <w:pPr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lastRenderedPageBreak/>
        <w:t xml:space="preserve">відома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гіперчутливість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до будь-якого компонента вакцини (діючої або допоміжних речовин, в тому числі на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неоміцин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>);</w:t>
      </w:r>
    </w:p>
    <w:p w14:paraId="17683CC7" w14:textId="77777777" w:rsidR="003447E9" w:rsidRDefault="003447E9" w:rsidP="003447E9">
      <w:pPr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вагітність.</w:t>
      </w:r>
    </w:p>
    <w:p w14:paraId="14F05A77" w14:textId="77777777" w:rsidR="003447E9" w:rsidRDefault="003447E9" w:rsidP="003447E9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Arial" w:hAnsi="Times New Roman" w:cs="Arial"/>
          <w:i/>
          <w:sz w:val="24"/>
          <w:szCs w:val="24"/>
          <w:u w:val="single"/>
          <w:shd w:val="clear" w:color="auto" w:fill="FFFFFF"/>
          <w:lang w:val="uk-UA"/>
        </w:rPr>
      </w:pPr>
      <w:r>
        <w:rPr>
          <w:rFonts w:ascii="Times New Roman" w:eastAsia="Arial" w:hAnsi="Times New Roman"/>
          <w:i/>
          <w:sz w:val="24"/>
          <w:szCs w:val="24"/>
          <w:u w:val="single"/>
          <w:shd w:val="clear" w:color="auto" w:fill="FFFFFF"/>
          <w:lang w:val="uk-UA"/>
        </w:rPr>
        <w:t>Лікувально-профілактична імунізація (</w:t>
      </w:r>
      <w:proofErr w:type="spellStart"/>
      <w:r>
        <w:rPr>
          <w:rFonts w:ascii="Times New Roman" w:eastAsia="Arial" w:hAnsi="Times New Roman"/>
          <w:i/>
          <w:sz w:val="24"/>
          <w:szCs w:val="24"/>
          <w:u w:val="single"/>
          <w:shd w:val="clear" w:color="auto" w:fill="FFFFFF"/>
          <w:lang w:val="uk-UA"/>
        </w:rPr>
        <w:t>постекспозиційна</w:t>
      </w:r>
      <w:proofErr w:type="spellEnd"/>
      <w:r>
        <w:rPr>
          <w:rFonts w:ascii="Times New Roman" w:eastAsia="Arial" w:hAnsi="Times New Roman"/>
          <w:i/>
          <w:sz w:val="24"/>
          <w:szCs w:val="24"/>
          <w:u w:val="single"/>
          <w:shd w:val="clear" w:color="auto" w:fill="FFFFFF"/>
          <w:lang w:val="uk-UA"/>
        </w:rPr>
        <w:t xml:space="preserve"> імунізація):</w:t>
      </w:r>
    </w:p>
    <w:p w14:paraId="63CB353C" w14:textId="77777777" w:rsidR="003447E9" w:rsidRDefault="003447E9" w:rsidP="003447E9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-    відсутні протипоказання до лікувально-профілактичної імунізації, оскільки сказ є летальним захворюванням.</w:t>
      </w:r>
    </w:p>
    <w:p w14:paraId="05C62CDF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i/>
          <w:sz w:val="26"/>
          <w:szCs w:val="26"/>
          <w:lang w:val="uk-UA"/>
        </w:rPr>
      </w:pPr>
    </w:p>
    <w:p w14:paraId="1EB413F9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/>
          <w:sz w:val="24"/>
          <w:szCs w:val="24"/>
          <w:lang w:val="uk-UA"/>
        </w:rPr>
        <w:t>Взаємодія з іншими лікарськими засобами та інші види взаємодій.</w:t>
      </w:r>
    </w:p>
    <w:p w14:paraId="7D6EEA54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/>
          <w:sz w:val="24"/>
          <w:szCs w:val="24"/>
          <w:lang w:val="uk-UA"/>
        </w:rPr>
        <w:t>Антирабічний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імуноглобулін призначається згідно з показаннями у складі комбінованого лікування із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антирабічною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вакциною у певних випадках ушкоджень (див. розділ «Спосіб застосування та дози»).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Антирабічний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імуноглобулін та вакцину ІНДІРАБ  не можна змішувати в одному шприці або вводити в одну й ту саму ділянку тіла (див. розділ «Несумісність»).</w:t>
      </w:r>
    </w:p>
    <w:p w14:paraId="2320A588" w14:textId="77777777" w:rsidR="003447E9" w:rsidRDefault="003447E9" w:rsidP="003447E9">
      <w:pPr>
        <w:tabs>
          <w:tab w:val="left" w:pos="724"/>
        </w:tabs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val="uk-UA"/>
        </w:rPr>
      </w:pPr>
      <w:r>
        <w:rPr>
          <w:rFonts w:ascii="Times New Roman" w:eastAsia="Arial Unicode MS" w:hAnsi="Times New Roman"/>
          <w:sz w:val="24"/>
          <w:szCs w:val="24"/>
          <w:lang w:val="uk-UA"/>
        </w:rPr>
        <w:t xml:space="preserve">Взаємодія </w:t>
      </w:r>
      <w:proofErr w:type="spellStart"/>
      <w:r>
        <w:rPr>
          <w:rFonts w:ascii="Times New Roman" w:eastAsia="Arial Unicode MS" w:hAnsi="Times New Roman"/>
          <w:sz w:val="24"/>
          <w:szCs w:val="24"/>
          <w:lang w:val="uk-UA"/>
        </w:rPr>
        <w:t>антирабічної</w:t>
      </w:r>
      <w:proofErr w:type="spellEnd"/>
      <w:r>
        <w:rPr>
          <w:rFonts w:ascii="Times New Roman" w:eastAsia="Arial Unicode MS" w:hAnsi="Times New Roman"/>
          <w:sz w:val="24"/>
          <w:szCs w:val="24"/>
          <w:lang w:val="uk-UA"/>
        </w:rPr>
        <w:t xml:space="preserve"> вакцини з іншими вакцинами/анатоксинами при їх одночасному застосуванні не вивчалась. Тому така комбінація можлива тільки після ретельної оцінки лікарем співвідношення очікуваної користі та можливого ризику від застосування. </w:t>
      </w:r>
    </w:p>
    <w:p w14:paraId="367B268D" w14:textId="77777777" w:rsidR="003447E9" w:rsidRDefault="003447E9" w:rsidP="003447E9">
      <w:pPr>
        <w:tabs>
          <w:tab w:val="left" w:pos="724"/>
        </w:tabs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val="uk-UA"/>
        </w:rPr>
      </w:pPr>
      <w:r>
        <w:rPr>
          <w:rFonts w:ascii="Times New Roman" w:eastAsia="Arial Unicode MS" w:hAnsi="Times New Roman"/>
          <w:sz w:val="24"/>
          <w:szCs w:val="24"/>
          <w:lang w:val="uk-UA"/>
        </w:rPr>
        <w:t xml:space="preserve">Радіаційна терапія, хлорохін, кортикостероїди та інші </w:t>
      </w:r>
      <w:proofErr w:type="spellStart"/>
      <w:r>
        <w:rPr>
          <w:rFonts w:ascii="Times New Roman" w:eastAsia="Arial Unicode MS" w:hAnsi="Times New Roman"/>
          <w:sz w:val="24"/>
          <w:szCs w:val="24"/>
          <w:lang w:val="uk-UA"/>
        </w:rPr>
        <w:t>імуносупресивні</w:t>
      </w:r>
      <w:proofErr w:type="spellEnd"/>
      <w:r>
        <w:rPr>
          <w:rFonts w:ascii="Times New Roman" w:eastAsia="Arial Unicode MS" w:hAnsi="Times New Roman"/>
          <w:sz w:val="24"/>
          <w:szCs w:val="24"/>
          <w:lang w:val="uk-UA"/>
        </w:rPr>
        <w:t xml:space="preserve"> засоби можуть пригнічувати процес утворення антитіл, а тому щеплення може не принести бажаного ефекту. Отже, у разі проведення вакцинації на фоні приймання кортикостероїдів і </w:t>
      </w:r>
      <w:proofErr w:type="spellStart"/>
      <w:r>
        <w:rPr>
          <w:rFonts w:ascii="Times New Roman" w:eastAsia="Arial Unicode MS" w:hAnsi="Times New Roman"/>
          <w:sz w:val="24"/>
          <w:szCs w:val="24"/>
          <w:lang w:val="uk-UA"/>
        </w:rPr>
        <w:t>імунодепресантів</w:t>
      </w:r>
      <w:proofErr w:type="spellEnd"/>
      <w:r>
        <w:rPr>
          <w:rFonts w:ascii="Times New Roman" w:eastAsia="Arial Unicode MS" w:hAnsi="Times New Roman"/>
          <w:sz w:val="24"/>
          <w:szCs w:val="24"/>
          <w:lang w:val="uk-UA"/>
        </w:rPr>
        <w:t xml:space="preserve"> визначення рівня </w:t>
      </w:r>
      <w:proofErr w:type="spellStart"/>
      <w:r>
        <w:rPr>
          <w:rFonts w:ascii="Times New Roman" w:eastAsia="Arial Unicode MS" w:hAnsi="Times New Roman"/>
          <w:sz w:val="24"/>
          <w:szCs w:val="24"/>
          <w:lang w:val="uk-UA"/>
        </w:rPr>
        <w:t>віруснейтралізуючих</w:t>
      </w:r>
      <w:proofErr w:type="spellEnd"/>
      <w:r>
        <w:rPr>
          <w:rFonts w:ascii="Times New Roman" w:eastAsia="Arial Unicode MS" w:hAnsi="Times New Roman"/>
          <w:sz w:val="24"/>
          <w:szCs w:val="24"/>
          <w:lang w:val="uk-UA"/>
        </w:rPr>
        <w:t xml:space="preserve"> антитіл є обов’язковим. При відсутності </w:t>
      </w:r>
      <w:proofErr w:type="spellStart"/>
      <w:r>
        <w:rPr>
          <w:rFonts w:ascii="Times New Roman" w:eastAsia="Arial Unicode MS" w:hAnsi="Times New Roman"/>
          <w:sz w:val="24"/>
          <w:szCs w:val="24"/>
          <w:lang w:val="uk-UA"/>
        </w:rPr>
        <w:t>віруснейтралізуючих</w:t>
      </w:r>
      <w:proofErr w:type="spellEnd"/>
      <w:r>
        <w:rPr>
          <w:rFonts w:ascii="Times New Roman" w:eastAsia="Arial Unicode MS" w:hAnsi="Times New Roman"/>
          <w:sz w:val="24"/>
          <w:szCs w:val="24"/>
          <w:lang w:val="uk-UA"/>
        </w:rPr>
        <w:t xml:space="preserve"> антитіл проводиться додатковий курс лікування.</w:t>
      </w:r>
    </w:p>
    <w:p w14:paraId="2D82C864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Щоб уникнути небажаної взаємодії між декількома лікарськими засобами, перед щепленням необхідно ознайомитися із анамнезом вакцинованого. За наявності суперечливих факторів ризику, пов’язаних із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преекспозиційною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імунізацією, слід зважати на наслідки можливого зараження і у разі необхідності проведення щеплення вжити всіх застережних заходів. </w:t>
      </w:r>
    </w:p>
    <w:p w14:paraId="0D4E5DA7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uk-UA" w:eastAsia="x-none"/>
        </w:rPr>
      </w:pPr>
    </w:p>
    <w:p w14:paraId="126B816C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/>
          <w:sz w:val="24"/>
          <w:szCs w:val="24"/>
          <w:lang w:val="uk-UA"/>
        </w:rPr>
        <w:t>Особливості застосування.</w:t>
      </w:r>
    </w:p>
    <w:p w14:paraId="4150D717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Препарат не придатний до застосування:</w:t>
      </w:r>
    </w:p>
    <w:p w14:paraId="55585270" w14:textId="77777777" w:rsidR="003447E9" w:rsidRDefault="003447E9" w:rsidP="003447E9">
      <w:pPr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при порушенні цілісності первинної упаковки та маркування;</w:t>
      </w:r>
    </w:p>
    <w:p w14:paraId="385F7EA9" w14:textId="77777777" w:rsidR="003447E9" w:rsidRDefault="003447E9" w:rsidP="003447E9">
      <w:pPr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при зміні кольору та прозорості;</w:t>
      </w:r>
    </w:p>
    <w:p w14:paraId="428AE96B" w14:textId="77777777" w:rsidR="003447E9" w:rsidRDefault="003447E9" w:rsidP="003447E9">
      <w:pPr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після закінченні терміну придатності;</w:t>
      </w:r>
    </w:p>
    <w:p w14:paraId="66298769" w14:textId="77777777" w:rsidR="003447E9" w:rsidRDefault="003447E9" w:rsidP="003447E9">
      <w:pPr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при неправильному зберіганні.</w:t>
      </w:r>
    </w:p>
    <w:p w14:paraId="623CA34E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pacing w:val="-8"/>
          <w:sz w:val="24"/>
          <w:szCs w:val="24"/>
          <w:lang w:val="uk-UA" w:eastAsia="x-none"/>
        </w:rPr>
      </w:pPr>
      <w:r>
        <w:rPr>
          <w:rFonts w:ascii="Times New Roman" w:hAnsi="Times New Roman"/>
          <w:spacing w:val="-8"/>
          <w:sz w:val="24"/>
          <w:szCs w:val="24"/>
          <w:lang w:val="uk-UA" w:eastAsia="x-none"/>
        </w:rPr>
        <w:t>Відкривання флакона і процедуру вакцинації здійснюють при суворому виконанні правил асептики.</w:t>
      </w:r>
    </w:p>
    <w:p w14:paraId="4B51D136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Внутрішньовенне введення неприпустиме. Ін’єкцію необхідно виконати так, щоб голка не потрапила в кровоносну судину. </w:t>
      </w:r>
    </w:p>
    <w:p w14:paraId="1CD3D159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Кабінети для проведення щеплень повинні бути оснащені засобами протишокової терапії.</w:t>
      </w:r>
    </w:p>
    <w:p w14:paraId="0512F6D0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 xml:space="preserve">Як і при застосуванні будь-якої ін’єкційної вакцини, слід мати напоготові всі необхідні медикаменти для надання негайної медичної допомоги у разі виникнення анафілактичної реакції після щеплення, особливо після проведення лікувально-профілактичної імунізації особам з відомою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гіперчутливістю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до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поліміксину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В, стрептоміцину,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неоміцину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або будь-якого іншого антибіотика того ж класу. Пацієнти повинні перебувати під медичним наглядом протягом 30 хвилин після введення вакцини.</w:t>
      </w:r>
    </w:p>
    <w:p w14:paraId="439334DF" w14:textId="77777777" w:rsidR="003447E9" w:rsidRDefault="003447E9" w:rsidP="003447E9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/>
          <w:sz w:val="24"/>
          <w:szCs w:val="24"/>
          <w:lang w:val="uk-UA"/>
        </w:rPr>
        <w:t>Синкопе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(непритомність) може виникнути під час або раніше будь-якої ін’єкційної вакцинації, як психогенна реакція на ін’єкцію голкою. Вакцинацію необхідно проводити тільки в положенні вакцинованого сидячи або лежачи та залишати його в тому ж положенні (сидячи або лежачи) протягом 15 хвилин після вакцинації для попередження ризику його травмування.</w:t>
      </w:r>
    </w:p>
    <w:p w14:paraId="01602868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>Як і при застосуванні будь-якої ін’єкційної вакцини</w:t>
      </w:r>
      <w:r>
        <w:rPr>
          <w:rFonts w:ascii="Times New Roman" w:hAnsi="Times New Roman"/>
          <w:sz w:val="24"/>
          <w:szCs w:val="24"/>
          <w:lang w:val="uk-UA"/>
        </w:rPr>
        <w:t xml:space="preserve">, слід з обережністю застосовувати пацієнтам з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тромбоцитопенією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або порушеннями згортання крові, оскільки у таких пацієнтів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внутрішньом’язова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ін’єкція може спричинити кровотечу.</w:t>
      </w:r>
    </w:p>
    <w:p w14:paraId="60FAC5A4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Потенційний ризик розвитку апное та необхідність моніторингу дихання протягом 48–72 годин слід враховувати при проведенні первинного курсу імунізації у глибоко недоношених дітей (що народилися на 28 тижні вагітності або раніше) та особливо у тих, хто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має в анамнезі ознаки незрілості дихальної системи. Оскільки користь імунізації для цієї групи дітей є високою, вакцинацію не слід відкладати або відміняти.</w:t>
      </w:r>
    </w:p>
    <w:p w14:paraId="0F7D16B3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Антирабічний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імуноглобулін і вакцину ІНДІРАБ не слід змішувати в одному шприці та не можна вводити в одну й ту саму ділянку тіла. </w:t>
      </w:r>
      <w:r>
        <w:rPr>
          <w:rFonts w:ascii="Times New Roman" w:hAnsi="Times New Roman"/>
          <w:sz w:val="24"/>
          <w:szCs w:val="24"/>
          <w:lang w:val="uk-UA"/>
        </w:rPr>
        <w:t xml:space="preserve">Вакцину слід вводити в ділянку тіла, протилежну від місця введення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антирабічного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імуноглобуліну.</w:t>
      </w:r>
    </w:p>
    <w:p w14:paraId="4CDC821B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Протягом 7-ми днів з моменту отримання ушкоджень не рекомендується накладати шви на рану, але в будь-якому випадку до накладання швів завжди вводиться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антирабічний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імуноглобулін. Можна призначити антибіотики і перевірити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вакцинальний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статус постраждалого щодо щеплень проти правця і у разі необхідності зробити таке щеплення.</w:t>
      </w:r>
    </w:p>
    <w:p w14:paraId="42781EAC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У разі тяжких ушкоджень (категорія III), настільки це можливо, всю дозу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антирабічного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імуноглобуліну потрібно ввести в ділянку рани чи навколо неї. Перед введенням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гетерологічного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(кінського) імуноглобуліну слід перевірити чутливість вакцинованого до такого препарату.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Антирабічний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імуноглобулін не рекомендується вводити у більшій, ніж рекомендовано, дозі, оскільки існує ризик пригнічення процесу утворення антитіл.</w:t>
      </w:r>
    </w:p>
    <w:p w14:paraId="153D96A9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При зверненні за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антирабічною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допомогою в лікувально-профілактичний заклад на кожного пацієнта в обов’язковому порядку заповнюється «Карта звернення за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антирабічною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допомогою» (форма № 045/о), </w:t>
      </w:r>
      <w:r>
        <w:rPr>
          <w:rFonts w:ascii="Times New Roman" w:hAnsi="Times New Roman"/>
          <w:sz w:val="24"/>
          <w:szCs w:val="24"/>
          <w:lang w:val="uk-UA"/>
        </w:rPr>
        <w:t xml:space="preserve">що затверджена чинним Наказом Міністерства охорони здоров’я України від 28.07.2014 № 527. 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На підставі даних Карти оформлюється довідка, яка видається </w:t>
      </w:r>
      <w:r>
        <w:rPr>
          <w:rFonts w:ascii="Times New Roman" w:hAnsi="Times New Roman"/>
          <w:sz w:val="24"/>
          <w:szCs w:val="24"/>
          <w:lang w:val="uk-UA"/>
        </w:rPr>
        <w:t xml:space="preserve">після курсу імунотерапії, із зазначенням типу і серії препаратів, курсу щеплень,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післявакцинальних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реакцій. </w:t>
      </w:r>
    </w:p>
    <w:p w14:paraId="76C993A1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>Цей лікарський засіб містить:</w:t>
      </w:r>
    </w:p>
    <w:p w14:paraId="2E317735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 xml:space="preserve">-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тіомерсал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як консервант, </w:t>
      </w:r>
      <w:r>
        <w:rPr>
          <w:rFonts w:ascii="Times New Roman" w:hAnsi="Times New Roman"/>
          <w:sz w:val="24"/>
          <w:szCs w:val="24"/>
          <w:lang w:val="uk-UA" w:eastAsia="x-none"/>
        </w:rPr>
        <w:t xml:space="preserve">сліди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неоміцину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сульфату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 та може спричинити у Вас/Вашої дитини алергічну реакцію.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Повідомте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лікаря, якщо у Вас/Вашої дитини були/виникли алергічні реакції;</w:t>
      </w:r>
    </w:p>
    <w:p w14:paraId="3AB6FF80" w14:textId="77777777" w:rsidR="003447E9" w:rsidRDefault="003447E9" w:rsidP="003447E9">
      <w:pPr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-</w:t>
      </w:r>
      <w:r>
        <w:rPr>
          <w:rFonts w:ascii="Times New Roman" w:eastAsia="Times New Roman" w:hAnsi="Times New Roman"/>
          <w:sz w:val="24"/>
          <w:szCs w:val="24"/>
          <w:lang w:val="uk-UA"/>
        </w:rPr>
        <w:t xml:space="preserve"> менше 1 ммоль (23 мг)/ дозу натрію, тобто практично вільний від натрію.</w:t>
      </w:r>
    </w:p>
    <w:p w14:paraId="1974A3C6" w14:textId="77777777" w:rsidR="003447E9" w:rsidRDefault="003447E9" w:rsidP="003447E9">
      <w:pPr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/>
        </w:rPr>
      </w:pPr>
    </w:p>
    <w:p w14:paraId="2ABBA757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/>
          <w:sz w:val="24"/>
          <w:szCs w:val="24"/>
          <w:lang w:val="uk-UA"/>
        </w:rPr>
        <w:t>Застосування у період вагітності або годування груддю.</w:t>
      </w:r>
    </w:p>
    <w:p w14:paraId="7C0F8839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Дослідження впливу вакцини на репродуктивну функцію у тварин не проводилися. Дані щодо застосування вакцини вагітним чи жінкам, які годують груддю, відсутні. Профілактична імунізація </w:t>
      </w:r>
      <w:r>
        <w:rPr>
          <w:rFonts w:ascii="Times New Roman" w:eastAsia="Arial" w:hAnsi="Times New Roman"/>
          <w:iCs/>
          <w:sz w:val="24"/>
          <w:szCs w:val="24"/>
          <w:lang w:val="uk-UA"/>
        </w:rPr>
        <w:t>(</w:t>
      </w:r>
      <w:proofErr w:type="spellStart"/>
      <w:r>
        <w:rPr>
          <w:rFonts w:ascii="Times New Roman" w:eastAsia="Arial" w:hAnsi="Times New Roman"/>
          <w:iCs/>
          <w:sz w:val="24"/>
          <w:szCs w:val="24"/>
          <w:lang w:val="uk-UA"/>
        </w:rPr>
        <w:t>преекспозиційна</w:t>
      </w:r>
      <w:proofErr w:type="spellEnd"/>
      <w:r>
        <w:rPr>
          <w:rFonts w:ascii="Times New Roman" w:eastAsia="Arial" w:hAnsi="Times New Roman"/>
          <w:iCs/>
          <w:sz w:val="24"/>
          <w:szCs w:val="24"/>
          <w:lang w:val="uk-UA"/>
        </w:rPr>
        <w:t xml:space="preserve"> імунізація)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вагітних протипоказана, її рекомендується відстрочити.</w:t>
      </w:r>
    </w:p>
    <w:p w14:paraId="7AE9E7D1" w14:textId="77777777" w:rsidR="003447E9" w:rsidRDefault="003447E9" w:rsidP="003447E9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Arial" w:hAnsi="Times New Roman" w:cs="Arial"/>
          <w:i/>
          <w:sz w:val="24"/>
          <w:szCs w:val="24"/>
          <w:u w:val="single"/>
          <w:shd w:val="clear" w:color="auto" w:fill="FFFFFF"/>
          <w:lang w:val="uk-UA" w:eastAsia="x-none"/>
        </w:rPr>
      </w:pPr>
      <w:r>
        <w:rPr>
          <w:rFonts w:ascii="Times New Roman" w:eastAsia="Arial" w:hAnsi="Times New Roman" w:cs="Arial"/>
          <w:sz w:val="24"/>
          <w:szCs w:val="24"/>
          <w:lang w:val="uk-UA"/>
        </w:rPr>
        <w:t>Оскільки сказ є летальним захворюванням,</w:t>
      </w:r>
      <w:r>
        <w:rPr>
          <w:rFonts w:ascii="Times New Roman" w:eastAsia="Arial" w:hAnsi="Times New Roman" w:cs="Arial"/>
          <w:sz w:val="24"/>
          <w:szCs w:val="24"/>
          <w:lang w:val="uk-UA" w:eastAsia="ru-RU"/>
        </w:rPr>
        <w:t xml:space="preserve"> вагітність не є протипоказанням для лікувально- профілактичної імунізації </w:t>
      </w:r>
      <w:r>
        <w:rPr>
          <w:rFonts w:ascii="Times New Roman" w:eastAsia="Arial" w:hAnsi="Times New Roman"/>
          <w:sz w:val="24"/>
          <w:szCs w:val="24"/>
          <w:shd w:val="clear" w:color="auto" w:fill="FFFFFF"/>
          <w:lang w:val="uk-UA"/>
        </w:rPr>
        <w:t>(</w:t>
      </w:r>
      <w:proofErr w:type="spellStart"/>
      <w:r>
        <w:rPr>
          <w:rFonts w:ascii="Times New Roman" w:eastAsia="Arial" w:hAnsi="Times New Roman"/>
          <w:sz w:val="24"/>
          <w:szCs w:val="24"/>
          <w:shd w:val="clear" w:color="auto" w:fill="FFFFFF"/>
          <w:lang w:val="uk-UA"/>
        </w:rPr>
        <w:t>постекспозиційної</w:t>
      </w:r>
      <w:proofErr w:type="spellEnd"/>
      <w:r>
        <w:rPr>
          <w:rFonts w:ascii="Times New Roman" w:eastAsia="Arial" w:hAnsi="Times New Roman"/>
          <w:sz w:val="24"/>
          <w:szCs w:val="24"/>
          <w:shd w:val="clear" w:color="auto" w:fill="FFFFFF"/>
          <w:lang w:val="uk-UA"/>
        </w:rPr>
        <w:t xml:space="preserve"> імунізації).</w:t>
      </w:r>
    </w:p>
    <w:p w14:paraId="7A6F3987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За наявності високої вірогідності ураження сказом завжди слід враховувати співвідношення ризику і користі від вакцинації. Вагітним і жінкам, які годують груддю, перед щепленням рекомендується проконсультуватися із лікарем.</w:t>
      </w:r>
    </w:p>
    <w:p w14:paraId="17FEF2F2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  <w:lang w:val="uk-UA" w:eastAsia="ru-RU"/>
        </w:rPr>
      </w:pPr>
    </w:p>
    <w:p w14:paraId="2ABAEDFB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uk-UA" w:eastAsia="ru-RU"/>
        </w:rPr>
      </w:pPr>
      <w:r>
        <w:rPr>
          <w:rFonts w:ascii="Times New Roman" w:hAnsi="Times New Roman"/>
          <w:b/>
          <w:i/>
          <w:iCs/>
          <w:sz w:val="24"/>
          <w:szCs w:val="24"/>
          <w:lang w:val="uk-UA" w:eastAsia="ru-RU"/>
        </w:rPr>
        <w:t>Здатність впливати на швидкість реакції при керуванні автотранспортом або іншими механізмами.</w:t>
      </w:r>
    </w:p>
    <w:p w14:paraId="60487546" w14:textId="77777777" w:rsidR="003447E9" w:rsidRDefault="003447E9" w:rsidP="003447E9">
      <w:pPr>
        <w:keepNext/>
        <w:keepLines/>
        <w:spacing w:after="0" w:line="240" w:lineRule="auto"/>
        <w:jc w:val="both"/>
        <w:outlineLvl w:val="0"/>
        <w:rPr>
          <w:rFonts w:ascii="Times New Roman" w:hAnsi="Times New Roman"/>
          <w:spacing w:val="-4"/>
          <w:sz w:val="24"/>
          <w:szCs w:val="24"/>
          <w:lang w:val="uk-UA" w:eastAsia="x-none"/>
        </w:rPr>
      </w:pPr>
      <w:bookmarkStart w:id="0" w:name="bookmark0"/>
      <w:r>
        <w:rPr>
          <w:rFonts w:ascii="Times New Roman" w:hAnsi="Times New Roman"/>
          <w:spacing w:val="-4"/>
          <w:sz w:val="24"/>
          <w:szCs w:val="24"/>
          <w:lang w:val="uk-UA"/>
        </w:rPr>
        <w:t>Дослідження впливу препарату на здатність керувати транспортними засобами та працювати з іншими механізмами не проводилися. Необхідно пам’ятати про можливий розвиток запаморочення.</w:t>
      </w:r>
    </w:p>
    <w:p w14:paraId="56C7D605" w14:textId="77777777" w:rsidR="003447E9" w:rsidRDefault="003447E9" w:rsidP="003447E9">
      <w:pPr>
        <w:keepNext/>
        <w:keepLines/>
        <w:spacing w:after="0" w:line="240" w:lineRule="auto"/>
        <w:jc w:val="both"/>
        <w:outlineLvl w:val="0"/>
        <w:rPr>
          <w:rFonts w:ascii="Times New Roman" w:hAnsi="Times New Roman"/>
          <w:b/>
          <w:bCs/>
          <w:i/>
          <w:sz w:val="24"/>
          <w:szCs w:val="24"/>
          <w:lang w:val="uk-UA"/>
        </w:rPr>
      </w:pPr>
    </w:p>
    <w:p w14:paraId="4B6A649E" w14:textId="77777777" w:rsidR="003447E9" w:rsidRDefault="003447E9" w:rsidP="003447E9">
      <w:pPr>
        <w:keepNext/>
        <w:keepLines/>
        <w:spacing w:after="0" w:line="240" w:lineRule="auto"/>
        <w:jc w:val="both"/>
        <w:outlineLvl w:val="0"/>
        <w:rPr>
          <w:rFonts w:ascii="Times New Roman" w:hAnsi="Times New Roman"/>
          <w:b/>
          <w:bCs/>
          <w:i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/>
          <w:sz w:val="24"/>
          <w:szCs w:val="24"/>
          <w:lang w:val="uk-UA"/>
        </w:rPr>
        <w:t>Спосіб застосування та дози</w:t>
      </w:r>
      <w:bookmarkEnd w:id="0"/>
      <w:r>
        <w:rPr>
          <w:rFonts w:ascii="Times New Roman" w:hAnsi="Times New Roman"/>
          <w:b/>
          <w:bCs/>
          <w:i/>
          <w:sz w:val="24"/>
          <w:szCs w:val="24"/>
          <w:lang w:val="uk-UA"/>
        </w:rPr>
        <w:t>.</w:t>
      </w:r>
    </w:p>
    <w:p w14:paraId="4BA2E354" w14:textId="77777777" w:rsidR="003447E9" w:rsidRDefault="003447E9" w:rsidP="003447E9">
      <w:pPr>
        <w:keepNext/>
        <w:keepLines/>
        <w:spacing w:after="0" w:line="240" w:lineRule="auto"/>
        <w:jc w:val="both"/>
        <w:outlineLvl w:val="0"/>
        <w:rPr>
          <w:rFonts w:ascii="Times New Roman" w:hAnsi="Times New Roman"/>
          <w:bCs/>
          <w:i/>
          <w:sz w:val="24"/>
          <w:szCs w:val="24"/>
          <w:u w:val="single"/>
          <w:lang w:val="uk-UA"/>
        </w:rPr>
      </w:pPr>
      <w:r>
        <w:rPr>
          <w:rFonts w:ascii="Times New Roman" w:hAnsi="Times New Roman"/>
          <w:bCs/>
          <w:i/>
          <w:sz w:val="24"/>
          <w:szCs w:val="24"/>
          <w:u w:val="single"/>
          <w:lang w:val="uk-UA"/>
        </w:rPr>
        <w:t>Спосіб застосування.</w:t>
      </w:r>
    </w:p>
    <w:p w14:paraId="42F7F6DD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Доза для дітей  та дорослих становить 0,5 мл для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внутрішньом’язового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введення. </w:t>
      </w:r>
    </w:p>
    <w:p w14:paraId="3DC664F6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Вакцина дозою 0,5 мл дорослим вводиться в дельтовидний м’яз плеча, дітям раннього віку – у верхню частину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передньобокової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поверхні стегна. </w:t>
      </w:r>
    </w:p>
    <w:p w14:paraId="7F1C01B0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uk-UA" w:eastAsia="x-none"/>
        </w:rPr>
      </w:pPr>
      <w:r>
        <w:rPr>
          <w:rFonts w:ascii="Times New Roman" w:hAnsi="Times New Roman"/>
          <w:b/>
          <w:bCs/>
          <w:sz w:val="24"/>
          <w:szCs w:val="24"/>
          <w:lang w:val="uk-UA" w:eastAsia="x-none"/>
        </w:rPr>
        <w:t xml:space="preserve">Не слід вводити вакцину в сідничний м’яз. Не вводити вакцину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uk-UA" w:eastAsia="x-none"/>
        </w:rPr>
        <w:t>внутрішньосудинно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uk-UA" w:eastAsia="x-none"/>
        </w:rPr>
        <w:t>.</w:t>
      </w:r>
    </w:p>
    <w:p w14:paraId="7079B259" w14:textId="77777777" w:rsidR="003447E9" w:rsidRDefault="003447E9" w:rsidP="003447E9">
      <w:pPr>
        <w:tabs>
          <w:tab w:val="left" w:pos="474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Вакцинований повинен знаходитись під медичним наглядом не менше 30 хвилин. Кабінети для проведення щеплень повинні бути оснащені засобами протишокової терапії. </w:t>
      </w:r>
    </w:p>
    <w:p w14:paraId="07BBF274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 w:eastAsia="ru-RU"/>
        </w:rPr>
      </w:pPr>
      <w:r>
        <w:rPr>
          <w:rFonts w:ascii="Times New Roman" w:hAnsi="Times New Roman"/>
          <w:i/>
          <w:sz w:val="24"/>
          <w:szCs w:val="24"/>
          <w:u w:val="single"/>
          <w:lang w:val="uk-UA" w:eastAsia="ru-RU"/>
        </w:rPr>
        <w:t>Дозування.</w:t>
      </w:r>
    </w:p>
    <w:p w14:paraId="5050F1D4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i/>
          <w:iCs/>
          <w:sz w:val="24"/>
          <w:szCs w:val="24"/>
          <w:lang w:val="uk-UA" w:eastAsia="x-none"/>
        </w:rPr>
      </w:pPr>
      <w:r>
        <w:rPr>
          <w:rFonts w:ascii="Times New Roman" w:hAnsi="Times New Roman"/>
          <w:b/>
          <w:i/>
          <w:iCs/>
          <w:sz w:val="24"/>
          <w:szCs w:val="24"/>
          <w:u w:val="single"/>
          <w:lang w:val="uk-UA" w:eastAsia="x-none"/>
        </w:rPr>
        <w:t xml:space="preserve">Профілактична імунізація </w:t>
      </w:r>
      <w:r>
        <w:rPr>
          <w:rFonts w:ascii="Times New Roman" w:eastAsia="Arial" w:hAnsi="Times New Roman"/>
          <w:b/>
          <w:i/>
          <w:iCs/>
          <w:sz w:val="24"/>
          <w:szCs w:val="24"/>
          <w:u w:val="single"/>
          <w:lang w:val="uk-UA" w:eastAsia="x-none"/>
        </w:rPr>
        <w:t>(</w:t>
      </w:r>
      <w:proofErr w:type="spellStart"/>
      <w:r>
        <w:rPr>
          <w:rFonts w:ascii="Times New Roman" w:eastAsia="Arial" w:hAnsi="Times New Roman"/>
          <w:b/>
          <w:i/>
          <w:iCs/>
          <w:sz w:val="24"/>
          <w:szCs w:val="24"/>
          <w:u w:val="single"/>
          <w:lang w:val="uk-UA" w:eastAsia="x-none"/>
        </w:rPr>
        <w:t>преекспозиційна</w:t>
      </w:r>
      <w:proofErr w:type="spellEnd"/>
      <w:r>
        <w:rPr>
          <w:rFonts w:ascii="Times New Roman" w:eastAsia="Arial" w:hAnsi="Times New Roman"/>
          <w:b/>
          <w:i/>
          <w:iCs/>
          <w:sz w:val="24"/>
          <w:szCs w:val="24"/>
          <w:u w:val="single"/>
          <w:lang w:val="uk-UA" w:eastAsia="x-none"/>
        </w:rPr>
        <w:t xml:space="preserve"> імунізація)</w:t>
      </w:r>
    </w:p>
    <w:p w14:paraId="4C5A39DE" w14:textId="77777777" w:rsidR="003447E9" w:rsidRDefault="003447E9" w:rsidP="003447E9">
      <w:pPr>
        <w:widowControl w:val="0"/>
        <w:shd w:val="clear" w:color="auto" w:fill="FFFFFF"/>
        <w:spacing w:after="0" w:line="0" w:lineRule="atLeast"/>
        <w:jc w:val="both"/>
        <w:rPr>
          <w:rFonts w:ascii="Times New Roman" w:eastAsia="Times New Roman" w:hAnsi="Times New Roman" w:cs="Arial"/>
          <w:bCs/>
          <w:sz w:val="24"/>
          <w:szCs w:val="24"/>
          <w:lang w:val="uk-UA" w:eastAsia="ru-RU"/>
        </w:rPr>
      </w:pPr>
      <w:r>
        <w:rPr>
          <w:rFonts w:ascii="Times New Roman" w:eastAsia="Arial" w:hAnsi="Times New Roman" w:cs="Arial"/>
          <w:spacing w:val="-4"/>
          <w:sz w:val="24"/>
          <w:szCs w:val="24"/>
          <w:lang w:val="uk-UA"/>
        </w:rPr>
        <w:t xml:space="preserve">Рекомендовано для профілактики сказу у осіб, що за характером професійної діяльності належать </w:t>
      </w:r>
      <w:r>
        <w:rPr>
          <w:rFonts w:ascii="Times New Roman" w:eastAsia="Arial" w:hAnsi="Times New Roman" w:cs="Arial"/>
          <w:spacing w:val="-4"/>
          <w:sz w:val="24"/>
          <w:szCs w:val="24"/>
          <w:lang w:val="uk-UA"/>
        </w:rPr>
        <w:lastRenderedPageBreak/>
        <w:t>до групи ризику</w:t>
      </w:r>
      <w:r>
        <w:rPr>
          <w:rFonts w:ascii="Times New Roman" w:eastAsia="Times New Roman" w:hAnsi="Times New Roman" w:cs="Arial"/>
          <w:bCs/>
          <w:sz w:val="24"/>
          <w:szCs w:val="24"/>
          <w:lang w:val="uk-UA" w:eastAsia="ru-RU"/>
        </w:rPr>
        <w:t xml:space="preserve"> зараження вірусом сказу. </w:t>
      </w:r>
      <w:r>
        <w:rPr>
          <w:rFonts w:ascii="Times New Roman" w:eastAsia="Arial" w:hAnsi="Times New Roman" w:cs="Arial"/>
          <w:spacing w:val="-4"/>
          <w:sz w:val="24"/>
          <w:szCs w:val="24"/>
          <w:lang w:val="uk-UA"/>
        </w:rPr>
        <w:t xml:space="preserve">Всім особам, що знаходяться під постійним ризиком зараження, наприклад, діагностичний, дослідницький та виробничий персонал лабораторій, що працюють  з  вірусом  сказу,  рекомендовано  провести  </w:t>
      </w:r>
      <w:proofErr w:type="spellStart"/>
      <w:r>
        <w:rPr>
          <w:rFonts w:ascii="Times New Roman" w:eastAsia="Arial" w:hAnsi="Times New Roman" w:cs="Arial"/>
          <w:spacing w:val="-4"/>
          <w:sz w:val="24"/>
          <w:szCs w:val="24"/>
          <w:lang w:val="uk-UA"/>
        </w:rPr>
        <w:t>преекспозиційну</w:t>
      </w:r>
      <w:proofErr w:type="spellEnd"/>
      <w:r>
        <w:rPr>
          <w:rFonts w:ascii="Times New Roman" w:eastAsia="Arial" w:hAnsi="Times New Roman" w:cs="Arial"/>
          <w:spacing w:val="-4"/>
          <w:sz w:val="24"/>
          <w:szCs w:val="24"/>
          <w:lang w:val="uk-UA"/>
        </w:rPr>
        <w:t xml:space="preserve">  профілактику  (див. таблицю 1).</w:t>
      </w:r>
    </w:p>
    <w:p w14:paraId="3C6ACA0C" w14:textId="77777777" w:rsidR="003447E9" w:rsidRDefault="003447E9" w:rsidP="003447E9">
      <w:pPr>
        <w:spacing w:after="0" w:line="240" w:lineRule="auto"/>
        <w:ind w:left="7788" w:firstLine="708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Таблиця 1</w:t>
      </w:r>
    </w:p>
    <w:p w14:paraId="67D60460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Схема щеплення (спосіб введення –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внутрішньом’язова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ін’єкція)</w:t>
      </w:r>
    </w:p>
    <w:tbl>
      <w:tblPr>
        <w:tblStyle w:val="a3"/>
        <w:tblW w:w="9600" w:type="dxa"/>
        <w:jc w:val="center"/>
        <w:tblInd w:w="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8"/>
        <w:gridCol w:w="4802"/>
      </w:tblGrid>
      <w:tr w:rsidR="003447E9" w14:paraId="11984242" w14:textId="77777777" w:rsidTr="00EE2E34">
        <w:trPr>
          <w:trHeight w:val="20"/>
          <w:jc w:val="center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1872C4CC" w14:textId="77777777" w:rsidR="003447E9" w:rsidRDefault="003447E9" w:rsidP="00EE2E34">
            <w:pPr>
              <w:widowControl w:val="0"/>
              <w:spacing w:line="240" w:lineRule="auto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1-ша доза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05F48B7F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День 0</w:t>
            </w:r>
          </w:p>
        </w:tc>
      </w:tr>
      <w:tr w:rsidR="003447E9" w14:paraId="17BFFD5A" w14:textId="77777777" w:rsidTr="00EE2E34">
        <w:trPr>
          <w:trHeight w:val="20"/>
          <w:jc w:val="center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19329D85" w14:textId="77777777" w:rsidR="003447E9" w:rsidRDefault="003447E9" w:rsidP="00EE2E34">
            <w:pPr>
              <w:widowControl w:val="0"/>
              <w:spacing w:line="240" w:lineRule="auto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2-га доза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45D1ABFE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День 7</w:t>
            </w:r>
          </w:p>
        </w:tc>
      </w:tr>
      <w:tr w:rsidR="003447E9" w14:paraId="2D25E155" w14:textId="77777777" w:rsidTr="00EE2E34">
        <w:trPr>
          <w:trHeight w:val="20"/>
          <w:jc w:val="center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3B672383" w14:textId="77777777" w:rsidR="003447E9" w:rsidRDefault="003447E9" w:rsidP="00EE2E34">
            <w:pPr>
              <w:widowControl w:val="0"/>
              <w:spacing w:line="240" w:lineRule="auto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3-тя доза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7ECA2CCE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День 28</w:t>
            </w:r>
          </w:p>
        </w:tc>
      </w:tr>
      <w:tr w:rsidR="003447E9" w14:paraId="4F990DB8" w14:textId="77777777" w:rsidTr="00EE2E34">
        <w:trPr>
          <w:trHeight w:val="20"/>
          <w:jc w:val="center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21425585" w14:textId="77777777" w:rsidR="003447E9" w:rsidRDefault="003447E9" w:rsidP="00EE2E34">
            <w:pPr>
              <w:widowControl w:val="0"/>
              <w:spacing w:line="240" w:lineRule="auto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1-ша ревакцинація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08D7886A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Через 1 рік</w:t>
            </w:r>
          </w:p>
        </w:tc>
      </w:tr>
      <w:tr w:rsidR="003447E9" w14:paraId="45E4DC1A" w14:textId="77777777" w:rsidTr="00EE2E34">
        <w:trPr>
          <w:trHeight w:val="20"/>
          <w:jc w:val="center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DB02310" w14:textId="77777777" w:rsidR="003447E9" w:rsidRDefault="003447E9" w:rsidP="00EE2E34">
            <w:pPr>
              <w:widowControl w:val="0"/>
              <w:spacing w:line="240" w:lineRule="auto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Подальша ревакцинація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93DE0C6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Кожні 5 років</w:t>
            </w:r>
          </w:p>
        </w:tc>
      </w:tr>
    </w:tbl>
    <w:p w14:paraId="77DCB8EB" w14:textId="77777777" w:rsidR="003447E9" w:rsidRDefault="003447E9" w:rsidP="003447E9">
      <w:pPr>
        <w:widowControl w:val="0"/>
        <w:shd w:val="clear" w:color="auto" w:fill="FFFFFF"/>
        <w:spacing w:after="0" w:line="0" w:lineRule="atLeast"/>
        <w:jc w:val="both"/>
        <w:rPr>
          <w:rFonts w:ascii="Times New Roman" w:eastAsia="Arial" w:hAnsi="Times New Roman" w:cs="Arial"/>
          <w:bCs/>
          <w:sz w:val="24"/>
          <w:szCs w:val="24"/>
          <w:lang w:val="uk-UA" w:eastAsia="x-none"/>
        </w:rPr>
      </w:pPr>
    </w:p>
    <w:p w14:paraId="69AF09A7" w14:textId="77777777" w:rsidR="003447E9" w:rsidRDefault="003447E9" w:rsidP="003447E9">
      <w:pPr>
        <w:widowControl w:val="0"/>
        <w:shd w:val="clear" w:color="auto" w:fill="FFFFFF"/>
        <w:spacing w:after="0" w:line="0" w:lineRule="atLeast"/>
        <w:jc w:val="both"/>
        <w:rPr>
          <w:rFonts w:ascii="Times New Roman" w:eastAsia="Arial" w:hAnsi="Times New Roman" w:cs="Arial"/>
          <w:b/>
          <w:i/>
          <w:sz w:val="24"/>
          <w:szCs w:val="24"/>
          <w:u w:val="single"/>
          <w:shd w:val="clear" w:color="auto" w:fill="FFFFFF"/>
          <w:lang w:val="uk-UA"/>
        </w:rPr>
      </w:pPr>
      <w:r>
        <w:rPr>
          <w:rFonts w:ascii="Times New Roman" w:eastAsia="Arial Unicode MS" w:hAnsi="Times New Roman" w:cs="Arial"/>
          <w:b/>
          <w:i/>
          <w:sz w:val="24"/>
          <w:szCs w:val="24"/>
          <w:u w:val="single"/>
          <w:lang w:val="uk-UA"/>
        </w:rPr>
        <w:t>Л</w:t>
      </w:r>
      <w:r>
        <w:rPr>
          <w:rFonts w:ascii="Times New Roman" w:eastAsia="Arial" w:hAnsi="Times New Roman"/>
          <w:b/>
          <w:i/>
          <w:sz w:val="24"/>
          <w:szCs w:val="24"/>
          <w:u w:val="single"/>
          <w:shd w:val="clear" w:color="auto" w:fill="FFFFFF"/>
          <w:lang w:val="uk-UA"/>
        </w:rPr>
        <w:t>ікувально-профілактична імунізація (</w:t>
      </w:r>
      <w:proofErr w:type="spellStart"/>
      <w:r>
        <w:rPr>
          <w:rFonts w:ascii="Times New Roman" w:eastAsia="Arial" w:hAnsi="Times New Roman"/>
          <w:b/>
          <w:i/>
          <w:sz w:val="24"/>
          <w:szCs w:val="24"/>
          <w:u w:val="single"/>
          <w:shd w:val="clear" w:color="auto" w:fill="FFFFFF"/>
          <w:lang w:val="uk-UA"/>
        </w:rPr>
        <w:t>постекспозиційна</w:t>
      </w:r>
      <w:proofErr w:type="spellEnd"/>
      <w:r>
        <w:rPr>
          <w:rFonts w:ascii="Times New Roman" w:eastAsia="Arial" w:hAnsi="Times New Roman"/>
          <w:b/>
          <w:i/>
          <w:sz w:val="24"/>
          <w:szCs w:val="24"/>
          <w:u w:val="single"/>
          <w:shd w:val="clear" w:color="auto" w:fill="FFFFFF"/>
          <w:lang w:val="uk-UA"/>
        </w:rPr>
        <w:t xml:space="preserve"> імунізація)</w:t>
      </w:r>
    </w:p>
    <w:p w14:paraId="7B12364A" w14:textId="77777777" w:rsidR="003447E9" w:rsidRDefault="003447E9" w:rsidP="003447E9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Після підтвердженого контакту з твариною з підтвердженим або підозрюваним захворюванням на сказ щеплення рекомендується провести негайно. 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Лікувально-профілактична імунізація повинна проводитися під наглядом лікаря, тільки в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антирабічному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 центрі та якомога швидше після контакту.</w:t>
      </w:r>
    </w:p>
    <w:p w14:paraId="04B9A0EF" w14:textId="77777777" w:rsidR="003447E9" w:rsidRDefault="003447E9" w:rsidP="003447E9">
      <w:pPr>
        <w:spacing w:after="0" w:line="240" w:lineRule="auto"/>
        <w:jc w:val="both"/>
        <w:rPr>
          <w:bCs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 xml:space="preserve">Лікувально-профілактичні заходи включають в себе місцеву неспецифічну обробку ран, імунізацію, а у разі потреби – пасивну імунізацію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антирабічним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імуноглобуліном. Заходи залежать від типу рани/ категорії ушкодження та статусу тварини, що завдала рану.</w:t>
      </w:r>
    </w:p>
    <w:p w14:paraId="605FA19A" w14:textId="77777777" w:rsidR="003447E9" w:rsidRDefault="003447E9" w:rsidP="003447E9">
      <w:pPr>
        <w:spacing w:after="0" w:line="240" w:lineRule="auto"/>
        <w:rPr>
          <w:rFonts w:ascii="Times New Roman" w:hAnsi="Times New Roman"/>
          <w:sz w:val="24"/>
          <w:szCs w:val="24"/>
          <w:lang w:val="uk-UA" w:eastAsia="x-none"/>
        </w:rPr>
      </w:pPr>
    </w:p>
    <w:p w14:paraId="4FC7744D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u w:val="single"/>
          <w:lang w:val="uk-UA" w:eastAsia="x-none"/>
        </w:rPr>
      </w:pPr>
      <w:r>
        <w:rPr>
          <w:rFonts w:ascii="Times New Roman" w:hAnsi="Times New Roman"/>
          <w:b/>
          <w:i/>
          <w:sz w:val="24"/>
          <w:szCs w:val="24"/>
          <w:u w:val="single"/>
          <w:lang w:val="uk-UA" w:eastAsia="x-none"/>
        </w:rPr>
        <w:t xml:space="preserve">Надання першої допомоги:  </w:t>
      </w:r>
      <w:r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uk-UA" w:eastAsia="x-none"/>
        </w:rPr>
        <w:t>місцева обробка рани</w:t>
      </w:r>
    </w:p>
    <w:p w14:paraId="31C58245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Слід пам’ятати, що рану необхідно обробити якнайшвидше після укусу. Спершу рекомендується ретельно промити рану великою кількістю води з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милом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або дезінфікуючим засобом, а потім обробити 70 %  етиловим  спиртом/ спиртовим розчином йоду.</w:t>
      </w:r>
    </w:p>
    <w:p w14:paraId="012351CF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При лікувально-профілактичній імунізації вакцинований повинен перебувати під наглядом лікаря. Щеплення рекомендовано проводити згідно із нижчевикладеними настановами (див. таблицю 2).</w:t>
      </w:r>
    </w:p>
    <w:p w14:paraId="43062347" w14:textId="77777777" w:rsidR="003447E9" w:rsidRDefault="003447E9" w:rsidP="003447E9">
      <w:pPr>
        <w:spacing w:after="0" w:line="240" w:lineRule="auto"/>
        <w:ind w:left="7788" w:firstLine="708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Таблиця 2</w:t>
      </w:r>
    </w:p>
    <w:p w14:paraId="5D8433A8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 Схема щеплення (спосіб введення –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внутрішньом’язова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ін’єкція)</w:t>
      </w:r>
    </w:p>
    <w:tbl>
      <w:tblPr>
        <w:tblStyle w:val="a3"/>
        <w:tblW w:w="9615" w:type="dxa"/>
        <w:jc w:val="center"/>
        <w:tblInd w:w="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2"/>
        <w:gridCol w:w="4813"/>
      </w:tblGrid>
      <w:tr w:rsidR="003447E9" w14:paraId="299C0967" w14:textId="77777777" w:rsidTr="00EE2E34">
        <w:trPr>
          <w:trHeight w:val="20"/>
          <w:jc w:val="center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33BEA9AB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1-ша доза</w:t>
            </w:r>
          </w:p>
        </w:tc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347FE5B4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День 0</w:t>
            </w:r>
          </w:p>
        </w:tc>
      </w:tr>
      <w:tr w:rsidR="003447E9" w14:paraId="2DBA06BF" w14:textId="77777777" w:rsidTr="00EE2E34">
        <w:trPr>
          <w:trHeight w:val="20"/>
          <w:jc w:val="center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6221742E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2-га доза</w:t>
            </w:r>
          </w:p>
        </w:tc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3872F8A8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День 3</w:t>
            </w:r>
          </w:p>
        </w:tc>
      </w:tr>
      <w:tr w:rsidR="003447E9" w14:paraId="62BE2CAA" w14:textId="77777777" w:rsidTr="00EE2E34">
        <w:trPr>
          <w:trHeight w:val="20"/>
          <w:jc w:val="center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54A18C53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3-тя доза</w:t>
            </w:r>
          </w:p>
        </w:tc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54913C2B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День 7</w:t>
            </w:r>
          </w:p>
        </w:tc>
      </w:tr>
      <w:tr w:rsidR="003447E9" w14:paraId="49D68A4A" w14:textId="77777777" w:rsidTr="00EE2E34">
        <w:trPr>
          <w:trHeight w:val="20"/>
          <w:jc w:val="center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34C456F1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4-та доза</w:t>
            </w:r>
          </w:p>
        </w:tc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6B482594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День 14</w:t>
            </w:r>
          </w:p>
        </w:tc>
      </w:tr>
      <w:tr w:rsidR="003447E9" w14:paraId="79F8085E" w14:textId="77777777" w:rsidTr="00EE2E34">
        <w:trPr>
          <w:trHeight w:val="20"/>
          <w:jc w:val="center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6840589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5-та доза</w:t>
            </w:r>
          </w:p>
        </w:tc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1D52BA4" w14:textId="77777777" w:rsidR="003447E9" w:rsidRDefault="003447E9" w:rsidP="00EE2E34">
            <w:pPr>
              <w:widowControl w:val="0"/>
              <w:spacing w:line="240" w:lineRule="auto"/>
              <w:ind w:left="12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День 28</w:t>
            </w:r>
          </w:p>
        </w:tc>
      </w:tr>
    </w:tbl>
    <w:p w14:paraId="3B65FD87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val="uk-UA" w:eastAsia="x-none"/>
        </w:rPr>
      </w:pPr>
    </w:p>
    <w:p w14:paraId="52BBF5CA" w14:textId="77777777" w:rsidR="003447E9" w:rsidRDefault="003447E9" w:rsidP="003447E9">
      <w:pPr>
        <w:widowControl w:val="0"/>
        <w:shd w:val="clear" w:color="auto" w:fill="FFFFFF"/>
        <w:spacing w:after="0" w:line="0" w:lineRule="atLeast"/>
        <w:jc w:val="both"/>
        <w:rPr>
          <w:rFonts w:ascii="Times New Roman" w:eastAsia="Arial" w:hAnsi="Times New Roman" w:cs="Arial"/>
          <w:i/>
          <w:sz w:val="24"/>
          <w:szCs w:val="24"/>
          <w:shd w:val="clear" w:color="auto" w:fill="FFFFFF"/>
          <w:lang w:val="uk-UA"/>
        </w:rPr>
      </w:pPr>
      <w:r>
        <w:rPr>
          <w:rFonts w:ascii="Times New Roman" w:eastAsia="Arial" w:hAnsi="Times New Roman" w:cs="Arial"/>
          <w:i/>
          <w:sz w:val="24"/>
          <w:szCs w:val="24"/>
          <w:lang w:val="uk-UA"/>
        </w:rPr>
        <w:t>Рекомендації ВООЗ щодо проведення лікувально-профілактичної імунізації</w:t>
      </w:r>
      <w:r>
        <w:rPr>
          <w:rFonts w:ascii="Times New Roman" w:eastAsia="Arial Unicode MS" w:hAnsi="Times New Roman" w:cs="Arial"/>
          <w:b/>
          <w:i/>
          <w:sz w:val="24"/>
          <w:szCs w:val="24"/>
          <w:lang w:val="uk-UA"/>
        </w:rPr>
        <w:t xml:space="preserve"> </w:t>
      </w:r>
      <w:r>
        <w:rPr>
          <w:rFonts w:ascii="Times New Roman" w:eastAsia="Arial" w:hAnsi="Times New Roman"/>
          <w:i/>
          <w:sz w:val="24"/>
          <w:szCs w:val="24"/>
          <w:shd w:val="clear" w:color="auto" w:fill="FFFFFF"/>
          <w:lang w:val="uk-UA"/>
        </w:rPr>
        <w:t>(</w:t>
      </w:r>
      <w:proofErr w:type="spellStart"/>
      <w:r>
        <w:rPr>
          <w:rFonts w:ascii="Times New Roman" w:eastAsia="Arial" w:hAnsi="Times New Roman"/>
          <w:i/>
          <w:sz w:val="24"/>
          <w:szCs w:val="24"/>
          <w:shd w:val="clear" w:color="auto" w:fill="FFFFFF"/>
          <w:lang w:val="uk-UA"/>
        </w:rPr>
        <w:t>постекспозиційна</w:t>
      </w:r>
      <w:proofErr w:type="spellEnd"/>
      <w:r>
        <w:rPr>
          <w:rFonts w:ascii="Times New Roman" w:eastAsia="Arial" w:hAnsi="Times New Roman"/>
          <w:i/>
          <w:sz w:val="24"/>
          <w:szCs w:val="24"/>
          <w:shd w:val="clear" w:color="auto" w:fill="FFFFFF"/>
          <w:lang w:val="uk-UA"/>
        </w:rPr>
        <w:t xml:space="preserve"> імунізація)</w:t>
      </w:r>
      <w:r>
        <w:rPr>
          <w:rFonts w:ascii="Times New Roman" w:eastAsia="Arial" w:hAnsi="Times New Roman" w:cs="Arial"/>
          <w:i/>
          <w:sz w:val="24"/>
          <w:szCs w:val="24"/>
          <w:lang w:val="uk-UA"/>
        </w:rPr>
        <w:t xml:space="preserve"> у невакцинованих осіб. </w:t>
      </w:r>
      <w:r>
        <w:rPr>
          <w:rFonts w:ascii="Times New Roman" w:eastAsia="Arial" w:hAnsi="Times New Roman" w:cs="Arial"/>
          <w:sz w:val="24"/>
          <w:szCs w:val="24"/>
          <w:lang w:val="uk-UA"/>
        </w:rPr>
        <w:t xml:space="preserve">Схема щеплення: доза 0,5 мл в день 0, день 3, день 7, день 14 і день 28, вводити шляхом </w:t>
      </w:r>
      <w:proofErr w:type="spellStart"/>
      <w:r>
        <w:rPr>
          <w:rFonts w:ascii="Times New Roman" w:eastAsia="Arial" w:hAnsi="Times New Roman" w:cs="Arial"/>
          <w:sz w:val="24"/>
          <w:szCs w:val="24"/>
          <w:lang w:val="uk-UA"/>
        </w:rPr>
        <w:t>внутрішньом’язової</w:t>
      </w:r>
      <w:proofErr w:type="spellEnd"/>
      <w:r>
        <w:rPr>
          <w:rFonts w:ascii="Times New Roman" w:eastAsia="Arial" w:hAnsi="Times New Roman" w:cs="Arial"/>
          <w:sz w:val="24"/>
          <w:szCs w:val="24"/>
          <w:lang w:val="uk-UA"/>
        </w:rPr>
        <w:t xml:space="preserve"> ін’єкції з урахуванням категорії ушкодження (див. таблицю 3).</w:t>
      </w:r>
    </w:p>
    <w:p w14:paraId="0FD126BE" w14:textId="77777777" w:rsidR="003447E9" w:rsidRDefault="003447E9" w:rsidP="003447E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У випадку категорії IІI (див. таблицю 3) призначається комбіноване лікування із одночасним застосуванням вакцини та 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антирабічного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імуноглобуліну.</w:t>
      </w:r>
    </w:p>
    <w:p w14:paraId="65C81120" w14:textId="77777777" w:rsidR="003447E9" w:rsidRDefault="003447E9" w:rsidP="003447E9">
      <w:pPr>
        <w:spacing w:after="0" w:line="240" w:lineRule="auto"/>
        <w:ind w:left="7788" w:firstLine="708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Таблиця 3</w:t>
      </w:r>
    </w:p>
    <w:p w14:paraId="4745EB1E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>Рекомендації ВООЗ щодо проведення лікувально-профілактичних заходів залежно від категорії контакту та  тяжкості травми у невакцинованих осіб</w:t>
      </w:r>
    </w:p>
    <w:tbl>
      <w:tblPr>
        <w:tblStyle w:val="a3"/>
        <w:tblW w:w="9360" w:type="dxa"/>
        <w:jc w:val="center"/>
        <w:tblInd w:w="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4"/>
        <w:gridCol w:w="3825"/>
        <w:gridCol w:w="4391"/>
      </w:tblGrid>
      <w:tr w:rsidR="003447E9" w14:paraId="1F17CB41" w14:textId="77777777" w:rsidTr="00EE2E34">
        <w:trPr>
          <w:trHeight w:val="20"/>
          <w:jc w:val="center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59A65A" w14:textId="77777777" w:rsidR="003447E9" w:rsidRDefault="003447E9" w:rsidP="00EE2E34">
            <w:pPr>
              <w:widowControl w:val="0"/>
              <w:spacing w:line="210" w:lineRule="exact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  <w:shd w:val="clear" w:color="auto" w:fill="FFFFFF"/>
                <w:lang w:val="uk-UA" w:eastAsia="x-none"/>
              </w:rPr>
              <w:t>Категорія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4FBD55" w14:textId="77777777" w:rsidR="003447E9" w:rsidRDefault="003447E9" w:rsidP="00EE2E34">
            <w:pPr>
              <w:spacing w:line="254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Тип контакту з хворою на сказ твариною</w:t>
            </w: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 або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 xml:space="preserve"> з підозрюваною щодо захворювання на сказ</w:t>
            </w: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 домашньою або дикою твариною, або твариною, подальше спостереження за якою неможливе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1F62A3" w14:textId="77777777" w:rsidR="003447E9" w:rsidRDefault="003447E9" w:rsidP="00EE2E34">
            <w:pPr>
              <w:widowControl w:val="0"/>
              <w:spacing w:line="210" w:lineRule="exact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  <w:shd w:val="clear" w:color="auto" w:fill="FFFFFF"/>
                <w:lang w:val="uk-UA" w:eastAsia="x-none"/>
              </w:rPr>
              <w:t>Рекомендована тактика введення</w:t>
            </w:r>
          </w:p>
        </w:tc>
      </w:tr>
      <w:tr w:rsidR="003447E9" w14:paraId="45905CF9" w14:textId="77777777" w:rsidTr="00EE2E34">
        <w:trPr>
          <w:trHeight w:val="20"/>
          <w:jc w:val="center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6EDD2D64" w14:textId="77777777" w:rsidR="003447E9" w:rsidRDefault="003447E9" w:rsidP="00EE2E34">
            <w:pPr>
              <w:widowControl w:val="0"/>
              <w:spacing w:line="210" w:lineRule="exact"/>
              <w:jc w:val="center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  <w:shd w:val="clear" w:color="auto" w:fill="FFFFFF"/>
                <w:lang w:val="uk-UA" w:eastAsia="x-none"/>
              </w:rPr>
              <w:t>І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62338AF" w14:textId="77777777" w:rsidR="003447E9" w:rsidRDefault="003447E9" w:rsidP="00EE2E34">
            <w:pPr>
              <w:widowControl w:val="0"/>
              <w:spacing w:line="269" w:lineRule="exact"/>
              <w:ind w:left="10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 xml:space="preserve">Годування або дотик до тварини, контакт язика тварини із непошкодженою шкірою, контакт </w:t>
            </w: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lastRenderedPageBreak/>
              <w:t>з тваринами без ослизнення шкірного покриву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0426606" w14:textId="77777777" w:rsidR="003447E9" w:rsidRDefault="003447E9" w:rsidP="00EE2E34">
            <w:pPr>
              <w:widowControl w:val="0"/>
              <w:spacing w:line="264" w:lineRule="exact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lastRenderedPageBreak/>
              <w:t>Не призначається, якщо ознак захворювання у тварини не виявлено.</w:t>
            </w:r>
          </w:p>
          <w:p w14:paraId="0E509C7F" w14:textId="77777777" w:rsidR="003447E9" w:rsidRDefault="003447E9" w:rsidP="00EE2E34">
            <w:pPr>
              <w:widowControl w:val="0"/>
              <w:spacing w:line="264" w:lineRule="exact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 xml:space="preserve">Якщо виникають сумніви, провести </w:t>
            </w: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lastRenderedPageBreak/>
              <w:t>імунізацію відповідно до схеми, зазначеної в таблиці  1.</w:t>
            </w:r>
          </w:p>
        </w:tc>
      </w:tr>
      <w:tr w:rsidR="003447E9" w14:paraId="7274B38C" w14:textId="77777777" w:rsidTr="00EE2E34">
        <w:trPr>
          <w:trHeight w:val="2684"/>
          <w:jc w:val="center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4E4BA470" w14:textId="77777777" w:rsidR="003447E9" w:rsidRDefault="003447E9" w:rsidP="00EE2E34">
            <w:pPr>
              <w:widowControl w:val="0"/>
              <w:spacing w:line="210" w:lineRule="exact"/>
              <w:jc w:val="center"/>
              <w:rPr>
                <w:rFonts w:ascii="Times New Roman" w:hAnsi="Times New Roman"/>
                <w:b/>
                <w:bCs/>
                <w:spacing w:val="3"/>
                <w:sz w:val="24"/>
                <w:szCs w:val="24"/>
                <w:shd w:val="clear" w:color="auto" w:fill="FFFFFF"/>
                <w:lang w:val="uk-UA"/>
              </w:rPr>
            </w:pPr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  <w:shd w:val="clear" w:color="auto" w:fill="FFFFFF"/>
                <w:lang w:val="uk-UA"/>
              </w:rPr>
              <w:lastRenderedPageBreak/>
              <w:t>II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6F042E4" w14:textId="77777777" w:rsidR="003447E9" w:rsidRDefault="003447E9" w:rsidP="00EE2E34">
            <w:pPr>
              <w:widowControl w:val="0"/>
              <w:spacing w:line="269" w:lineRule="exact"/>
              <w:ind w:left="10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Ослизнення</w:t>
            </w:r>
            <w:r>
              <w:rPr>
                <w:rFonts w:ascii="Times New Roman" w:hAnsi="Times New Roman"/>
                <w:spacing w:val="3"/>
                <w:sz w:val="24"/>
                <w:szCs w:val="24"/>
                <w:vertAlign w:val="superscript"/>
                <w:lang w:val="uk-UA"/>
              </w:rPr>
              <w:t>1</w:t>
            </w: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 xml:space="preserve"> пошкодженого шкірного покриву, незначні/дрібні укуси непокритих ділянок шкіри, укуси незахищеної шкіри, незначні подряпини, поверхневий укус</w:t>
            </w:r>
            <w:r>
              <w:rPr>
                <w:rFonts w:ascii="Times New Roman" w:hAnsi="Times New Roman"/>
                <w:spacing w:val="3"/>
                <w:sz w:val="24"/>
                <w:szCs w:val="24"/>
                <w:vertAlign w:val="superscript"/>
                <w:lang w:val="uk-UA"/>
              </w:rPr>
              <w:t>2,3</w:t>
            </w: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 xml:space="preserve"> (але не голови, шиї,  плечового </w:t>
            </w: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пояса</w:t>
            </w:r>
            <w:proofErr w:type="spellEnd"/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, плеча, передпліччя чи зап’ястя) або подряпини без кровотечі</w:t>
            </w:r>
          </w:p>
          <w:p w14:paraId="0A42F561" w14:textId="77777777" w:rsidR="003447E9" w:rsidRDefault="003447E9" w:rsidP="00EE2E34">
            <w:pPr>
              <w:widowControl w:val="0"/>
              <w:spacing w:line="269" w:lineRule="exact"/>
              <w:ind w:left="10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5CC47D4" w14:textId="77777777" w:rsidR="003447E9" w:rsidRDefault="003447E9" w:rsidP="00EE2E34">
            <w:pPr>
              <w:widowControl w:val="0"/>
              <w:spacing w:line="264" w:lineRule="exact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Негайно зробіть щеплення відповідно до схеми, зазначеної в таблиці  2.</w:t>
            </w:r>
          </w:p>
          <w:p w14:paraId="48EC75B1" w14:textId="77777777" w:rsidR="003447E9" w:rsidRDefault="003447E9" w:rsidP="00EE2E34">
            <w:pPr>
              <w:widowControl w:val="0"/>
              <w:spacing w:line="264" w:lineRule="exact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Припиніть лікувально-профілактичну імунізацію, коли за результатами спостереження за твариною</w:t>
            </w:r>
            <w:r>
              <w:rPr>
                <w:rFonts w:ascii="Times New Roman" w:hAnsi="Times New Roman"/>
                <w:bCs/>
                <w:spacing w:val="3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протягом 10 днів чи у випадку гуманного знешкодження тварини та отримання відповідних результатів лабораторних аналізів стане відомо, що тварина була здоровою.</w:t>
            </w:r>
          </w:p>
          <w:p w14:paraId="326BF3CC" w14:textId="77777777" w:rsidR="003447E9" w:rsidRDefault="003447E9" w:rsidP="00EE2E34">
            <w:pPr>
              <w:widowControl w:val="0"/>
              <w:spacing w:line="264" w:lineRule="exact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iCs/>
                <w:spacing w:val="3"/>
                <w:sz w:val="24"/>
                <w:szCs w:val="24"/>
                <w:lang w:val="uk-UA"/>
              </w:rPr>
              <w:t>Місцева обробка рани.</w:t>
            </w:r>
          </w:p>
        </w:tc>
      </w:tr>
      <w:tr w:rsidR="003447E9" w14:paraId="6B359E62" w14:textId="77777777" w:rsidTr="00EE2E34">
        <w:trPr>
          <w:trHeight w:val="841"/>
          <w:jc w:val="center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218E4EB" w14:textId="77777777" w:rsidR="003447E9" w:rsidRDefault="003447E9" w:rsidP="00EE2E34">
            <w:pPr>
              <w:widowControl w:val="0"/>
              <w:spacing w:line="210" w:lineRule="exact"/>
              <w:jc w:val="center"/>
              <w:rPr>
                <w:rFonts w:ascii="Times New Roman" w:hAnsi="Times New Roman"/>
                <w:b/>
                <w:bCs/>
                <w:spacing w:val="3"/>
                <w:sz w:val="24"/>
                <w:szCs w:val="24"/>
                <w:shd w:val="clear" w:color="auto" w:fill="FFFFFF"/>
                <w:lang w:val="uk-UA"/>
              </w:rPr>
            </w:pPr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  <w:shd w:val="clear" w:color="auto" w:fill="FFFFFF"/>
                <w:lang w:val="uk-UA"/>
              </w:rPr>
              <w:t>III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1012C3F2" w14:textId="77777777" w:rsidR="003447E9" w:rsidRDefault="003447E9" w:rsidP="00EE2E34">
            <w:pPr>
              <w:widowControl w:val="0"/>
              <w:spacing w:line="269" w:lineRule="exact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 xml:space="preserve">Одиночні або множинні широкі / глибокі / </w:t>
            </w: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трансдермальні</w:t>
            </w:r>
            <w:proofErr w:type="spellEnd"/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 xml:space="preserve"> укуси</w:t>
            </w:r>
            <w:r>
              <w:rPr>
                <w:rFonts w:ascii="Times New Roman" w:hAnsi="Times New Roman"/>
                <w:spacing w:val="3"/>
                <w:sz w:val="24"/>
                <w:szCs w:val="24"/>
                <w:vertAlign w:val="superscript"/>
                <w:lang w:val="uk-UA"/>
              </w:rPr>
              <w:t>4,5,6</w:t>
            </w: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 xml:space="preserve"> / подряпини, зокрема голови, обличчя, шиї, плечового </w:t>
            </w: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пояса</w:t>
            </w:r>
            <w:proofErr w:type="spellEnd"/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, плеча, передпліччя чи зап’ястя, або ослизнення слизових оболонок (у т. ч. ослизнення пошкодженого шкірного покриву)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AF3D3B6" w14:textId="77777777" w:rsidR="003447E9" w:rsidRDefault="003447E9" w:rsidP="00EE2E34">
            <w:pPr>
              <w:widowControl w:val="0"/>
              <w:spacing w:line="264" w:lineRule="exact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 xml:space="preserve">Негайно починайте комбіноване лікування: вакцина одночасно із </w:t>
            </w: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антирабічним</w:t>
            </w:r>
            <w:proofErr w:type="spellEnd"/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 xml:space="preserve"> імуноглобуліном відповідно до схеми, зазначеної в таблиці  2.</w:t>
            </w:r>
          </w:p>
          <w:p w14:paraId="370DD1D2" w14:textId="77777777" w:rsidR="003447E9" w:rsidRDefault="003447E9" w:rsidP="00EE2E34">
            <w:pPr>
              <w:widowControl w:val="0"/>
              <w:spacing w:line="264" w:lineRule="exact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  <w:t>Припиніть лікувально-профілактичну імунізацію, коли за результатами спостереження за твариною протягом 10 днів чи у випадку гуманного знешкодження тварини та отримання відповідних результатів лабораторних аналізів стане відомо, що тварина була здоровою.</w:t>
            </w:r>
          </w:p>
          <w:p w14:paraId="283743ED" w14:textId="77777777" w:rsidR="003447E9" w:rsidRDefault="003447E9" w:rsidP="00EE2E34">
            <w:pPr>
              <w:widowControl w:val="0"/>
              <w:spacing w:line="264" w:lineRule="exact"/>
              <w:ind w:left="140"/>
              <w:rPr>
                <w:rFonts w:ascii="Times New Roman" w:hAnsi="Times New Roman"/>
                <w:spacing w:val="3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Cs/>
                <w:iCs/>
                <w:spacing w:val="3"/>
                <w:sz w:val="24"/>
                <w:szCs w:val="24"/>
                <w:lang w:val="uk-UA"/>
              </w:rPr>
              <w:t>Місцева обробка рани.</w:t>
            </w:r>
          </w:p>
        </w:tc>
      </w:tr>
    </w:tbl>
    <w:p w14:paraId="0309F3CA" w14:textId="77777777" w:rsidR="003447E9" w:rsidRDefault="003447E9" w:rsidP="003447E9">
      <w:pPr>
        <w:tabs>
          <w:tab w:val="left" w:pos="567"/>
        </w:tabs>
        <w:spacing w:after="0" w:line="216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vertAlign w:val="superscript"/>
          <w:lang w:val="uk-UA"/>
        </w:rPr>
        <w:t>1</w:t>
      </w:r>
      <w:r>
        <w:rPr>
          <w:rFonts w:ascii="Times New Roman" w:hAnsi="Times New Roman"/>
          <w:sz w:val="24"/>
          <w:szCs w:val="24"/>
          <w:lang w:val="uk-UA"/>
        </w:rPr>
        <w:t>Ослизнення – попадання слини на шкіряні або слизові покриви безпосередньо від тварини (лизання) або через предмет, на якому могла бути свіжа слина.</w:t>
      </w:r>
    </w:p>
    <w:p w14:paraId="2FDA4C4C" w14:textId="77777777" w:rsidR="003447E9" w:rsidRDefault="003447E9" w:rsidP="003447E9">
      <w:pPr>
        <w:tabs>
          <w:tab w:val="left" w:pos="567"/>
        </w:tabs>
        <w:spacing w:after="0" w:line="216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vertAlign w:val="superscript"/>
          <w:lang w:val="uk-UA"/>
        </w:rPr>
        <w:t>2</w:t>
      </w:r>
      <w:r>
        <w:rPr>
          <w:rFonts w:ascii="Times New Roman" w:hAnsi="Times New Roman"/>
          <w:sz w:val="24"/>
          <w:szCs w:val="24"/>
          <w:lang w:val="uk-UA"/>
        </w:rPr>
        <w:t xml:space="preserve">Укус – будь-яке пошкодження шкіряних або слизових оболонок, нанесене зубом тварини. До укусу прирівнюються пошкодження шкіряних або слизових оболонок будь-яким предметом (скальпелем,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ножем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>), забрудненим мозком тварини або свіжою слиною.</w:t>
      </w:r>
    </w:p>
    <w:p w14:paraId="64ADD720" w14:textId="77777777" w:rsidR="003447E9" w:rsidRDefault="003447E9" w:rsidP="003447E9">
      <w:pPr>
        <w:tabs>
          <w:tab w:val="left" w:pos="567"/>
        </w:tabs>
        <w:spacing w:after="0" w:line="216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vertAlign w:val="superscript"/>
          <w:lang w:val="uk-UA"/>
        </w:rPr>
        <w:t>3</w:t>
      </w:r>
      <w:r>
        <w:rPr>
          <w:rFonts w:ascii="Times New Roman" w:hAnsi="Times New Roman"/>
          <w:sz w:val="24"/>
          <w:szCs w:val="24"/>
          <w:lang w:val="uk-UA"/>
        </w:rPr>
        <w:t>Поверхневий укус – укус, при якому пошкоджена шкіра та підшкірно-жирова клітковина до поверхневої фасції.</w:t>
      </w:r>
    </w:p>
    <w:p w14:paraId="7C22DD75" w14:textId="77777777" w:rsidR="003447E9" w:rsidRDefault="003447E9" w:rsidP="003447E9">
      <w:pPr>
        <w:tabs>
          <w:tab w:val="left" w:pos="567"/>
        </w:tabs>
        <w:spacing w:after="0" w:line="216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vertAlign w:val="superscript"/>
          <w:lang w:val="uk-UA"/>
        </w:rPr>
        <w:t>4</w:t>
      </w:r>
      <w:r>
        <w:rPr>
          <w:rFonts w:ascii="Times New Roman" w:hAnsi="Times New Roman"/>
          <w:sz w:val="24"/>
          <w:szCs w:val="24"/>
          <w:lang w:val="uk-UA"/>
        </w:rPr>
        <w:t>Широкий укус – укус, при якому ушкоджений покрив шкіри більше 5 см.</w:t>
      </w:r>
    </w:p>
    <w:p w14:paraId="6096D4DA" w14:textId="77777777" w:rsidR="003447E9" w:rsidRDefault="003447E9" w:rsidP="003447E9">
      <w:pPr>
        <w:tabs>
          <w:tab w:val="left" w:pos="567"/>
        </w:tabs>
        <w:spacing w:after="0" w:line="216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vertAlign w:val="superscript"/>
          <w:lang w:val="uk-UA"/>
        </w:rPr>
        <w:t>5</w:t>
      </w:r>
      <w:r>
        <w:rPr>
          <w:rFonts w:ascii="Times New Roman" w:hAnsi="Times New Roman"/>
          <w:sz w:val="24"/>
          <w:szCs w:val="24"/>
          <w:lang w:val="uk-UA"/>
        </w:rPr>
        <w:t>Глибокий укус – укус з пошкодженням поверхневої фасції.</w:t>
      </w:r>
    </w:p>
    <w:p w14:paraId="15709912" w14:textId="77777777" w:rsidR="003447E9" w:rsidRDefault="003447E9" w:rsidP="003447E9">
      <w:pPr>
        <w:tabs>
          <w:tab w:val="left" w:pos="567"/>
        </w:tabs>
        <w:spacing w:after="0" w:line="216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vertAlign w:val="superscript"/>
          <w:lang w:val="uk-UA"/>
        </w:rPr>
        <w:t>6</w:t>
      </w:r>
      <w:r>
        <w:rPr>
          <w:rFonts w:ascii="Times New Roman" w:hAnsi="Times New Roman"/>
          <w:sz w:val="24"/>
          <w:szCs w:val="24"/>
          <w:lang w:val="uk-UA"/>
        </w:rPr>
        <w:t>Трансдермальний укус – укус, при якому спостерігається виділення крові.</w:t>
      </w:r>
    </w:p>
    <w:p w14:paraId="1BAD1445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</w:p>
    <w:p w14:paraId="59EF4E8A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>
        <w:rPr>
          <w:rFonts w:ascii="Times New Roman" w:hAnsi="Times New Roman"/>
          <w:sz w:val="24"/>
          <w:szCs w:val="24"/>
          <w:u w:val="single"/>
          <w:lang w:val="uk-UA"/>
        </w:rPr>
        <w:t>Додаткова пасивна імунізація в день 0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A4FC2B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 xml:space="preserve">В день 0 одночасно з вакциною необхідно ввести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антирабічний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імуноглобулін у разі ураження III категорії тяжкості. </w:t>
      </w:r>
    </w:p>
    <w:p w14:paraId="706AD702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Антирабічний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імуноглобулін вводять у таких дозах: людський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антирабічний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імуноглобулін </w:t>
      </w:r>
      <w:r>
        <w:rPr>
          <w:rFonts w:ascii="Times New Roman" w:eastAsia="Arial" w:hAnsi="Times New Roman"/>
          <w:sz w:val="24"/>
          <w:szCs w:val="24"/>
          <w:lang w:val="uk-UA" w:eastAsia="ru-RU"/>
        </w:rPr>
        <w:t>(</w:t>
      </w:r>
      <w:r>
        <w:rPr>
          <w:rFonts w:ascii="Times New Roman" w:eastAsia="Arial" w:hAnsi="Times New Roman"/>
          <w:i/>
          <w:sz w:val="24"/>
          <w:szCs w:val="24"/>
          <w:lang w:val="uk-UA" w:eastAsia="ru-RU"/>
        </w:rPr>
        <w:t>HRIG</w:t>
      </w:r>
      <w:r>
        <w:rPr>
          <w:rFonts w:ascii="Times New Roman" w:eastAsia="Arial" w:hAnsi="Times New Roman"/>
          <w:sz w:val="24"/>
          <w:szCs w:val="24"/>
          <w:lang w:val="uk-UA" w:eastAsia="ru-RU"/>
        </w:rPr>
        <w:t>)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 – 20 МО на 1 кг маси тіла або кінський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антирабічний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  імуноглобулін </w:t>
      </w:r>
      <w:r>
        <w:rPr>
          <w:rFonts w:ascii="Times New Roman" w:eastAsia="Arial" w:hAnsi="Times New Roman"/>
          <w:sz w:val="24"/>
          <w:szCs w:val="24"/>
          <w:lang w:val="uk-UA" w:eastAsia="ru-RU"/>
        </w:rPr>
        <w:t>(</w:t>
      </w:r>
      <w:r>
        <w:rPr>
          <w:rFonts w:ascii="Times New Roman" w:eastAsia="Arial" w:hAnsi="Times New Roman"/>
          <w:i/>
          <w:sz w:val="24"/>
          <w:szCs w:val="24"/>
          <w:lang w:val="uk-UA" w:eastAsia="ru-RU"/>
        </w:rPr>
        <w:t>ERIG</w:t>
      </w:r>
      <w:r>
        <w:rPr>
          <w:rFonts w:ascii="Times New Roman" w:eastAsia="Arial" w:hAnsi="Times New Roman"/>
          <w:sz w:val="24"/>
          <w:szCs w:val="24"/>
          <w:lang w:val="uk-UA" w:eastAsia="ru-RU"/>
        </w:rPr>
        <w:t>) –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 40 МО на 1 кг маси тіла. </w:t>
      </w:r>
      <w:r>
        <w:rPr>
          <w:rFonts w:ascii="Times New Roman" w:hAnsi="Times New Roman"/>
          <w:sz w:val="24"/>
          <w:szCs w:val="24"/>
          <w:lang w:val="uk-UA"/>
        </w:rPr>
        <w:t xml:space="preserve">Перед введенням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гетерологічного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(кінського)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антирабічного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імуноглобуліну </w:t>
      </w:r>
      <w:r>
        <w:rPr>
          <w:rFonts w:ascii="Times New Roman" w:eastAsia="Arial" w:hAnsi="Times New Roman"/>
          <w:sz w:val="24"/>
          <w:szCs w:val="24"/>
          <w:lang w:val="uk-UA" w:eastAsia="ru-RU"/>
        </w:rPr>
        <w:t>(</w:t>
      </w:r>
      <w:r>
        <w:rPr>
          <w:rFonts w:ascii="Times New Roman" w:eastAsia="Arial" w:hAnsi="Times New Roman"/>
          <w:i/>
          <w:sz w:val="24"/>
          <w:szCs w:val="24"/>
          <w:lang w:val="uk-UA" w:eastAsia="ru-RU"/>
        </w:rPr>
        <w:t>ERIG</w:t>
      </w:r>
      <w:r>
        <w:rPr>
          <w:rFonts w:ascii="Times New Roman" w:eastAsia="Arial" w:hAnsi="Times New Roman"/>
          <w:sz w:val="24"/>
          <w:szCs w:val="24"/>
          <w:lang w:val="uk-UA" w:eastAsia="ru-RU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 xml:space="preserve"> необхідно перевірити індивідуальну чутливість пацієнта до кінського білка.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 Для отримання більш детальної інформації слід звернутись до  інструкцій для медичного застосування препаратів </w:t>
      </w:r>
      <w:r>
        <w:rPr>
          <w:rFonts w:ascii="Times New Roman" w:eastAsia="Arial" w:hAnsi="Times New Roman"/>
          <w:sz w:val="24"/>
          <w:szCs w:val="24"/>
          <w:lang w:val="uk-UA" w:eastAsia="ru-RU"/>
        </w:rPr>
        <w:t xml:space="preserve">людського </w:t>
      </w:r>
      <w:proofErr w:type="spellStart"/>
      <w:r>
        <w:rPr>
          <w:rFonts w:ascii="Times New Roman" w:eastAsia="Arial" w:hAnsi="Times New Roman"/>
          <w:sz w:val="24"/>
          <w:szCs w:val="24"/>
          <w:lang w:val="uk-UA" w:eastAsia="ru-RU"/>
        </w:rPr>
        <w:t>антирабічного</w:t>
      </w:r>
      <w:proofErr w:type="spellEnd"/>
      <w:r>
        <w:rPr>
          <w:rFonts w:ascii="Times New Roman" w:eastAsia="Arial" w:hAnsi="Times New Roman"/>
          <w:sz w:val="24"/>
          <w:szCs w:val="24"/>
          <w:lang w:val="uk-UA" w:eastAsia="ru-RU"/>
        </w:rPr>
        <w:t xml:space="preserve"> імуноглобуліну (</w:t>
      </w:r>
      <w:r>
        <w:rPr>
          <w:rFonts w:ascii="Times New Roman" w:eastAsia="Arial" w:hAnsi="Times New Roman"/>
          <w:i/>
          <w:sz w:val="24"/>
          <w:szCs w:val="24"/>
          <w:lang w:val="uk-UA" w:eastAsia="ru-RU"/>
        </w:rPr>
        <w:t>HRIG</w:t>
      </w:r>
      <w:r>
        <w:rPr>
          <w:rFonts w:ascii="Times New Roman" w:eastAsia="Arial" w:hAnsi="Times New Roman"/>
          <w:sz w:val="24"/>
          <w:szCs w:val="24"/>
          <w:lang w:val="uk-UA" w:eastAsia="ru-RU"/>
        </w:rPr>
        <w:t xml:space="preserve">) або кінського </w:t>
      </w:r>
      <w:proofErr w:type="spellStart"/>
      <w:r>
        <w:rPr>
          <w:rFonts w:ascii="Times New Roman" w:eastAsia="Arial" w:hAnsi="Times New Roman"/>
          <w:sz w:val="24"/>
          <w:szCs w:val="24"/>
          <w:lang w:val="uk-UA" w:eastAsia="ru-RU"/>
        </w:rPr>
        <w:t>антирабічного</w:t>
      </w:r>
      <w:proofErr w:type="spellEnd"/>
      <w:r>
        <w:rPr>
          <w:rFonts w:ascii="Times New Roman" w:eastAsia="Arial" w:hAnsi="Times New Roman"/>
          <w:sz w:val="24"/>
          <w:szCs w:val="24"/>
          <w:lang w:val="uk-UA" w:eastAsia="ru-RU"/>
        </w:rPr>
        <w:t xml:space="preserve"> імуноглобуліну (</w:t>
      </w:r>
      <w:r>
        <w:rPr>
          <w:rFonts w:ascii="Times New Roman" w:eastAsia="Arial" w:hAnsi="Times New Roman"/>
          <w:i/>
          <w:sz w:val="24"/>
          <w:szCs w:val="24"/>
          <w:lang w:val="uk-UA" w:eastAsia="ru-RU"/>
        </w:rPr>
        <w:t>ERIG</w:t>
      </w:r>
      <w:r>
        <w:rPr>
          <w:rFonts w:ascii="Times New Roman" w:eastAsia="Arial" w:hAnsi="Times New Roman"/>
          <w:sz w:val="24"/>
          <w:szCs w:val="24"/>
          <w:lang w:val="uk-UA" w:eastAsia="ru-RU"/>
        </w:rPr>
        <w:t>)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. </w:t>
      </w:r>
      <w:r>
        <w:rPr>
          <w:rFonts w:ascii="Times New Roman" w:hAnsi="Times New Roman"/>
          <w:sz w:val="24"/>
          <w:szCs w:val="24"/>
          <w:lang w:val="uk-UA"/>
        </w:rPr>
        <w:t xml:space="preserve">Залежно від випадку (наприклад, на ензоотичних територіях) та від тяжкості ушкоджень і їхньої локалізації (слід враховувати те, чи пошкоджені нервові закінчення), а також із урахуванням того, що постраждалий не одразу звернувся до лікаря або у пацієнта наявний  імунодефіцит, в день 0  може бути призначено 2 ін’єкції (одна доза вакцини та одна рекомендована доза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антирабічного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uk-UA"/>
        </w:rPr>
        <w:t>імуноглобуліну).</w:t>
      </w:r>
    </w:p>
    <w:p w14:paraId="4DC75C51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>
        <w:rPr>
          <w:rFonts w:ascii="Times New Roman" w:hAnsi="Times New Roman"/>
          <w:bCs/>
          <w:sz w:val="24"/>
          <w:szCs w:val="24"/>
          <w:u w:val="single"/>
          <w:lang w:val="uk-UA"/>
        </w:rPr>
        <w:t>Щеплення осіб, що раніше були щеплені проти сказу</w:t>
      </w:r>
    </w:p>
    <w:p w14:paraId="742D5B2D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  <w:lang w:val="uk-UA" w:eastAsia="x-none"/>
        </w:rPr>
      </w:pPr>
      <w:r>
        <w:rPr>
          <w:rFonts w:ascii="Times New Roman" w:hAnsi="Times New Roman"/>
          <w:sz w:val="24"/>
          <w:szCs w:val="24"/>
          <w:u w:val="single"/>
          <w:lang w:val="uk-UA" w:eastAsia="x-none"/>
        </w:rPr>
        <w:t>Якщо вакцинація проводиться раніше ніж через 5 років після первинної вакцинації (</w:t>
      </w:r>
      <w:proofErr w:type="spellStart"/>
      <w:r>
        <w:rPr>
          <w:rFonts w:ascii="Times New Roman" w:hAnsi="Times New Roman"/>
          <w:sz w:val="24"/>
          <w:szCs w:val="24"/>
          <w:u w:val="single"/>
          <w:lang w:val="uk-UA" w:eastAsia="x-none"/>
        </w:rPr>
        <w:t>антирабічною</w:t>
      </w:r>
      <w:proofErr w:type="spellEnd"/>
      <w:r>
        <w:rPr>
          <w:rFonts w:ascii="Times New Roman" w:hAnsi="Times New Roman"/>
          <w:sz w:val="24"/>
          <w:szCs w:val="24"/>
          <w:u w:val="single"/>
          <w:lang w:val="uk-UA" w:eastAsia="x-none"/>
        </w:rPr>
        <w:t xml:space="preserve"> вакциною):</w:t>
      </w:r>
    </w:p>
    <w:p w14:paraId="0B0FBFB1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lastRenderedPageBreak/>
        <w:t xml:space="preserve">Пацієнт має отримати дві серії ревакцинації: по одній дозі в день 0 і день 3 шляхом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внутрішньом’язової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 xml:space="preserve"> ін’єкції.</w:t>
      </w:r>
    </w:p>
    <w:p w14:paraId="7639A3F7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</w:p>
    <w:p w14:paraId="1C54438D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  <w:lang w:val="uk-UA" w:eastAsia="x-none"/>
        </w:rPr>
      </w:pPr>
      <w:r>
        <w:rPr>
          <w:rFonts w:ascii="Times New Roman" w:hAnsi="Times New Roman"/>
          <w:sz w:val="24"/>
          <w:szCs w:val="24"/>
          <w:u w:val="single"/>
          <w:lang w:val="uk-UA" w:eastAsia="x-none"/>
        </w:rPr>
        <w:t>Якщо ревакцинація проводиться пізніше ніж через 5 років після первинної вакцинації або неповної вакцинації, схема ревакцинації повинна бути такою:</w:t>
      </w:r>
    </w:p>
    <w:p w14:paraId="67B045C5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П’ять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внутрішньом’язових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ін’єкцій в </w:t>
      </w:r>
      <w:r>
        <w:rPr>
          <w:rFonts w:ascii="Times New Roman" w:hAnsi="Times New Roman"/>
          <w:sz w:val="24"/>
          <w:szCs w:val="24"/>
          <w:lang w:val="uk-UA" w:eastAsia="x-none"/>
        </w:rPr>
        <w:t>день</w:t>
      </w:r>
      <w:r>
        <w:rPr>
          <w:rFonts w:ascii="Times New Roman" w:hAnsi="Times New Roman"/>
          <w:sz w:val="24"/>
          <w:szCs w:val="24"/>
          <w:lang w:val="uk-UA"/>
        </w:rPr>
        <w:t xml:space="preserve"> 0, </w:t>
      </w:r>
      <w:r>
        <w:rPr>
          <w:rFonts w:ascii="Times New Roman" w:hAnsi="Times New Roman"/>
          <w:sz w:val="24"/>
          <w:szCs w:val="24"/>
          <w:lang w:val="uk-UA" w:eastAsia="x-none"/>
        </w:rPr>
        <w:t>день</w:t>
      </w:r>
      <w:r>
        <w:rPr>
          <w:rFonts w:ascii="Times New Roman" w:hAnsi="Times New Roman"/>
          <w:sz w:val="24"/>
          <w:szCs w:val="24"/>
          <w:lang w:val="uk-UA"/>
        </w:rPr>
        <w:t xml:space="preserve"> 3, </w:t>
      </w:r>
      <w:r>
        <w:rPr>
          <w:rFonts w:ascii="Times New Roman" w:hAnsi="Times New Roman"/>
          <w:sz w:val="24"/>
          <w:szCs w:val="24"/>
          <w:lang w:val="uk-UA" w:eastAsia="x-none"/>
        </w:rPr>
        <w:t>день</w:t>
      </w:r>
      <w:r>
        <w:rPr>
          <w:rFonts w:ascii="Times New Roman" w:hAnsi="Times New Roman"/>
          <w:sz w:val="24"/>
          <w:szCs w:val="24"/>
          <w:lang w:val="uk-UA"/>
        </w:rPr>
        <w:t xml:space="preserve"> 7, </w:t>
      </w:r>
      <w:r>
        <w:rPr>
          <w:rFonts w:ascii="Times New Roman" w:hAnsi="Times New Roman"/>
          <w:sz w:val="24"/>
          <w:szCs w:val="24"/>
          <w:lang w:val="uk-UA" w:eastAsia="x-none"/>
        </w:rPr>
        <w:t>день</w:t>
      </w:r>
      <w:r>
        <w:rPr>
          <w:rFonts w:ascii="Times New Roman" w:hAnsi="Times New Roman"/>
          <w:sz w:val="24"/>
          <w:szCs w:val="24"/>
          <w:lang w:val="uk-UA"/>
        </w:rPr>
        <w:t xml:space="preserve"> 14 і </w:t>
      </w:r>
      <w:r>
        <w:rPr>
          <w:rFonts w:ascii="Times New Roman" w:hAnsi="Times New Roman"/>
          <w:sz w:val="24"/>
          <w:szCs w:val="24"/>
          <w:lang w:val="uk-UA" w:eastAsia="x-none"/>
        </w:rPr>
        <w:t>день</w:t>
      </w:r>
      <w:r>
        <w:rPr>
          <w:rFonts w:ascii="Times New Roman" w:hAnsi="Times New Roman"/>
          <w:sz w:val="24"/>
          <w:szCs w:val="24"/>
          <w:lang w:val="uk-UA"/>
        </w:rPr>
        <w:t xml:space="preserve"> 28, у разі необхідності – із одночасним застосуванням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антирабічного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імуноглобуліну. На практиці, якщо  остання ревакцинація проводилася більше ніж 5 років тому чи така ревакцинація була проведена неповністю,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вакцинальний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статус такої особи вважається сумнівним.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</w:p>
    <w:p w14:paraId="707196B1" w14:textId="77777777" w:rsidR="003447E9" w:rsidRDefault="003447E9" w:rsidP="003447E9">
      <w:pPr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sz w:val="24"/>
          <w:szCs w:val="24"/>
          <w:lang w:val="uk-UA"/>
        </w:rPr>
        <w:t>При проведенні імунізації на території України слід керуватися діючими нормативними документами МОЗ України.</w:t>
      </w:r>
    </w:p>
    <w:p w14:paraId="50AEF55E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 w:eastAsia="ru-RU"/>
        </w:rPr>
      </w:pPr>
      <w:r>
        <w:rPr>
          <w:rFonts w:ascii="Times New Roman" w:hAnsi="Times New Roman"/>
          <w:i/>
          <w:sz w:val="24"/>
          <w:szCs w:val="24"/>
          <w:u w:val="single"/>
          <w:lang w:val="uk-UA" w:eastAsia="ru-RU"/>
        </w:rPr>
        <w:t>Інструкція із застосування.</w:t>
      </w:r>
    </w:p>
    <w:p w14:paraId="6307F4BB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У флакон з вакциною перенесіть 0,5 мл розчинника, який йде у комплекті з вакциною. Плавними рухами збовтайте вміст флакона, поки не розчиниться порошок. Розчин повинен бути однорідним, прозорим і не містити нерозчинених часток. </w:t>
      </w:r>
    </w:p>
    <w:p w14:paraId="4344A51E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Наберіть в шприц необхідну кількість розчину. </w:t>
      </w:r>
    </w:p>
    <w:p w14:paraId="3B7F3B0D" w14:textId="77777777" w:rsidR="003447E9" w:rsidRDefault="003447E9" w:rsidP="003447E9">
      <w:pPr>
        <w:spacing w:after="0" w:line="240" w:lineRule="auto"/>
        <w:jc w:val="both"/>
        <w:rPr>
          <w:rFonts w:ascii="Times New Roman" w:eastAsia="Times New Roman" w:hAnsi="Times New Roman"/>
          <w:iCs/>
          <w:sz w:val="24"/>
          <w:szCs w:val="24"/>
          <w:lang w:val="uk-UA"/>
        </w:rPr>
      </w:pPr>
      <w:r>
        <w:rPr>
          <w:rFonts w:ascii="Times New Roman" w:eastAsia="Times New Roman" w:hAnsi="Times New Roman"/>
          <w:iCs/>
          <w:sz w:val="24"/>
          <w:szCs w:val="24"/>
          <w:lang w:val="uk-UA"/>
        </w:rPr>
        <w:t>Відновлену вакцину ІНДІРАБ слід зберігати при температурі від +2 до +8 °С та слід використати протягом 6-8 годин після відновлення. Перед використанням добре струсити.</w:t>
      </w:r>
    </w:p>
    <w:p w14:paraId="1B0942AF" w14:textId="77777777" w:rsidR="003447E9" w:rsidRDefault="003447E9" w:rsidP="003447E9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  <w:lang w:val="uk-UA"/>
        </w:rPr>
      </w:pPr>
      <w:r>
        <w:rPr>
          <w:rFonts w:ascii="Times New Roman" w:eastAsia="Times New Roman" w:hAnsi="Times New Roman"/>
          <w:iCs/>
          <w:sz w:val="24"/>
          <w:szCs w:val="24"/>
          <w:lang w:val="uk-UA"/>
        </w:rPr>
        <w:t xml:space="preserve">Після розведення вакцину </w:t>
      </w:r>
      <w:r>
        <w:rPr>
          <w:rFonts w:ascii="Times New Roman" w:hAnsi="Times New Roman"/>
          <w:sz w:val="24"/>
          <w:szCs w:val="24"/>
          <w:lang w:val="uk-UA"/>
        </w:rPr>
        <w:t>ІНДІРАБ</w:t>
      </w:r>
      <w:r>
        <w:rPr>
          <w:rFonts w:ascii="Times New Roman" w:eastAsia="Times New Roman" w:hAnsi="Times New Roman"/>
          <w:iCs/>
          <w:sz w:val="24"/>
          <w:szCs w:val="24"/>
          <w:lang w:val="uk-UA"/>
        </w:rPr>
        <w:t xml:space="preserve">  слід використати негайно.</w:t>
      </w:r>
    </w:p>
    <w:p w14:paraId="4D4FE8B3" w14:textId="77777777" w:rsidR="003447E9" w:rsidRDefault="003447E9" w:rsidP="003447E9">
      <w:pPr>
        <w:spacing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Не використовуйте вакцину після закінчення терміну придатності.</w:t>
      </w:r>
    </w:p>
    <w:p w14:paraId="0D9EEC8D" w14:textId="77777777" w:rsidR="003447E9" w:rsidRDefault="003447E9" w:rsidP="003447E9">
      <w:pPr>
        <w:spacing w:after="0" w:line="254" w:lineRule="auto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b/>
          <w:i/>
          <w:sz w:val="24"/>
          <w:szCs w:val="24"/>
          <w:lang w:val="uk-UA" w:eastAsia="ru-RU"/>
        </w:rPr>
        <w:t>Діти.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</w:p>
    <w:p w14:paraId="24E5A8AD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Вакцину застосовують за показаннями дітям (див. розділи «Показання», «Спосіб застосування та дози»)</w:t>
      </w:r>
      <w:bookmarkStart w:id="1" w:name="bookmark5"/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984CB51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uk-UA" w:eastAsia="ru-RU"/>
        </w:rPr>
      </w:pPr>
    </w:p>
    <w:p w14:paraId="1678AD6F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val="uk-UA" w:eastAsia="ru-RU"/>
        </w:rPr>
      </w:pPr>
      <w:r>
        <w:rPr>
          <w:rFonts w:ascii="Times New Roman" w:hAnsi="Times New Roman"/>
          <w:b/>
          <w:i/>
          <w:sz w:val="24"/>
          <w:szCs w:val="24"/>
          <w:lang w:val="uk-UA" w:eastAsia="ru-RU"/>
        </w:rPr>
        <w:t>Передозування</w:t>
      </w:r>
      <w:r>
        <w:rPr>
          <w:rFonts w:ascii="Times New Roman" w:hAnsi="Times New Roman"/>
          <w:i/>
          <w:sz w:val="24"/>
          <w:szCs w:val="24"/>
          <w:lang w:val="uk-UA" w:eastAsia="ru-RU"/>
        </w:rPr>
        <w:t>.</w:t>
      </w:r>
    </w:p>
    <w:p w14:paraId="2EA227FC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/>
        </w:rPr>
        <w:t>Неможливе.</w:t>
      </w:r>
    </w:p>
    <w:p w14:paraId="1DE4ABEA" w14:textId="77777777" w:rsidR="003447E9" w:rsidRDefault="003447E9" w:rsidP="003447E9">
      <w:pPr>
        <w:widowControl w:val="0"/>
        <w:spacing w:after="0" w:line="240" w:lineRule="auto"/>
        <w:jc w:val="both"/>
        <w:outlineLvl w:val="0"/>
        <w:rPr>
          <w:rFonts w:ascii="Times New Roman" w:hAnsi="Times New Roman"/>
          <w:b/>
          <w:bCs/>
          <w:i/>
          <w:sz w:val="24"/>
          <w:szCs w:val="24"/>
          <w:lang w:val="uk-UA" w:eastAsia="x-none"/>
        </w:rPr>
      </w:pPr>
    </w:p>
    <w:p w14:paraId="68A400C7" w14:textId="77777777" w:rsidR="003447E9" w:rsidRDefault="003447E9" w:rsidP="003447E9">
      <w:pPr>
        <w:widowControl w:val="0"/>
        <w:spacing w:after="0" w:line="240" w:lineRule="auto"/>
        <w:jc w:val="both"/>
        <w:outlineLvl w:val="0"/>
        <w:rPr>
          <w:rFonts w:ascii="Times New Roman" w:hAnsi="Times New Roman"/>
          <w:b/>
          <w:bCs/>
          <w:i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/>
          <w:sz w:val="24"/>
          <w:szCs w:val="24"/>
          <w:lang w:val="uk-UA"/>
        </w:rPr>
        <w:t>Побічні реакції</w:t>
      </w:r>
      <w:bookmarkEnd w:id="1"/>
      <w:r>
        <w:rPr>
          <w:rFonts w:ascii="Times New Roman" w:hAnsi="Times New Roman"/>
          <w:b/>
          <w:bCs/>
          <w:i/>
          <w:sz w:val="24"/>
          <w:szCs w:val="24"/>
          <w:lang w:val="uk-UA"/>
        </w:rPr>
        <w:t>.</w:t>
      </w:r>
    </w:p>
    <w:p w14:paraId="76BECB26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/>
          <w:i/>
          <w:sz w:val="24"/>
          <w:szCs w:val="24"/>
          <w:lang w:val="uk-UA"/>
        </w:rPr>
        <w:t xml:space="preserve">Розлади з </w:t>
      </w:r>
      <w:r>
        <w:rPr>
          <w:rFonts w:ascii="Times New Roman" w:hAnsi="Times New Roman"/>
          <w:bCs/>
          <w:i/>
          <w:sz w:val="24"/>
          <w:szCs w:val="24"/>
          <w:lang w:val="uk-UA"/>
        </w:rPr>
        <w:t>боку шлунково-кишкового тракту:</w:t>
      </w:r>
      <w:r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нудота, біль в животі</w:t>
      </w:r>
      <w:r>
        <w:rPr>
          <w:rFonts w:ascii="Times New Roman" w:hAnsi="Times New Roman"/>
          <w:sz w:val="24"/>
          <w:szCs w:val="24"/>
          <w:lang w:val="uk-UA"/>
        </w:rPr>
        <w:t>, блювання, діарея</w:t>
      </w:r>
      <w:r>
        <w:rPr>
          <w:rFonts w:ascii="Times New Roman" w:hAnsi="Times New Roman"/>
          <w:sz w:val="24"/>
          <w:szCs w:val="24"/>
          <w:lang w:val="uk-UA" w:eastAsia="ru-RU"/>
        </w:rPr>
        <w:t>.</w:t>
      </w:r>
    </w:p>
    <w:p w14:paraId="1084707C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i/>
          <w:sz w:val="24"/>
          <w:szCs w:val="24"/>
          <w:lang w:val="uk-UA"/>
        </w:rPr>
        <w:t>Розлади з боку імунної системи: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алергічні реакції, включаючи 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алергічні реакції негайного типу; анафілактичні реакції; набряк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Квінке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ериматозний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висип;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макулопапульозний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висип, кропив’янка.</w:t>
      </w:r>
    </w:p>
    <w:p w14:paraId="43DC0C4E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uk-UA"/>
        </w:rPr>
      </w:pPr>
      <w:r>
        <w:rPr>
          <w:rFonts w:ascii="Times New Roman" w:hAnsi="Times New Roman"/>
          <w:i/>
          <w:sz w:val="24"/>
          <w:szCs w:val="24"/>
          <w:lang w:val="uk-UA"/>
        </w:rPr>
        <w:t>Розлади з боку нервової системи: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головний біль, запаморочення, астенія (слабкість), парестезії, </w:t>
      </w:r>
      <w:r>
        <w:rPr>
          <w:rFonts w:ascii="Times New Roman" w:hAnsi="Times New Roman"/>
          <w:sz w:val="24"/>
          <w:szCs w:val="24"/>
          <w:lang w:val="uk-UA"/>
        </w:rPr>
        <w:t>енцефалопатія.</w:t>
      </w:r>
      <w:r>
        <w:rPr>
          <w:rFonts w:ascii="Times New Roman" w:hAnsi="Times New Roman"/>
          <w:bCs/>
          <w:i/>
          <w:sz w:val="24"/>
          <w:szCs w:val="24"/>
          <w:lang w:val="uk-UA"/>
        </w:rPr>
        <w:t xml:space="preserve"> </w:t>
      </w:r>
    </w:p>
    <w:p w14:paraId="6BD0DC35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uk-UA"/>
        </w:rPr>
      </w:pPr>
      <w:r>
        <w:rPr>
          <w:rFonts w:ascii="Times New Roman" w:hAnsi="Times New Roman"/>
          <w:i/>
          <w:sz w:val="24"/>
          <w:szCs w:val="24"/>
          <w:lang w:val="uk-UA"/>
        </w:rPr>
        <w:t>Розлади з боку органів зору</w:t>
      </w:r>
      <w:r>
        <w:rPr>
          <w:rFonts w:ascii="Times New Roman" w:hAnsi="Times New Roman"/>
          <w:bCs/>
          <w:i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порушення зору.</w:t>
      </w:r>
    </w:p>
    <w:p w14:paraId="469CCF38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sz w:val="24"/>
          <w:szCs w:val="24"/>
          <w:lang w:val="uk-UA"/>
        </w:rPr>
        <w:t xml:space="preserve">Розлади з боку </w:t>
      </w:r>
      <w:proofErr w:type="spellStart"/>
      <w:r>
        <w:rPr>
          <w:rFonts w:ascii="Times New Roman" w:hAnsi="Times New Roman"/>
          <w:bCs/>
          <w:i/>
          <w:sz w:val="24"/>
          <w:szCs w:val="24"/>
          <w:lang w:val="uk-UA"/>
        </w:rPr>
        <w:t>скелетно</w:t>
      </w:r>
      <w:proofErr w:type="spellEnd"/>
      <w:r>
        <w:rPr>
          <w:rFonts w:ascii="Times New Roman" w:hAnsi="Times New Roman"/>
          <w:bCs/>
          <w:i/>
          <w:sz w:val="24"/>
          <w:szCs w:val="24"/>
          <w:lang w:val="uk-UA"/>
        </w:rPr>
        <w:t>-м'язової системи та сполучної тканини:</w:t>
      </w:r>
      <w:r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тремтіння в кінцівках, артралгія,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міалгія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, м’язова слабкість.</w:t>
      </w:r>
    </w:p>
    <w:p w14:paraId="08C67BD4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bCs/>
          <w:i/>
          <w:sz w:val="24"/>
          <w:szCs w:val="24"/>
          <w:lang w:val="uk-UA"/>
        </w:rPr>
        <w:t>Системні розлади</w:t>
      </w:r>
      <w:r>
        <w:rPr>
          <w:rFonts w:ascii="Times New Roman" w:hAnsi="Times New Roman"/>
          <w:i/>
          <w:sz w:val="24"/>
          <w:szCs w:val="24"/>
          <w:lang w:val="uk-UA" w:eastAsia="ru-RU"/>
        </w:rPr>
        <w:t>: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нездужання, помірне підвищення температури тіла, озноб, задишка.</w:t>
      </w:r>
    </w:p>
    <w:p w14:paraId="41891762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bCs/>
          <w:i/>
          <w:sz w:val="24"/>
          <w:szCs w:val="24"/>
          <w:lang w:val="uk-UA"/>
        </w:rPr>
        <w:t>Реакції у місці ін’єкції: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біль, почервоніння, набряк, свербіж та ущільнення в місці введення ін’єкції. </w:t>
      </w:r>
    </w:p>
    <w:p w14:paraId="4352DA40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u w:val="single"/>
          <w:lang w:val="uk-UA" w:eastAsia="ru-RU"/>
        </w:rPr>
        <w:t>Після введення</w:t>
      </w:r>
      <w:r>
        <w:rPr>
          <w:rFonts w:ascii="Times New Roman" w:eastAsia="Arial" w:hAnsi="Times New Roman"/>
          <w:sz w:val="24"/>
          <w:szCs w:val="24"/>
          <w:u w:val="single"/>
          <w:lang w:val="uk-UA" w:eastAsia="ru-RU"/>
        </w:rPr>
        <w:t xml:space="preserve"> кінського </w:t>
      </w:r>
      <w:proofErr w:type="spellStart"/>
      <w:r>
        <w:rPr>
          <w:rFonts w:ascii="Times New Roman" w:eastAsia="Arial" w:hAnsi="Times New Roman"/>
          <w:sz w:val="24"/>
          <w:szCs w:val="24"/>
          <w:u w:val="single"/>
          <w:lang w:val="uk-UA" w:eastAsia="ru-RU"/>
        </w:rPr>
        <w:t>антирабічного</w:t>
      </w:r>
      <w:proofErr w:type="spellEnd"/>
      <w:r>
        <w:rPr>
          <w:rFonts w:ascii="Times New Roman" w:eastAsia="Arial" w:hAnsi="Times New Roman"/>
          <w:sz w:val="24"/>
          <w:szCs w:val="24"/>
          <w:u w:val="single"/>
          <w:lang w:val="uk-UA" w:eastAsia="ru-RU"/>
        </w:rPr>
        <w:t xml:space="preserve"> імуноглобуліну (</w:t>
      </w:r>
      <w:r>
        <w:rPr>
          <w:rFonts w:ascii="Times New Roman" w:eastAsia="Arial" w:hAnsi="Times New Roman"/>
          <w:i/>
          <w:sz w:val="24"/>
          <w:szCs w:val="24"/>
          <w:u w:val="single"/>
          <w:lang w:val="uk-UA" w:eastAsia="ru-RU"/>
        </w:rPr>
        <w:t>ERIG</w:t>
      </w:r>
      <w:r>
        <w:rPr>
          <w:rFonts w:ascii="Times New Roman" w:eastAsia="Arial" w:hAnsi="Times New Roman"/>
          <w:sz w:val="24"/>
          <w:szCs w:val="24"/>
          <w:u w:val="single"/>
          <w:lang w:val="uk-UA" w:eastAsia="ru-RU"/>
        </w:rPr>
        <w:t>)</w:t>
      </w:r>
      <w:r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можуть спостерігатися: анафілактичний шок, місцеві алергічні реакції (проявляються на 1–2 день після введення); сироваткова хвороба (проявляється частіше на 6–8 добу після введення).</w:t>
      </w:r>
    </w:p>
    <w:p w14:paraId="5C8BA64F" w14:textId="77777777" w:rsidR="003447E9" w:rsidRDefault="003447E9" w:rsidP="003447E9">
      <w:pPr>
        <w:widowControl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uk-UA" w:eastAsia="ru-RU"/>
        </w:rPr>
      </w:pPr>
      <w:r>
        <w:rPr>
          <w:rFonts w:ascii="Times New Roman" w:hAnsi="Times New Roman"/>
          <w:b/>
          <w:i/>
          <w:sz w:val="24"/>
          <w:szCs w:val="24"/>
          <w:lang w:val="uk-UA" w:eastAsia="ru-RU"/>
        </w:rPr>
        <w:t>Прохання до вакцинованих</w:t>
      </w:r>
      <w:bookmarkStart w:id="2" w:name="bookmark7"/>
      <w:r>
        <w:rPr>
          <w:rFonts w:ascii="Times New Roman" w:hAnsi="Times New Roman"/>
          <w:b/>
          <w:i/>
          <w:sz w:val="24"/>
          <w:szCs w:val="24"/>
          <w:lang w:val="uk-UA" w:eastAsia="ru-RU"/>
        </w:rPr>
        <w:t>! Повідомляйте свого лікаря про будь-які порушення стану здоров’я.</w:t>
      </w:r>
      <w:bookmarkEnd w:id="2"/>
    </w:p>
    <w:p w14:paraId="74781577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Медичним працівникам необхідно повідомляти про випадки будь-яких побічних реакцій за допомогою системи повідомлень про побічні реакції в Україні.  </w:t>
      </w:r>
    </w:p>
    <w:p w14:paraId="3DDC5E3B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17DBC5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bookmark8"/>
      <w:r>
        <w:rPr>
          <w:rFonts w:ascii="Times New Roman" w:hAnsi="Times New Roman"/>
          <w:b/>
          <w:bCs/>
          <w:i/>
          <w:sz w:val="24"/>
          <w:szCs w:val="24"/>
          <w:lang w:val="uk-UA"/>
        </w:rPr>
        <w:t>Термін придатності</w:t>
      </w:r>
      <w:bookmarkEnd w:id="3"/>
      <w:r>
        <w:rPr>
          <w:rFonts w:ascii="Times New Roman" w:hAnsi="Times New Roman"/>
          <w:b/>
          <w:bCs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056E258" w14:textId="77777777" w:rsidR="003447E9" w:rsidRDefault="003447E9" w:rsidP="003447E9">
      <w:pPr>
        <w:spacing w:after="0" w:line="240" w:lineRule="auto"/>
        <w:rPr>
          <w:rFonts w:ascii="Times New Roman" w:hAnsi="Times New Roman"/>
          <w:sz w:val="24"/>
          <w:szCs w:val="24"/>
          <w:shd w:val="clear" w:color="auto" w:fill="FFFFFF"/>
          <w:lang w:val="uk-UA"/>
        </w:rPr>
      </w:pPr>
      <w:r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Термін придатності вакцини у комплекті з розчинником – 3 роки.</w:t>
      </w:r>
    </w:p>
    <w:p w14:paraId="70361246" w14:textId="77777777" w:rsidR="003447E9" w:rsidRDefault="003447E9" w:rsidP="003447E9">
      <w:pPr>
        <w:spacing w:after="0" w:line="240" w:lineRule="auto"/>
        <w:jc w:val="both"/>
        <w:rPr>
          <w:rFonts w:ascii="Times New Roman" w:eastAsia="Times New Roman" w:hAnsi="Times New Roman"/>
          <w:iCs/>
          <w:sz w:val="24"/>
          <w:szCs w:val="24"/>
          <w:lang w:val="uk-UA"/>
        </w:rPr>
      </w:pPr>
      <w:r>
        <w:rPr>
          <w:rFonts w:ascii="Times New Roman" w:eastAsia="Times New Roman" w:hAnsi="Times New Roman"/>
          <w:iCs/>
          <w:sz w:val="24"/>
          <w:szCs w:val="24"/>
          <w:lang w:val="uk-UA"/>
        </w:rPr>
        <w:t>Відновлену вакцину ІНДІРАБ слід зберігати при температурі від +2 до +8 °С та слід використати протягом 6-8 годин після відновлення.</w:t>
      </w:r>
    </w:p>
    <w:p w14:paraId="6567EC22" w14:textId="77777777" w:rsidR="003447E9" w:rsidRDefault="003447E9" w:rsidP="003447E9">
      <w:pPr>
        <w:spacing w:after="0" w:line="240" w:lineRule="auto"/>
        <w:rPr>
          <w:rFonts w:ascii="Times New Roman" w:hAnsi="Times New Roman"/>
          <w:sz w:val="24"/>
          <w:szCs w:val="24"/>
          <w:shd w:val="clear" w:color="auto" w:fill="FFFFFF"/>
          <w:lang w:val="uk-UA"/>
        </w:rPr>
      </w:pPr>
    </w:p>
    <w:p w14:paraId="5EDAB2FC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b/>
          <w:bCs/>
          <w:sz w:val="24"/>
          <w:szCs w:val="24"/>
          <w:shd w:val="clear" w:color="auto" w:fill="FFFFFF"/>
          <w:lang w:val="uk-UA" w:eastAsia="x-none"/>
        </w:rPr>
        <w:lastRenderedPageBreak/>
        <w:t>Умови зберігання.</w:t>
      </w:r>
    </w:p>
    <w:p w14:paraId="07115733" w14:textId="77777777" w:rsidR="003447E9" w:rsidRDefault="003447E9" w:rsidP="003447E9">
      <w:pPr>
        <w:tabs>
          <w:tab w:val="left" w:pos="474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Зберігати в захищеному від світла місці при температурі від </w:t>
      </w:r>
      <w:r>
        <w:rPr>
          <w:rFonts w:ascii="Times New Roman" w:eastAsia="Times New Roman" w:hAnsi="Times New Roman"/>
          <w:sz w:val="24"/>
          <w:szCs w:val="24"/>
          <w:lang w:val="uk-UA" w:eastAsia="x-none"/>
        </w:rPr>
        <w:t>+2 до +8 °С</w:t>
      </w:r>
      <w:r>
        <w:rPr>
          <w:rFonts w:ascii="Times New Roman" w:hAnsi="Times New Roman"/>
          <w:sz w:val="24"/>
          <w:szCs w:val="24"/>
          <w:lang w:val="uk-UA" w:eastAsia="x-none"/>
        </w:rPr>
        <w:t xml:space="preserve">. </w:t>
      </w:r>
    </w:p>
    <w:p w14:paraId="3F4AF759" w14:textId="77777777" w:rsidR="003447E9" w:rsidRDefault="003447E9" w:rsidP="003447E9">
      <w:pPr>
        <w:tabs>
          <w:tab w:val="left" w:pos="474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Зберігати в недоступному для дітей місці.</w:t>
      </w:r>
    </w:p>
    <w:p w14:paraId="39FFF789" w14:textId="77777777" w:rsidR="003447E9" w:rsidRDefault="003447E9" w:rsidP="003447E9">
      <w:pPr>
        <w:tabs>
          <w:tab w:val="left" w:pos="474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Не заморожувати!</w:t>
      </w:r>
    </w:p>
    <w:p w14:paraId="2BC81352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599EE62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uk-UA" w:eastAsia="ru-RU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uk-UA" w:eastAsia="ru-RU"/>
        </w:rPr>
        <w:t>Несумісність.</w:t>
      </w:r>
    </w:p>
    <w:p w14:paraId="6D5AE4EA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Вакцину ІНДІРАБ забороняється змішувати з іншими лікарськими засобами.</w:t>
      </w:r>
    </w:p>
    <w:p w14:paraId="530CD181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proofErr w:type="spellStart"/>
      <w:r>
        <w:rPr>
          <w:rFonts w:ascii="Times New Roman" w:hAnsi="Times New Roman"/>
          <w:sz w:val="24"/>
          <w:szCs w:val="24"/>
          <w:lang w:val="uk-UA"/>
        </w:rPr>
        <w:t>Антирабічний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імуноглобулін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та вакцину ІНДІРАБ не можна змішувати в одному шприці та не можна вводити в одну й ту саму ділянку тіла. 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Вакцину слід вводити в ділянку тіла, протилежну від місця введення </w:t>
      </w:r>
      <w:proofErr w:type="spellStart"/>
      <w:r>
        <w:rPr>
          <w:rFonts w:ascii="Times New Roman" w:hAnsi="Times New Roman"/>
          <w:bCs/>
          <w:sz w:val="24"/>
          <w:szCs w:val="24"/>
          <w:lang w:val="uk-UA"/>
        </w:rPr>
        <w:t>антирабічного</w:t>
      </w:r>
      <w:proofErr w:type="spellEnd"/>
      <w:r>
        <w:rPr>
          <w:rFonts w:ascii="Times New Roman" w:hAnsi="Times New Roman"/>
          <w:bCs/>
          <w:sz w:val="24"/>
          <w:szCs w:val="24"/>
          <w:lang w:val="uk-UA"/>
        </w:rPr>
        <w:t xml:space="preserve"> імуноглобуліну.</w:t>
      </w:r>
    </w:p>
    <w:p w14:paraId="2DCE1C4E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shd w:val="clear" w:color="auto" w:fill="FFFFFF"/>
          <w:lang w:val="uk-UA" w:eastAsia="x-none"/>
        </w:rPr>
      </w:pPr>
    </w:p>
    <w:p w14:paraId="57209907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shd w:val="clear" w:color="auto" w:fill="FFFFFF"/>
          <w:lang w:val="uk-UA" w:eastAsia="x-none"/>
        </w:rPr>
      </w:pPr>
      <w:r>
        <w:rPr>
          <w:rFonts w:ascii="Times New Roman" w:hAnsi="Times New Roman"/>
          <w:b/>
          <w:bCs/>
          <w:sz w:val="24"/>
          <w:szCs w:val="24"/>
          <w:shd w:val="clear" w:color="auto" w:fill="FFFFFF"/>
          <w:lang w:val="uk-UA" w:eastAsia="x-none"/>
        </w:rPr>
        <w:t>Упаковка.</w:t>
      </w:r>
    </w:p>
    <w:p w14:paraId="189B8054" w14:textId="77777777" w:rsidR="003447E9" w:rsidRDefault="003447E9" w:rsidP="003447E9">
      <w:pPr>
        <w:spacing w:after="0" w:line="240" w:lineRule="auto"/>
        <w:jc w:val="both"/>
        <w:rPr>
          <w:rFonts w:eastAsia="Arial Unicode MS"/>
          <w:lang w:val="uk-UA"/>
        </w:rPr>
      </w:pPr>
      <w:proofErr w:type="spellStart"/>
      <w:r>
        <w:rPr>
          <w:rFonts w:ascii="Times New Roman" w:eastAsia="Arial Unicode MS" w:hAnsi="Times New Roman"/>
          <w:sz w:val="24"/>
          <w:szCs w:val="24"/>
          <w:lang w:val="uk-UA"/>
        </w:rPr>
        <w:t>Ліофілізований</w:t>
      </w:r>
      <w:proofErr w:type="spellEnd"/>
      <w:r>
        <w:rPr>
          <w:rFonts w:ascii="Times New Roman" w:eastAsia="Arial Unicode MS" w:hAnsi="Times New Roman"/>
          <w:sz w:val="24"/>
          <w:szCs w:val="24"/>
          <w:lang w:val="uk-UA"/>
        </w:rPr>
        <w:t xml:space="preserve"> порошок –  не менше 2,5 МО/доза – у флаконах скляних типу 1</w:t>
      </w:r>
      <w:r>
        <w:rPr>
          <w:rFonts w:ascii="Times New Roman" w:eastAsia="Arial Unicode MS" w:hAnsi="Times New Roman"/>
          <w:sz w:val="24"/>
          <w:szCs w:val="24"/>
          <w:lang w:val="uk-UA" w:eastAsia="ru-RU"/>
        </w:rPr>
        <w:t xml:space="preserve"> (</w:t>
      </w:r>
      <w:r>
        <w:rPr>
          <w:rFonts w:ascii="Times New Roman" w:eastAsia="Arial Unicode MS" w:hAnsi="Times New Roman"/>
          <w:sz w:val="24"/>
          <w:szCs w:val="24"/>
          <w:lang w:val="uk-UA"/>
        </w:rPr>
        <w:t xml:space="preserve">USP) ємністю </w:t>
      </w:r>
    </w:p>
    <w:p w14:paraId="2096E7BD" w14:textId="77777777" w:rsidR="003447E9" w:rsidRDefault="003447E9" w:rsidP="003447E9">
      <w:pPr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val="uk-UA"/>
        </w:rPr>
      </w:pPr>
      <w:r>
        <w:rPr>
          <w:rFonts w:ascii="Times New Roman" w:eastAsia="Arial Unicode MS" w:hAnsi="Times New Roman"/>
          <w:sz w:val="24"/>
          <w:szCs w:val="24"/>
          <w:lang w:val="uk-UA"/>
        </w:rPr>
        <w:t xml:space="preserve">2 мл, закритих пробками з </w:t>
      </w:r>
      <w:proofErr w:type="spellStart"/>
      <w:r>
        <w:rPr>
          <w:rFonts w:ascii="Times New Roman" w:eastAsia="Arial Unicode MS" w:hAnsi="Times New Roman"/>
          <w:sz w:val="24"/>
          <w:szCs w:val="24"/>
          <w:lang w:val="uk-UA"/>
        </w:rPr>
        <w:t>бромбутилкаучуку</w:t>
      </w:r>
      <w:proofErr w:type="spellEnd"/>
      <w:r>
        <w:rPr>
          <w:rFonts w:ascii="Times New Roman" w:eastAsia="Arial Unicode MS" w:hAnsi="Times New Roman"/>
          <w:sz w:val="24"/>
          <w:szCs w:val="24"/>
          <w:lang w:val="uk-UA"/>
        </w:rPr>
        <w:t xml:space="preserve"> і кришками. Розчинник – по 0,5 мл – в ампулах скляних типу 1</w:t>
      </w:r>
      <w:r>
        <w:rPr>
          <w:rFonts w:ascii="Times New Roman" w:eastAsia="Arial Unicode MS" w:hAnsi="Times New Roman"/>
          <w:sz w:val="24"/>
          <w:szCs w:val="24"/>
          <w:lang w:val="uk-UA" w:eastAsia="ru-RU"/>
        </w:rPr>
        <w:t xml:space="preserve"> (</w:t>
      </w:r>
      <w:r>
        <w:rPr>
          <w:rFonts w:ascii="Times New Roman" w:eastAsia="Arial Unicode MS" w:hAnsi="Times New Roman"/>
          <w:sz w:val="24"/>
          <w:szCs w:val="24"/>
          <w:lang w:val="uk-UA"/>
        </w:rPr>
        <w:t xml:space="preserve">USP) </w:t>
      </w:r>
      <w:r>
        <w:rPr>
          <w:rFonts w:ascii="Times New Roman" w:eastAsia="Arial Unicode MS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Arial Unicode MS" w:hAnsi="Times New Roman"/>
          <w:sz w:val="24"/>
          <w:szCs w:val="24"/>
          <w:lang w:val="uk-UA"/>
        </w:rPr>
        <w:t xml:space="preserve">ємністю 1 мл. </w:t>
      </w:r>
    </w:p>
    <w:p w14:paraId="5845139A" w14:textId="77777777" w:rsidR="003447E9" w:rsidRDefault="003447E9" w:rsidP="003447E9">
      <w:pPr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val="uk-UA"/>
        </w:rPr>
      </w:pPr>
      <w:r>
        <w:rPr>
          <w:rFonts w:ascii="Times New Roman" w:eastAsia="Arial Unicode MS" w:hAnsi="Times New Roman"/>
          <w:sz w:val="24"/>
          <w:szCs w:val="24"/>
          <w:lang w:val="uk-UA"/>
        </w:rPr>
        <w:t xml:space="preserve">1 флакон з </w:t>
      </w:r>
      <w:proofErr w:type="spellStart"/>
      <w:r>
        <w:rPr>
          <w:rFonts w:ascii="Times New Roman" w:eastAsia="Arial Unicode MS" w:hAnsi="Times New Roman"/>
          <w:sz w:val="24"/>
          <w:szCs w:val="24"/>
          <w:lang w:val="uk-UA"/>
        </w:rPr>
        <w:t>ліофілізованим</w:t>
      </w:r>
      <w:proofErr w:type="spellEnd"/>
      <w:r>
        <w:rPr>
          <w:rFonts w:ascii="Times New Roman" w:eastAsia="Arial Unicode MS" w:hAnsi="Times New Roman"/>
          <w:sz w:val="24"/>
          <w:szCs w:val="24"/>
          <w:lang w:val="uk-UA"/>
        </w:rPr>
        <w:t xml:space="preserve"> порошком та 1 ампула з розчинником  в пластиковому пеналі. </w:t>
      </w:r>
    </w:p>
    <w:p w14:paraId="6D0DE1E5" w14:textId="77777777" w:rsidR="003447E9" w:rsidRDefault="003447E9" w:rsidP="003447E9">
      <w:pPr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val="uk-UA"/>
        </w:rPr>
      </w:pPr>
      <w:r>
        <w:rPr>
          <w:rFonts w:ascii="Times New Roman" w:eastAsia="Arial Unicode MS" w:hAnsi="Times New Roman"/>
          <w:sz w:val="24"/>
          <w:szCs w:val="24"/>
          <w:lang w:val="uk-UA"/>
        </w:rPr>
        <w:t>1 або 10 пластикових пеналів у картонній коробці.</w:t>
      </w:r>
    </w:p>
    <w:p w14:paraId="489FFE0F" w14:textId="77777777" w:rsidR="003447E9" w:rsidRDefault="003447E9" w:rsidP="003447E9">
      <w:pPr>
        <w:tabs>
          <w:tab w:val="left" w:pos="935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uk-UA" w:eastAsia="x-none"/>
        </w:rPr>
      </w:pPr>
    </w:p>
    <w:p w14:paraId="3CE266A2" w14:textId="77777777" w:rsidR="003447E9" w:rsidRDefault="003447E9" w:rsidP="003447E9">
      <w:pPr>
        <w:tabs>
          <w:tab w:val="left" w:pos="935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uk-UA" w:eastAsia="x-none"/>
        </w:rPr>
      </w:pPr>
      <w:r>
        <w:rPr>
          <w:rFonts w:ascii="Times New Roman" w:hAnsi="Times New Roman"/>
          <w:b/>
          <w:sz w:val="24"/>
          <w:szCs w:val="24"/>
          <w:lang w:val="uk-UA" w:eastAsia="x-none"/>
        </w:rPr>
        <w:t xml:space="preserve">Категорія відпуску. </w:t>
      </w:r>
    </w:p>
    <w:p w14:paraId="54881EE1" w14:textId="77777777" w:rsidR="003447E9" w:rsidRDefault="003447E9" w:rsidP="003447E9">
      <w:pPr>
        <w:tabs>
          <w:tab w:val="left" w:pos="935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>За рецептом.</w:t>
      </w:r>
    </w:p>
    <w:p w14:paraId="05158944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b/>
          <w:bCs/>
          <w:sz w:val="24"/>
          <w:szCs w:val="24"/>
          <w:lang w:val="uk-UA" w:eastAsia="ru-RU"/>
        </w:rPr>
      </w:pPr>
    </w:p>
    <w:p w14:paraId="263F9BEB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b/>
          <w:bCs/>
          <w:sz w:val="24"/>
          <w:szCs w:val="24"/>
          <w:lang w:val="uk-UA" w:eastAsia="ru-RU"/>
        </w:rPr>
      </w:pPr>
      <w:r>
        <w:rPr>
          <w:rFonts w:ascii="Times New Roman" w:hAnsi="Times New Roman"/>
          <w:b/>
          <w:bCs/>
          <w:sz w:val="24"/>
          <w:szCs w:val="24"/>
          <w:lang w:val="uk-UA" w:eastAsia="ru-RU"/>
        </w:rPr>
        <w:t xml:space="preserve">Виробник. </w:t>
      </w:r>
    </w:p>
    <w:p w14:paraId="714D5245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b/>
          <w:bCs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ТОВ «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Фарма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Лайф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» (пакування із форми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in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bulk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фірми-виробника Бхарат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Біотек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Інтернешнл Лімітед, Індія), Україна.</w:t>
      </w:r>
    </w:p>
    <w:p w14:paraId="3E5A2158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b/>
          <w:bCs/>
          <w:sz w:val="24"/>
          <w:szCs w:val="24"/>
          <w:lang w:val="uk-UA" w:eastAsia="ru-RU"/>
        </w:rPr>
      </w:pPr>
    </w:p>
    <w:p w14:paraId="22BE059C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b/>
          <w:bCs/>
          <w:sz w:val="24"/>
          <w:szCs w:val="24"/>
          <w:lang w:val="uk-UA" w:eastAsia="ru-RU"/>
        </w:rPr>
      </w:pPr>
      <w:r>
        <w:rPr>
          <w:rFonts w:ascii="Times New Roman" w:hAnsi="Times New Roman"/>
          <w:b/>
          <w:bCs/>
          <w:sz w:val="24"/>
          <w:szCs w:val="24"/>
          <w:lang w:val="uk-UA" w:eastAsia="ru-RU"/>
        </w:rPr>
        <w:t xml:space="preserve">Заявник. </w:t>
      </w:r>
    </w:p>
    <w:p w14:paraId="6EEA06F0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b/>
          <w:bCs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ТОВ «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Фарма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 w:eastAsia="ru-RU"/>
        </w:rPr>
        <w:t>Лайф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», Україна.</w:t>
      </w:r>
    </w:p>
    <w:p w14:paraId="23191A27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b/>
          <w:bCs/>
          <w:sz w:val="24"/>
          <w:szCs w:val="24"/>
          <w:lang w:val="uk-UA" w:eastAsia="ru-RU"/>
        </w:rPr>
      </w:pPr>
    </w:p>
    <w:p w14:paraId="150D127A" w14:textId="77777777" w:rsidR="003447E9" w:rsidRDefault="003447E9" w:rsidP="003447E9">
      <w:pPr>
        <w:spacing w:after="0" w:line="254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b/>
          <w:bCs/>
          <w:sz w:val="24"/>
          <w:szCs w:val="24"/>
          <w:lang w:val="uk-UA" w:eastAsia="ru-RU"/>
        </w:rPr>
        <w:t>Місцезнаходження виробника/заявника та адреса місця провадження його діяльності.</w:t>
      </w:r>
    </w:p>
    <w:p w14:paraId="318A90A9" w14:textId="77777777" w:rsidR="003447E9" w:rsidRDefault="003447E9" w:rsidP="003447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x-none"/>
        </w:rPr>
      </w:pPr>
      <w:r>
        <w:rPr>
          <w:rFonts w:ascii="Times New Roman" w:hAnsi="Times New Roman"/>
          <w:sz w:val="24"/>
          <w:szCs w:val="24"/>
          <w:lang w:val="uk-UA" w:eastAsia="x-none"/>
        </w:rPr>
        <w:t xml:space="preserve">Україна, 79040, м. Львів, вул. Д. Апостола, 2, </w:t>
      </w:r>
      <w:proofErr w:type="spellStart"/>
      <w:r>
        <w:rPr>
          <w:rFonts w:ascii="Times New Roman" w:hAnsi="Times New Roman"/>
          <w:sz w:val="24"/>
          <w:szCs w:val="24"/>
          <w:lang w:val="uk-UA" w:eastAsia="x-none"/>
        </w:rPr>
        <w:t>тел</w:t>
      </w:r>
      <w:proofErr w:type="spellEnd"/>
      <w:r>
        <w:rPr>
          <w:rFonts w:ascii="Times New Roman" w:hAnsi="Times New Roman"/>
          <w:sz w:val="24"/>
          <w:szCs w:val="24"/>
          <w:lang w:val="uk-UA" w:eastAsia="x-none"/>
        </w:rPr>
        <w:t>. (032) 297 16 88.</w:t>
      </w:r>
    </w:p>
    <w:p w14:paraId="632D1E8C" w14:textId="77777777" w:rsidR="006251F3" w:rsidRDefault="006251F3"/>
    <w:sectPr w:rsidR="006251F3" w:rsidSect="003447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93864"/>
    <w:multiLevelType w:val="multilevel"/>
    <w:tmpl w:val="4210EC0A"/>
    <w:lvl w:ilvl="0">
      <w:numFmt w:val="decimal"/>
      <w:lvlText w:val="-"/>
      <w:lvlJc w:val="left"/>
      <w:pPr>
        <w:ind w:left="0" w:firstLine="0"/>
      </w:pPr>
      <w:rPr>
        <w:rFonts w:ascii="Times New Roman" w:hAnsi="Times New Roman"/>
        <w:b w:val="0"/>
        <w:i w:val="0"/>
        <w:smallCaps w:val="0"/>
        <w:strike w:val="0"/>
        <w:dstrike w:val="0"/>
        <w:color w:val="000000"/>
        <w:spacing w:val="0"/>
        <w:w w:val="100"/>
        <w:position w:val="0"/>
        <w:sz w:val="26"/>
        <w:u w:val="none"/>
        <w:effect w:val="no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</w:rPr>
    </w:lvl>
    <w:lvl w:ilvl="2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</w:rPr>
    </w:lvl>
    <w:lvl w:ilvl="3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</w:rPr>
    </w:lvl>
    <w:lvl w:ilvl="4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</w:rPr>
    </w:lvl>
    <w:lvl w:ilvl="5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</w:rPr>
    </w:lvl>
    <w:lvl w:ilvl="6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</w:rPr>
    </w:lvl>
    <w:lvl w:ilvl="7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</w:rPr>
    </w:lvl>
    <w:lvl w:ilvl="8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</w:rPr>
    </w:lvl>
  </w:abstractNum>
  <w:num w:numId="1" w16cid:durableId="123254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9D"/>
    <w:rsid w:val="00126353"/>
    <w:rsid w:val="003447E9"/>
    <w:rsid w:val="006251F3"/>
    <w:rsid w:val="00F9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AF4D19-2008-4DEA-AE05-971C251F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7E9"/>
    <w:pPr>
      <w:spacing w:line="256" w:lineRule="auto"/>
    </w:pPr>
    <w:rPr>
      <w:rFonts w:ascii="Calibri" w:eastAsia="Calibri" w:hAnsi="Calibri" w:cs="Times New Roman"/>
      <w:kern w:val="0"/>
      <w:lang w:val="ru-RU" w:eastAsia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Обычная таблица"/>
    <w:uiPriority w:val="99"/>
    <w:semiHidden/>
    <w:rsid w:val="003447E9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uk-UA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12556</Words>
  <Characters>7157</Characters>
  <Application>Microsoft Office Word</Application>
  <DocSecurity>0</DocSecurity>
  <Lines>59</Lines>
  <Paragraphs>39</Paragraphs>
  <ScaleCrop>false</ScaleCrop>
  <Company/>
  <LinksUpToDate>false</LinksUpToDate>
  <CharactersWithSpaces>19674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2</cp:revision>
  <dcterms:created xsi:type="dcterms:W3CDTF">2024-09-05T06:39:00Z</dcterms:created>
  <dcterms:modified xsi:type="dcterms:W3CDTF">2024-09-05T06:39:00Z</dcterms:modified>
</cp:coreProperties>
</file>