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58331FBC" w14:textId="7DD6D993" w:rsidR="000A6088" w:rsidRDefault="000A608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</w:t>
      </w:r>
      <w:r w:rsidR="00C13178">
        <w:rPr>
          <w:rFonts w:ascii="Times New Roman" w:hAnsi="Times New Roman" w:cs="Times New Roman"/>
          <w:lang w:val="uk-UA"/>
        </w:rPr>
        <w:t>3</w:t>
      </w:r>
    </w:p>
    <w:p w14:paraId="7BB624AC" w14:textId="77777777" w:rsidR="00C13178" w:rsidRPr="00AF0A4C" w:rsidRDefault="00C1317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відповідності до табеля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30372A64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3F869BEC" w14:textId="23CAD6E4" w:rsidR="00F50DDE" w:rsidRDefault="00F50DDE" w:rsidP="00F50DDE">
      <w:pPr>
        <w:pStyle w:val="a3"/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F50DDE">
        <w:rPr>
          <w:rFonts w:ascii="Times New Roman" w:hAnsi="Times New Roman" w:cs="Times New Roman"/>
          <w:sz w:val="28"/>
          <w:szCs w:val="28"/>
          <w:lang w:val="uk-UA"/>
        </w:rPr>
        <w:t xml:space="preserve">у випадку, якщо </w:t>
      </w:r>
      <w:r>
        <w:rPr>
          <w:rFonts w:ascii="Times New Roman" w:hAnsi="Times New Roman" w:cs="Times New Roman"/>
          <w:sz w:val="28"/>
          <w:szCs w:val="28"/>
          <w:lang w:val="uk-UA"/>
        </w:rPr>
        <w:t>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6A5D174F" w14:textId="3A574B8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06BFC189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20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3FD6F300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стан розрахунків із заробітної плати (в межах ПМГ) на момент звітування (% виплати заробітної плати за звітний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76E5F681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D7E8629" w14:textId="1C1A4D72" w:rsidR="00F50DDE" w:rsidRPr="005022A3" w:rsidRDefault="003028C1" w:rsidP="005022A3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 w:rsidRPr="00F50DDE">
        <w:rPr>
          <w:rFonts w:ascii="Times New Roman" w:hAnsi="Times New Roman" w:cs="Times New Roman"/>
          <w:b/>
          <w:sz w:val="28"/>
          <w:szCs w:val="28"/>
          <w:lang w:val="uk-UA"/>
        </w:rPr>
        <w:t>Коментар до показника к.13: у випадку, якщо співвідношення витрат на оплату праці (к.5) та нарахувань на заробітну плату (к.12) більше 26% або менше 18%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-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(показник, що розраховується в к.13)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більше 26% або менше 18%,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 к.23 необхідно надати відповідні пояснення щодо причин відхилення такого співвідношення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від нормативно-розрахункового значення 22%</w:t>
      </w:r>
    </w:p>
    <w:p w14:paraId="6FBE1664" w14:textId="6F8ED452" w:rsidR="003028C1" w:rsidRPr="00F50DDE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24.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дата вводиться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у форматі «</w:t>
      </w:r>
      <w:proofErr w:type="spellStart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дд.мм.</w:t>
      </w:r>
      <w:r w:rsidR="009A4266">
        <w:rPr>
          <w:rFonts w:ascii="Times New Roman" w:hAnsi="Times New Roman" w:cs="Times New Roman"/>
          <w:b/>
          <w:bCs/>
          <w:sz w:val="28"/>
          <w:szCs w:val="28"/>
          <w:lang w:val="uk-UA"/>
        </w:rPr>
        <w:t>рррр</w:t>
      </w:r>
      <w:proofErr w:type="spellEnd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тобто якщо необхідно ввести дату «15 листопада 2022 року», в клітинку необхідно ввести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15.11.2022.</w:t>
      </w:r>
    </w:p>
    <w:p w14:paraId="3574C93D" w14:textId="361E2E47" w:rsidR="003C2FD9" w:rsidRPr="00F50DDE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F50D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0893299">
    <w:abstractNumId w:val="0"/>
  </w:num>
  <w:num w:numId="2" w16cid:durableId="3165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022A3"/>
    <w:rsid w:val="0051296D"/>
    <w:rsid w:val="005855F8"/>
    <w:rsid w:val="00636361"/>
    <w:rsid w:val="00686798"/>
    <w:rsid w:val="007554CF"/>
    <w:rsid w:val="00796A05"/>
    <w:rsid w:val="007C6DD0"/>
    <w:rsid w:val="0089122A"/>
    <w:rsid w:val="008F66F2"/>
    <w:rsid w:val="00953CB8"/>
    <w:rsid w:val="009A4266"/>
    <w:rsid w:val="009B2A27"/>
    <w:rsid w:val="009E2EDB"/>
    <w:rsid w:val="009F503D"/>
    <w:rsid w:val="00A03881"/>
    <w:rsid w:val="00AD72CF"/>
    <w:rsid w:val="00BC4CA6"/>
    <w:rsid w:val="00C13178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  <w:rsid w:val="00F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5487</Words>
  <Characters>3129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Анастасія Левченко</cp:lastModifiedBy>
  <cp:revision>4</cp:revision>
  <dcterms:created xsi:type="dcterms:W3CDTF">2023-07-05T18:05:00Z</dcterms:created>
  <dcterms:modified xsi:type="dcterms:W3CDTF">2023-07-06T06:25:00Z</dcterms:modified>
</cp:coreProperties>
</file>