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0"/>
        <w:jc w:val="center"/>
        <w:rPr>
          <w:lang w:val="en-US"/>
        </w:rPr>
      </w:pPr>
    </w:p>
    <w:p>
      <w:pPr>
        <w:widowControl w:val="0"/>
        <w:jc w:val="center"/>
      </w:pPr>
      <w:r>
        <w:t>НАЦІОНАЛЬНА СЛУЖБА ЗДОРОВ’Я УКРАЇНИ</w:t>
      </w:r>
    </w:p>
    <w:p>
      <w:pPr>
        <w:widowControl w:val="0"/>
        <w:jc w:val="center"/>
      </w:pPr>
      <w:r>
        <w:t>(НСЗУ)</w:t>
      </w:r>
    </w:p>
    <w:p>
      <w:pPr>
        <w:widowControl w:val="0"/>
        <w:spacing w:after="120" w:beforeAutospacing="0" w:afterAutospacing="0"/>
        <w:jc w:val="center"/>
        <w:rPr>
          <w:sz w:val="22"/>
          <w:szCs w:val="22"/>
        </w:rPr>
      </w:pPr>
      <w:r>
        <w:rPr>
          <w:sz w:val="22"/>
          <w:szCs w:val="22"/>
        </w:rPr>
        <w:t>просп. Степана Бандери, 19, м. Київ, 04073, тел.: (044) 426-67-77, (044) 290-06-91</w:t>
      </w:r>
    </w:p>
    <w:p>
      <w:pPr>
        <w:widowControl w:val="0"/>
        <w:jc w:val="center"/>
        <w:rPr>
          <w:sz w:val="22"/>
          <w:szCs w:val="22"/>
        </w:rPr>
      </w:pPr>
      <w:r>
        <w:rPr>
          <w:sz w:val="22"/>
          <w:szCs w:val="22"/>
        </w:rPr>
        <w:t>E-mail: info@nszu.gov.ua, сайт: www.nszu.gov.ua, код згідно з ЄДРПОУ 42032422</w:t>
      </w:r>
    </w:p>
    <w:p>
      <w:pPr>
        <w:widowControl w:val="0"/>
        <w:jc w:val="center"/>
        <w:rPr>
          <w:sz w:val="20"/>
          <w:szCs w:val="20"/>
        </w:rPr>
      </w:pPr>
      <w:r>
        <w:rPr>
          <w:sz w:val="20"/>
          <w:szCs w:val="20"/>
        </w:rPr>
        <w:t>__________________________________________________________________________________________</w:t>
      </w:r>
    </w:p>
    <w:p>
      <w:pPr>
        <w:spacing w:before="120" w:beforeAutospacing="0" w:afterAutospacing="0"/>
        <w:rPr>
          <w:sz w:val="20"/>
          <w:szCs w:val="20"/>
        </w:rPr>
      </w:pPr>
      <w:r>
        <w:rPr>
          <w:sz w:val="20"/>
          <w:szCs w:val="20"/>
        </w:rPr>
        <w:t>від ___________ 20__ р. № __________________</w:t>
        <w:tab/>
        <w:tab/>
        <w:t xml:space="preserve">      На № ____________ від ___________ 20__ р.</w:t>
      </w: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right="259"/>
        <w:rPr>
          <w:b w:val="1"/>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left="5103" w:right="259"/>
        <w:rPr>
          <w:sz w:val="26"/>
          <w:szCs w:val="26"/>
        </w:rPr>
      </w:pPr>
      <w:r>
        <w:rPr>
          <w:sz w:val="26"/>
          <w:szCs w:val="26"/>
        </w:rPr>
        <w:t xml:space="preserve">Надавачам медичних послуг </w:t>
      </w: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left="5103" w:right="259"/>
        <w:rPr>
          <w:sz w:val="26"/>
          <w:szCs w:val="26"/>
        </w:rPr>
      </w:pPr>
      <w:r>
        <w:rPr>
          <w:sz w:val="26"/>
          <w:szCs w:val="26"/>
        </w:rPr>
        <w:t>за списком</w:t>
      </w: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right="101"/>
        <w:jc w:val="both"/>
        <w:rPr>
          <w:sz w:val="26"/>
          <w:szCs w:val="26"/>
        </w:rPr>
      </w:pPr>
    </w:p>
    <w:p>
      <w:pPr>
        <w:widowControl w:val="0"/>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right="5101"/>
        <w:jc w:val="both"/>
        <w:rPr>
          <w:sz w:val="26"/>
          <w:szCs w:val="26"/>
        </w:rPr>
      </w:pPr>
      <w:r>
        <w:rPr>
          <w:sz w:val="26"/>
          <w:szCs w:val="26"/>
        </w:rPr>
        <w:t>Роз</w:t>
      </w:r>
      <w:r>
        <w:rPr>
          <w:sz w:val="26"/>
          <w:szCs w:val="26"/>
          <w:lang w:val="en-US"/>
        </w:rPr>
        <w:t>’</w:t>
      </w:r>
      <w:r>
        <w:rPr>
          <w:sz w:val="26"/>
          <w:szCs w:val="26"/>
        </w:rPr>
        <w:t xml:space="preserve">яснення про </w:t>
      </w:r>
      <w:bookmarkStart w:id="0" w:name="_Hlk178259583"/>
      <w:r>
        <w:rPr>
          <w:sz w:val="26"/>
          <w:szCs w:val="26"/>
        </w:rPr>
        <w:t xml:space="preserve">проведення автоматичного моніторингу щодо кількості послуг наданих </w:t>
      </w:r>
      <w:bookmarkStart w:id="1" w:name="_Hlk178264601"/>
      <w:r>
        <w:rPr>
          <w:sz w:val="26"/>
          <w:szCs w:val="26"/>
        </w:rPr>
        <w:t xml:space="preserve">одним медичним працівником </w:t>
      </w:r>
      <w:bookmarkEnd w:id="1"/>
      <w:r>
        <w:rPr>
          <w:sz w:val="26"/>
          <w:szCs w:val="26"/>
        </w:rPr>
        <w:t xml:space="preserve">протягом одного дня в амбулаторних умовах за всіма пакетами медичних послуг </w:t>
      </w:r>
      <w:bookmarkEnd w:id="0"/>
    </w:p>
    <w:p>
      <w:pPr>
        <w:ind w:firstLine="567"/>
        <w:jc w:val="both"/>
        <w:rPr>
          <w:b w:val="1"/>
          <w:sz w:val="26"/>
          <w:szCs w:val="26"/>
        </w:rPr>
      </w:pPr>
    </w:p>
    <w:p>
      <w:pPr>
        <w:ind w:firstLine="567"/>
        <w:jc w:val="both"/>
        <w:rPr>
          <w:sz w:val="27"/>
          <w:szCs w:val="27"/>
        </w:rPr>
      </w:pPr>
      <w:r>
        <w:rPr>
          <w:sz w:val="27"/>
          <w:szCs w:val="27"/>
        </w:rPr>
        <w:t>Національна служба здоров’я України (далі – НСЗУ), як центральний орган виконавчої влади, який у своїй діяльності керується Конституцією та законами України, указами Президента України і постановами Верховної Ради України, прийнятими відповідно до Конституції та законів України, актами Кабінету Міністрів України, іншими актами законодавства, з метою належного виконання вимог Закону України «Про державні фінансові гарантії медичного обслуговування населення» (далі – Закон) та Положення про Національну службу здоров’я України, затвердженим постановою Кабінету Міністрів України від 27.12.2017 № 1101 (далі – Положення), повідомляє.</w:t>
      </w:r>
    </w:p>
    <w:p>
      <w:pPr>
        <w:ind w:firstLine="567"/>
        <w:jc w:val="both"/>
        <w:rPr>
          <w:sz w:val="27"/>
          <w:szCs w:val="27"/>
        </w:rPr>
      </w:pPr>
      <w:r>
        <w:rPr>
          <w:sz w:val="27"/>
          <w:szCs w:val="27"/>
        </w:rPr>
        <w:t>Статтею 19 Конституції України закріплено, що органи державної влади та органи місцевого самоврядування, їх посадові особи зобов’язані діяти лише на підставі, в межах повноважень та у спосіб, що передбачені Конституцією та законами України.</w:t>
      </w:r>
    </w:p>
    <w:p>
      <w:pPr>
        <w:ind w:firstLine="567" w:right="7"/>
        <w:jc w:val="both"/>
        <w:rPr>
          <w:color w:val="000000"/>
          <w:sz w:val="27"/>
          <w:szCs w:val="27"/>
          <w:highlight w:val="white"/>
        </w:rPr>
      </w:pPr>
      <w:r>
        <w:rPr>
          <w:color w:val="000000"/>
          <w:sz w:val="27"/>
          <w:szCs w:val="27"/>
          <w:highlight w:val="white"/>
        </w:rPr>
        <w:t>Згідно з підпунктами 4, 5 та 24⁴ пункту 4 Положення НСЗУ відповідно до покладених на неї завдань:</w:t>
      </w:r>
    </w:p>
    <w:p>
      <w:pPr>
        <w:tabs>
          <w:tab w:val="left" w:pos="567" w:leader="none"/>
        </w:tabs>
        <w:ind w:firstLine="567"/>
        <w:jc w:val="both"/>
        <w:rPr>
          <w:color w:val="000000"/>
          <w:sz w:val="27"/>
          <w:szCs w:val="27"/>
        </w:rPr>
      </w:pPr>
      <w:r>
        <w:rPr>
          <w:color w:val="000000"/>
          <w:sz w:val="27"/>
          <w:szCs w:val="27"/>
        </w:rPr>
        <w:t>укладає, змінює та припиняє договори про медичне обслуговування населення, відповідно до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25.04.2018 № 410;</w:t>
      </w:r>
    </w:p>
    <w:p>
      <w:pPr>
        <w:ind w:firstLine="567"/>
        <w:jc w:val="both"/>
        <w:rPr>
          <w:color w:val="000000"/>
          <w:sz w:val="27"/>
          <w:szCs w:val="27"/>
        </w:rPr>
      </w:pPr>
      <w:r>
        <w:rPr>
          <w:color w:val="000000"/>
          <w:sz w:val="27"/>
          <w:szCs w:val="27"/>
          <w:highlight w:val="white"/>
        </w:rPr>
        <w:t>здійснює заходи, що забезпечують цільове та ефективне використання коштів за програмою медичних гарантій, у тому числі заходи з перевірки дотримання надавачами медичних послуг вимог, установлених порядком використання коштів програми медичних гарантій, умов договорів про медичне обслуговування населення шляхом здійснення моніторингу у спосіб, передбачений у Типовій формі договору про медичне обслуговування населення за програмою медичних гарантій, затвердженій постановою Кабінету Міністрів України від 25 квітня 2018 р. № 410 «Про договори про медичне обслуговування населення за програмою медичних гарантій» (Офіційний вісник України, 2018 р., № 45, ст. 1570), а також моніторинг виконання договорів про реімбурсацію аптечними закладами;</w:t>
      </w:r>
    </w:p>
    <w:p>
      <w:pPr>
        <w:ind w:firstLine="567"/>
        <w:jc w:val="both"/>
        <w:rPr>
          <w:color w:val="000000"/>
          <w:sz w:val="27"/>
          <w:szCs w:val="27"/>
        </w:rPr>
      </w:pPr>
      <w:r>
        <w:rPr>
          <w:color w:val="000000"/>
          <w:sz w:val="27"/>
          <w:szCs w:val="27"/>
          <w:highlight w:val="white"/>
        </w:rPr>
        <w:t>збирає та обробляє аналітичні дані на підставі інформації, яка міститься в електронній системі охорони здоров’я (далі – Система).</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color w:val="000000"/>
          <w:sz w:val="27"/>
          <w:szCs w:val="27"/>
        </w:rPr>
      </w:pPr>
      <w:r>
        <w:rPr>
          <w:color w:val="000000"/>
          <w:sz w:val="27"/>
          <w:szCs w:val="27"/>
        </w:rPr>
        <w:t>Частиною першою статті 8 Закону визначено, що договір про медичне обслуговування населення за програмою медичних гарантій укладається між Уповноваженим органом (НСЗУ) та закладом охорони здоров’я незалежно від форми власності чи фізичною особою – підприємцем, яка в установленому законом порядку одержала ліцензію на провадження господарської діяльності з медичної практики, що відповідають встановленим Кабінетом Міністрів України вимогам до надавача медичних послуг за програмою медичних гарантій, та має відповідати умовам закупівлі, специфікаціям до медичних послуг, а також враховувати визначений у програмі медичних гарантій обсяг забезпечення медичними послугами відповідно до потреб у межах кожного госпітального округу.</w:t>
      </w:r>
    </w:p>
    <w:p>
      <w:pPr>
        <w:ind w:firstLine="567"/>
        <w:jc w:val="both"/>
        <w:rPr>
          <w:color w:val="000000"/>
          <w:sz w:val="27"/>
          <w:szCs w:val="27"/>
        </w:rPr>
      </w:pPr>
      <w:r>
        <w:rPr>
          <w:color w:val="000000"/>
          <w:sz w:val="27"/>
          <w:szCs w:val="27"/>
          <w:highlight w:val="white"/>
        </w:rPr>
        <w:t>Відповідно до пункту 5 договору про медичне обслуговування населення за програмою медичних гарантій (далі – Договір), укладеного між НСЗУ та вами, моніторинг – комплекс заходів, які здійснюються замовником, щодо збору та аналізу інформації стосовно виконання надавачем умов договору.</w:t>
      </w:r>
    </w:p>
    <w:p>
      <w:pPr>
        <w:ind w:firstLine="567"/>
        <w:jc w:val="both"/>
        <w:rPr>
          <w:color w:val="000000"/>
          <w:sz w:val="27"/>
          <w:szCs w:val="27"/>
        </w:rPr>
      </w:pPr>
      <w:r>
        <w:rPr>
          <w:color w:val="000000"/>
          <w:sz w:val="27"/>
          <w:szCs w:val="27"/>
          <w:highlight w:val="white"/>
        </w:rPr>
        <w:t>Відповідно до підпунктів 2, 10, 13 та 36 пункту 19 Договору, надавач медичних послуг зобов'язується:</w:t>
      </w:r>
    </w:p>
    <w:p>
      <w:pPr>
        <w:ind w:firstLine="567"/>
        <w:jc w:val="both"/>
        <w:rPr>
          <w:color w:val="000000"/>
          <w:sz w:val="27"/>
          <w:szCs w:val="27"/>
        </w:rPr>
      </w:pPr>
      <w:r>
        <w:rPr>
          <w:color w:val="000000"/>
          <w:sz w:val="27"/>
          <w:szCs w:val="27"/>
          <w:highlight w:val="white"/>
        </w:rPr>
        <w:t>відповідати вимогам до надавача послуг з медичного обслуговування населення, з яким головними розпорядниками бюджетних коштів укладаються договори про медичне обслуговування населення, у тому числі щодо доступності медичних послуг для осіб з інвалідністю та інших маломобільних груп населення відповідно до законодавства, умовам закупівлі;</w:t>
      </w:r>
    </w:p>
    <w:p>
      <w:pPr>
        <w:ind w:firstLine="567"/>
        <w:jc w:val="both"/>
        <w:rPr>
          <w:color w:val="000000"/>
          <w:sz w:val="27"/>
          <w:szCs w:val="27"/>
        </w:rPr>
      </w:pPr>
      <w:r>
        <w:rPr>
          <w:color w:val="000000"/>
          <w:sz w:val="27"/>
          <w:szCs w:val="27"/>
          <w:highlight w:val="white"/>
        </w:rPr>
        <w:t>забезпечувати надання медичних послуг згідно з цим договором насамперед пацієнтам, які були записані на прийом до лікаря або в чергу у визначений день</w:t>
      </w:r>
      <w:r>
        <w:rPr>
          <w:color w:val="000000"/>
          <w:sz w:val="27"/>
          <w:szCs w:val="27"/>
        </w:rPr>
        <w:t>;</w:t>
      </w:r>
    </w:p>
    <w:p>
      <w:pPr>
        <w:ind w:firstLine="567"/>
        <w:jc w:val="both"/>
        <w:rPr>
          <w:color w:val="000000"/>
          <w:sz w:val="27"/>
          <w:szCs w:val="27"/>
        </w:rPr>
      </w:pPr>
      <w:r>
        <w:rPr>
          <w:color w:val="000000"/>
          <w:sz w:val="27"/>
          <w:szCs w:val="27"/>
          <w:highlight w:val="white"/>
        </w:rPr>
        <w:t>своєчасно вносити до системи повну та достовірну інформацію, в тому числі медичну документацію та звіти про медичні послуги, медичні записи, записи про направлення і рецепти у порядку, встановленому законодавством, з урахуванням положень специфікації</w:t>
      </w:r>
      <w:r>
        <w:rPr>
          <w:color w:val="000000"/>
          <w:sz w:val="27"/>
          <w:szCs w:val="27"/>
        </w:rPr>
        <w:t>;</w:t>
      </w:r>
    </w:p>
    <w:p>
      <w:pPr>
        <w:ind w:firstLine="567"/>
        <w:jc w:val="both"/>
        <w:rPr>
          <w:sz w:val="27"/>
          <w:szCs w:val="27"/>
        </w:rPr>
      </w:pPr>
      <w:r>
        <w:rPr>
          <w:sz w:val="27"/>
          <w:szCs w:val="27"/>
        </w:rPr>
        <w:t>коригувати дані, внесені в систему, у випадку виявлення фактів внесення помилкових, недостовірних або неповних даних, на підставі яких були сформовані звіти про медичні послуги.</w:t>
      </w:r>
    </w:p>
    <w:p>
      <w:pPr>
        <w:ind w:firstLine="567"/>
        <w:jc w:val="both"/>
        <w:rPr>
          <w:color w:val="000000"/>
          <w:sz w:val="27"/>
          <w:szCs w:val="27"/>
          <w:highlight w:val="white"/>
        </w:rPr>
      </w:pPr>
      <w:r>
        <w:rPr>
          <w:color w:val="000000"/>
          <w:sz w:val="27"/>
          <w:szCs w:val="27"/>
          <w:highlight w:val="white"/>
        </w:rPr>
        <w:t xml:space="preserve">Повідомляємо, що НСЗУ проводить автоматичний моніторинг послуг наданих в амбулаторних умовах </w:t>
      </w:r>
      <w:r>
        <w:rPr>
          <w:color w:val="000000"/>
          <w:sz w:val="27"/>
          <w:szCs w:val="27"/>
        </w:rPr>
        <w:t xml:space="preserve">одним медичним працівником </w:t>
      </w:r>
      <w:r>
        <w:rPr>
          <w:color w:val="000000"/>
          <w:sz w:val="27"/>
          <w:szCs w:val="27"/>
          <w:highlight w:val="white"/>
        </w:rPr>
        <w:t xml:space="preserve">за всіма пакетами медичних послуг </w:t>
      </w:r>
      <w:r>
        <w:rPr>
          <w:smallCaps w:val="0"/>
          <w:color w:val="000000"/>
          <w:sz w:val="27"/>
          <w:szCs w:val="22"/>
          <w:highlight w:val="white"/>
          <w:cs w:val="0"/>
          <w:spacing w:val="0"/>
          <w:w w:val="100"/>
          <w:position w:val="0"/>
          <w:snapToGrid w:val="1"/>
        </w:rPr>
        <w:t>(за виключенням медичних послуг за пакетами "</w:t>
      </w:r>
      <w:r>
        <w:rPr>
          <w:smallCaps w:val="0"/>
          <w:color w:val="000000"/>
          <w:sz w:val="27"/>
          <w:szCs w:val="22"/>
          <w:highlight w:val="white"/>
          <w:cs w:val="0"/>
          <w:spacing w:val="0"/>
          <w:w w:val="100"/>
          <w:position w:val="0"/>
          <w:snapToGrid w:val="1"/>
        </w:rPr>
        <w:t>Лікування пацієнтів методом гемодіалізу в амбулаторних умовах</w:t>
      </w:r>
      <w:r>
        <w:rPr>
          <w:smallCaps w:val="0"/>
          <w:color w:val="000000"/>
          <w:sz w:val="27"/>
          <w:szCs w:val="22"/>
          <w:highlight w:val="white"/>
          <w:cs w:val="0"/>
          <w:spacing w:val="0"/>
          <w:w w:val="100"/>
          <w:position w:val="0"/>
          <w:snapToGrid w:val="1"/>
        </w:rPr>
        <w:t>"</w:t>
      </w:r>
      <w:r>
        <w:rPr>
          <w:smallCaps w:val="0"/>
          <w:color w:val="000000"/>
          <w:sz w:val="27"/>
          <w:szCs w:val="22"/>
          <w:highlight w:val="white"/>
          <w:cs w:val="0"/>
          <w:spacing w:val="0"/>
          <w:w w:val="100"/>
          <w:position w:val="0"/>
          <w:snapToGrid w:val="1"/>
        </w:rPr>
        <w:t xml:space="preserve">, </w:t>
      </w:r>
      <w:r>
        <w:rPr>
          <w:smallCaps w:val="0"/>
          <w:color w:val="000000"/>
          <w:sz w:val="27"/>
          <w:szCs w:val="22"/>
          <w:highlight w:val="white"/>
          <w:cs w:val="0"/>
          <w:spacing w:val="0"/>
          <w:w w:val="100"/>
          <w:position w:val="0"/>
          <w:snapToGrid w:val="1"/>
        </w:rPr>
        <w:t>"</w:t>
      </w:r>
      <w:r>
        <w:rPr>
          <w:smallCaps w:val="0"/>
          <w:color w:val="000000"/>
          <w:sz w:val="27"/>
          <w:szCs w:val="22"/>
          <w:highlight w:val="white"/>
          <w:cs w:val="0"/>
          <w:spacing w:val="0"/>
          <w:w w:val="100"/>
          <w:position w:val="0"/>
          <w:snapToGrid w:val="1"/>
        </w:rPr>
        <w:t>Лікування пацієнтів методом перитонеального діалізу в амбулаторних умовах</w:t>
      </w:r>
      <w:r>
        <w:rPr>
          <w:smallCaps w:val="0"/>
          <w:color w:val="000000"/>
          <w:sz w:val="27"/>
          <w:szCs w:val="22"/>
          <w:highlight w:val="white"/>
          <w:cs w:val="0"/>
          <w:spacing w:val="0"/>
          <w:w w:val="100"/>
          <w:position w:val="0"/>
          <w:snapToGrid w:val="1"/>
        </w:rPr>
        <w:t>"</w:t>
      </w:r>
      <w:r>
        <w:rPr>
          <w:smallCaps w:val="0"/>
          <w:color w:val="000000"/>
          <w:sz w:val="27"/>
          <w:szCs w:val="22"/>
          <w:highlight w:val="white"/>
          <w:cs w:val="0"/>
          <w:spacing w:val="0"/>
          <w:w w:val="100"/>
          <w:position w:val="0"/>
          <w:snapToGrid w:val="1"/>
        </w:rPr>
        <w:t xml:space="preserve"> </w:t>
      </w:r>
      <w:r>
        <w:rPr>
          <w:smallCaps w:val="0"/>
          <w:color w:val="000000"/>
          <w:sz w:val="27"/>
          <w:szCs w:val="22"/>
          <w:highlight w:val="white"/>
          <w:cs w:val="0"/>
          <w:spacing w:val="0"/>
          <w:w w:val="100"/>
          <w:position w:val="0"/>
          <w:snapToGrid w:val="1"/>
        </w:rPr>
        <w:t xml:space="preserve">та </w:t>
      </w:r>
      <w:r>
        <w:rPr>
          <w:smallCaps w:val="0"/>
          <w:color w:val="000000"/>
          <w:sz w:val="27"/>
          <w:szCs w:val="22"/>
          <w:highlight w:val="white"/>
          <w:cs w:val="0"/>
          <w:spacing w:val="0"/>
          <w:w w:val="100"/>
          <w:position w:val="0"/>
          <w:snapToGrid w:val="1"/>
        </w:rPr>
        <w:t>"</w:t>
      </w:r>
      <w:r>
        <w:rPr>
          <w:smallCaps w:val="0"/>
          <w:color w:val="000000"/>
          <w:sz w:val="27"/>
          <w:szCs w:val="22"/>
          <w:highlight w:val="white"/>
          <w:cs w:val="0"/>
          <w:spacing w:val="0"/>
          <w:w w:val="100"/>
          <w:position w:val="0"/>
          <w:snapToGrid w:val="1"/>
        </w:rPr>
        <w:t>Медичний огляд осіб, який організовується територіальними центрами комплектування та соціальної підтримки</w:t>
      </w:r>
      <w:r>
        <w:rPr>
          <w:smallCaps w:val="0"/>
          <w:color w:val="000000"/>
          <w:sz w:val="27"/>
          <w:szCs w:val="22"/>
          <w:highlight w:val="white"/>
          <w:cs w:val="0"/>
          <w:spacing w:val="0"/>
          <w:w w:val="100"/>
          <w:position w:val="0"/>
          <w:snapToGrid w:val="1"/>
        </w:rPr>
        <w:t>"</w:t>
      </w:r>
      <w:r>
        <w:rPr>
          <w:smallCaps w:val="0"/>
          <w:color w:val="000000"/>
          <w:sz w:val="27"/>
          <w:szCs w:val="22"/>
          <w:highlight w:val="white"/>
          <w:cs w:val="0"/>
          <w:spacing w:val="0"/>
          <w:w w:val="100"/>
          <w:position w:val="0"/>
          <w:snapToGrid w:val="1"/>
        </w:rPr>
        <w:t xml:space="preserve">) </w:t>
      </w:r>
      <w:r>
        <w:rPr>
          <w:color w:val="000000"/>
          <w:sz w:val="27"/>
          <w:szCs w:val="27"/>
        </w:rPr>
        <w:t>щодо кількості пацієнтів, стосовно яких цим медичним працівником внесено медичні записи протягом дня, з метою контролю максимально допустимого навантаження денної кількості пацієнтів, яким відповідно до посади медичного фахівця (лікарів спеціалістів та асистентів), можуть бути надані медичні послуги в повному обсязі.</w:t>
      </w:r>
    </w:p>
    <w:p>
      <w:pPr>
        <w:ind w:firstLine="567"/>
        <w:jc w:val="both"/>
        <w:rPr>
          <w:color w:val="000000"/>
          <w:sz w:val="27"/>
          <w:szCs w:val="27"/>
        </w:rPr>
      </w:pPr>
      <w:bookmarkStart w:id="2" w:name="_Hlk177395831"/>
      <w:r>
        <w:rPr>
          <w:color w:val="000000"/>
          <w:sz w:val="27"/>
          <w:szCs w:val="27"/>
        </w:rPr>
        <w:t xml:space="preserve">Інформуємо, що автоматичний моніторинг стосовно кількості пацієнтів щодо  яких медичним працівником протягом дня внесено медичні записи до Системи проводитиметься НСЗУ постійно.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sz w:val="27"/>
          <w:szCs w:val="27"/>
          <w:lang w:eastAsia="ru-RU"/>
        </w:rPr>
      </w:pPr>
      <w:bookmarkEnd w:id="2"/>
      <w:r>
        <w:rPr>
          <w:sz w:val="27"/>
          <w:szCs w:val="27"/>
          <w:lang w:eastAsia="ru-RU"/>
        </w:rPr>
        <w:t xml:space="preserve">Разом з тим повідомляємо, що у разі </w:t>
      </w:r>
      <w:bookmarkStart w:id="3" w:name="_Hlk178261375"/>
      <w:r>
        <w:rPr>
          <w:sz w:val="27"/>
          <w:szCs w:val="27"/>
          <w:lang w:eastAsia="ru-RU"/>
        </w:rPr>
        <w:t xml:space="preserve">отримання надавачем медичних послуг у розшифровці медичних записів інформації у стовпчику «Деталі виявлених невідповідностей, які потребують додаткової перевірки та верифікації з боку надавача послуг» щодо виявлених невідповідностей: «Кількість пацієнтів,  прийнятих лікарем за зміну перевищує допустимі значення (Потребує верифікації)» </w:t>
      </w:r>
      <w:bookmarkEnd w:id="3"/>
      <w:r>
        <w:rPr>
          <w:b w:val="1"/>
          <w:bCs w:val="1"/>
          <w:sz w:val="27"/>
          <w:szCs w:val="27"/>
          <w:lang w:eastAsia="ru-RU"/>
        </w:rPr>
        <w:t>надавач медичних послуг має перевірити внесену в Систему інформацію у такому медичному записі про надання медичної допомоги</w:t>
      </w:r>
      <w:r>
        <w:rPr>
          <w:sz w:val="27"/>
          <w:szCs w:val="27"/>
          <w:lang w:eastAsia="ru-RU"/>
        </w:rPr>
        <w: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color w:val="000000"/>
          <w:sz w:val="27"/>
          <w:szCs w:val="27"/>
          <w:lang w:eastAsia="ru-RU"/>
        </w:rPr>
      </w:pPr>
      <w:r>
        <w:rPr>
          <w:color w:val="000000"/>
          <w:sz w:val="27"/>
          <w:szCs w:val="27"/>
          <w:lang w:eastAsia="ru-RU"/>
        </w:rPr>
        <w:t>Після чого здійснити одну з наведених дій:</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color w:val="000000"/>
          <w:sz w:val="27"/>
          <w:szCs w:val="27"/>
          <w:lang w:eastAsia="ru-RU"/>
        </w:rPr>
      </w:pPr>
      <w:r>
        <w:rPr>
          <w:color w:val="000000"/>
          <w:sz w:val="27"/>
          <w:szCs w:val="27"/>
          <w:lang w:eastAsia="ru-RU"/>
        </w:rPr>
        <w:t>у випадку, якщо за результатами перевірки такий запис з виявленою невідповідністю внесений помилково – поставити позначку «внесений помилково»;</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color w:val="000000"/>
          <w:sz w:val="27"/>
          <w:szCs w:val="27"/>
          <w:lang w:eastAsia="ru-RU"/>
        </w:rPr>
      </w:pPr>
      <w:r>
        <w:rPr>
          <w:color w:val="000000"/>
          <w:sz w:val="27"/>
          <w:szCs w:val="27"/>
          <w:lang w:eastAsia="ru-RU"/>
        </w:rPr>
        <w:t>у випадку, якщо за результатами перевірки у медичному записі виявлено помилки – відкоригувати такий медичний запис</w:t>
      </w:r>
      <w:r>
        <w:rPr>
          <w:color w:val="000000"/>
          <w:sz w:val="27"/>
          <w:szCs w:val="27"/>
          <w:lang w:val="ru-RU" w:eastAsia="ru-RU"/>
        </w:rPr>
        <w:t xml:space="preserve"> </w:t>
      </w:r>
      <w:r>
        <w:rPr>
          <w:color w:val="000000"/>
          <w:sz w:val="27"/>
          <w:szCs w:val="27"/>
          <w:lang w:eastAsia="ru-RU"/>
        </w:rPr>
        <w:t>шляхом скасування помилкового медичного запису та внесення оновлених достовірних даних стосовно медичної події, що відбулась (за умови, що з дати такої медичної події не закінчився 90-денний термін, що дозволяє вносити записи в Систему) та звітувати НСЗУ про проведене виправлення;</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sz w:val="27"/>
          <w:szCs w:val="27"/>
          <w:lang w:eastAsia="ru-RU"/>
        </w:rPr>
      </w:pPr>
      <w:r>
        <w:rPr>
          <w:color w:val="000000"/>
          <w:sz w:val="27"/>
          <w:szCs w:val="27"/>
          <w:lang w:eastAsia="ru-RU"/>
        </w:rPr>
        <w:t xml:space="preserve">у випадку, якщо за результатами перевірки надавачем медичних послуг інформації в Системі помилки у медичному записі не виявлено – інформацію про підтвердження правильності такого медичного запису потрібно передати до НСЗУ за допомогою Форми звітування про верифікацію ЕМЗ на онлайн платформі за посиланням </w:t>
      </w:r>
      <w:bookmarkStart w:id="4" w:name="_Hlk178260447"/>
      <w:hyperlink xmlns:r="http://schemas.openxmlformats.org/officeDocument/2006/relationships" r:id="R2">
        <w:r>
          <w:rPr>
            <w:color w:val="0000FF"/>
            <w:sz w:val="27"/>
            <w:szCs w:val="27"/>
            <w:u w:val="single"/>
            <w:lang w:eastAsia="ru-RU"/>
          </w:rPr>
          <w:t>https://066.e-health.gov.ua</w:t>
        </w:r>
      </w:hyperlink>
      <w:bookmarkEnd w:id="4"/>
      <w:r>
        <w:rPr>
          <w:color w:val="000000"/>
          <w:sz w:val="27"/>
          <w:szCs w:val="27"/>
          <w:lang w:eastAsia="ru-RU"/>
        </w:rPr>
        <w:t xml:space="preserve"> обравши на головному екрані сервісу режим «Звітування про верифіковані ЕМЗ» </w:t>
      </w:r>
      <w:r>
        <w:rPr>
          <w:sz w:val="27"/>
          <w:szCs w:val="27"/>
          <w:lang w:eastAsia="ru-RU"/>
        </w:rPr>
        <w:t xml:space="preserve">згідно з рекомендаціями, наданими листом НСЗУ </w:t>
      </w:r>
      <w:bookmarkStart w:id="5" w:name="_Hlk175585705"/>
      <w:r>
        <w:rPr>
          <w:sz w:val="27"/>
          <w:szCs w:val="27"/>
          <w:lang w:eastAsia="ru-RU"/>
        </w:rPr>
        <w:t>від 19.02.2024 № 5066/11-15-24</w:t>
      </w:r>
      <w:bookmarkEnd w:id="5"/>
      <w:r>
        <w:rPr>
          <w:sz w:val="27"/>
          <w:szCs w:val="27"/>
          <w:lang w:eastAsia="ru-RU"/>
        </w:rPr>
        <w:t>.</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jc w:val="both"/>
        <w:rPr>
          <w:sz w:val="27"/>
          <w:szCs w:val="27"/>
          <w:lang w:eastAsia="ru-RU"/>
        </w:rPr>
      </w:pPr>
      <w:r>
        <w:rPr>
          <w:sz w:val="27"/>
          <w:szCs w:val="27"/>
          <w:lang w:eastAsia="ru-RU"/>
        </w:rPr>
        <w:t xml:space="preserve">Перейшовши за посиланням </w:t>
      </w:r>
      <w:hyperlink xmlns:r="http://schemas.openxmlformats.org/officeDocument/2006/relationships" r:id="R3">
        <w:r>
          <w:rPr>
            <w:rStyle w:val="C2"/>
            <w:sz w:val="27"/>
            <w:szCs w:val="27"/>
            <w:lang w:eastAsia="ru-RU"/>
          </w:rPr>
          <w:t>https://066.e-health.gov.ua</w:t>
        </w:r>
      </w:hyperlink>
      <w:r>
        <w:rPr>
          <w:sz w:val="27"/>
          <w:szCs w:val="27"/>
          <w:lang w:eastAsia="ru-RU"/>
        </w:rPr>
        <w:t>:</w:t>
      </w:r>
    </w:p>
    <w:p>
      <w:pPr>
        <w:pStyle w:val="P10"/>
        <w:numPr>
          <w:ilvl w:val="0"/>
          <w:numId w:val="2"/>
        </w:numPr>
        <w:tabs>
          <w:tab w:val="left" w:pos="851" w:leader="none"/>
        </w:tabs>
        <w:ind w:firstLine="567" w:left="0"/>
        <w:rPr>
          <w:sz w:val="27"/>
          <w:szCs w:val="27"/>
          <w:lang w:eastAsia="ru-RU"/>
        </w:rPr>
      </w:pPr>
      <w:r>
        <w:rPr>
          <w:sz w:val="27"/>
          <w:szCs w:val="27"/>
          <w:lang w:eastAsia="ru-RU"/>
        </w:rPr>
        <w:t>Авторизуйтесь за номером ЕДРПОУ та адресою електронної пошти.</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Оберіть у нижньому вікні в випадаючому списку на головному екрані авторизації режим «Звітування про верифіковані ЕМЗ».</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Оберіть у нижньому вікні в випадаючому списку на головному екрані авторизації режим «Звітування про верифіковані ЕМЗ».</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Авторизуйтесь за допомогою ЕЦП уповноваженої особи.</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На наступному екрані «Створення нового запису про верефіковані ЕМЗ» внесіть наступну інформацію про верифікацію ЕМЗ:</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jc w:val="both"/>
        <w:rPr>
          <w:sz w:val="27"/>
          <w:szCs w:val="27"/>
          <w:lang w:eastAsia="ru-RU"/>
        </w:rPr>
      </w:pPr>
      <w:r>
        <w:rPr>
          <w:sz w:val="27"/>
          <w:szCs w:val="27"/>
          <w:lang w:eastAsia="ru-RU"/>
        </w:rPr>
        <w:t>ІD медичного запису, щодо якого підтверджується повнота та достовірність інформації внесеної в ЕСОЗ;</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jc w:val="both"/>
        <w:rPr>
          <w:sz w:val="27"/>
          <w:szCs w:val="27"/>
          <w:lang w:eastAsia="ru-RU"/>
        </w:rPr>
      </w:pPr>
      <w:r>
        <w:rPr>
          <w:sz w:val="27"/>
          <w:szCs w:val="27"/>
          <w:lang w:eastAsia="ru-RU"/>
        </w:rPr>
        <w:t>Обгрунтування – текстове поле з коректною фразою обґрунтування.</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Натисніть кнопку «Додати запис».</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Керуючись пп.5-6 внесіть інформацію про всі ЕМЗ, що потребують верифікації.</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Перегляньте сформований перелік коригуючих записів: оберіть дати внесення та натисніть кнопку «Запит».</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851" w:leader="none"/>
        </w:tabs>
        <w:ind w:firstLine="567" w:left="0"/>
        <w:jc w:val="both"/>
        <w:rPr>
          <w:sz w:val="27"/>
          <w:szCs w:val="27"/>
          <w:lang w:eastAsia="ru-RU"/>
        </w:rPr>
      </w:pPr>
      <w:r>
        <w:rPr>
          <w:sz w:val="27"/>
          <w:szCs w:val="27"/>
          <w:lang w:eastAsia="ru-RU"/>
        </w:rPr>
        <w:t>Для формування переліку верифікованих записів натисніть кнопку «Сформувати файл з переліком» та збережіть собі реєстр верифікованих ЕМЗ.</w:t>
      </w:r>
    </w:p>
    <w:p>
      <w:pPr>
        <w:pStyle w:val="P10"/>
        <w:numPr>
          <w:ilvl w:val="0"/>
          <w:numId w:val="2"/>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left" w:pos="567" w:leader="none"/>
          <w:tab w:val="left" w:pos="993" w:leader="none"/>
        </w:tabs>
        <w:ind w:firstLine="567" w:left="0"/>
        <w:jc w:val="both"/>
        <w:rPr>
          <w:sz w:val="27"/>
          <w:szCs w:val="27"/>
          <w:lang w:eastAsia="ru-RU"/>
        </w:rPr>
      </w:pPr>
      <w:r>
        <w:rPr>
          <w:sz w:val="27"/>
          <w:szCs w:val="27"/>
          <w:lang w:eastAsia="ru-RU"/>
        </w:rPr>
        <w:t>Вийдіть з режиму звітування про верифіковані ЕМЗ – натисніть кнопку «Завершити роботу».</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sz w:val="27"/>
          <w:szCs w:val="27"/>
          <w:lang w:eastAsia="ru-RU"/>
        </w:rPr>
      </w:pPr>
      <w:r>
        <w:rPr>
          <w:color w:val="000000"/>
          <w:sz w:val="27"/>
          <w:szCs w:val="27"/>
          <w:lang w:eastAsia="ru-RU"/>
        </w:rPr>
        <w:t>Підтверджуючи правильність внесення медичного запису надавач медичних послуг несе відповідальність за повноту та достовірність інформації, що внесена в Систему.</w:t>
      </w:r>
      <w:r>
        <w:rPr>
          <w:sz w:val="27"/>
          <w:szCs w:val="27"/>
          <w:lang w:eastAsia="ru-RU"/>
        </w:rPr>
        <w:t xml:space="preserve"> </w:t>
      </w:r>
    </w:p>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ind w:firstLine="567"/>
        <w:jc w:val="both"/>
        <w:rPr>
          <w:sz w:val="27"/>
          <w:szCs w:val="27"/>
          <w:u w:val="single"/>
          <w:lang w:eastAsia="ru-RU"/>
        </w:rPr>
      </w:pPr>
      <w:r>
        <w:rPr>
          <w:sz w:val="27"/>
          <w:szCs w:val="27"/>
          <w:u w:val="single"/>
        </w:rPr>
        <w:t xml:space="preserve">Звертаємо увагу! Якщо в отриманих розшифровках медичних записів виявлені медичні записи в яких наявна позначка «Кількість пацієнтів,  прийнятих лікарем за зміну перевищує допустимі значення (Потребує верифікації)», та які на думку надавача медичних послуг потребують додаткового перегляду, просимо надавати  до НСЗУ відповідні пропозиції щодо перегляду таких медичних записів. Інформуємо, що за результатом розгляду пропозицій, які надійдуть від надавачів медичних послуг, Алгоритм автоматичного моніторингу буде переглянутий.</w:t>
      </w:r>
    </w:p>
    <w:p>
      <w:pPr>
        <w:widowControl w:val="0"/>
        <w:ind w:firstLine="567"/>
        <w:jc w:val="both"/>
        <w:rPr>
          <w:sz w:val="27"/>
          <w:szCs w:val="27"/>
        </w:rPr>
      </w:pPr>
      <w:r>
        <w:rPr>
          <w:sz w:val="27"/>
          <w:szCs w:val="27"/>
        </w:rPr>
        <w:t>У разі виникнення додаткових питань, рекомендуємо звертатись до міжрегіональних департаментів НСЗУ з метою отримання відповідних роз’яснень.</w:t>
      </w:r>
    </w:p>
    <w:p>
      <w:pPr>
        <w:tabs>
          <w:tab w:val="left" w:pos="5880" w:leader="none"/>
        </w:tabs>
        <w:jc w:val="both"/>
        <w:rPr>
          <w:sz w:val="27"/>
          <w:szCs w:val="27"/>
        </w:rPr>
      </w:pPr>
    </w:p>
    <w:p>
      <w:pPr>
        <w:tabs>
          <w:tab w:val="left" w:pos="5880" w:leader="none"/>
        </w:tabs>
        <w:jc w:val="both"/>
        <w:rPr>
          <w:sz w:val="27"/>
          <w:szCs w:val="27"/>
        </w:rPr>
      </w:pPr>
    </w:p>
    <w:p>
      <w:pPr>
        <w:ind w:firstLine="567"/>
        <w:jc w:val="both"/>
        <w:rPr>
          <w:sz w:val="27"/>
          <w:szCs w:val="27"/>
        </w:rPr>
      </w:pPr>
    </w:p>
    <w:p>
      <w:pPr>
        <w:pBdr>
          <w:top w:val="none" w:sz="0" w:space="0" w:shadow="0" w:frame="0" w:color="auto"/>
          <w:left w:val="none" w:sz="0" w:space="0" w:shadow="0" w:frame="0" w:color="auto"/>
          <w:bottom w:val="none" w:sz="0" w:space="0" w:shadow="0" w:frame="0" w:color="auto"/>
          <w:right w:val="none" w:sz="0" w:space="0" w:shadow="0" w:frame="0" w:color="auto"/>
          <w:between w:val="nil" w:sz="0" w:space="0" w:shadow="0" w:frame="0" w:color="auto"/>
        </w:pBdr>
        <w:tabs>
          <w:tab w:val="left" w:pos="7088" w:leader="none"/>
        </w:tabs>
        <w:jc w:val="both"/>
        <w:rPr>
          <w:color w:val="000000"/>
          <w:sz w:val="20"/>
        </w:rPr>
      </w:pPr>
      <w:r>
        <w:rPr>
          <w:color w:val="000000"/>
          <w:szCs w:val="28"/>
        </w:rPr>
        <w:t xml:space="preserve">Голова                                                                       </w:t>
        <w:tab/>
        <w:t>Наталія ГУСАК</w:t>
      </w:r>
    </w:p>
    <w:p>
      <w:pPr>
        <w:tabs>
          <w:tab w:val="left" w:pos="5880" w:leader="none"/>
        </w:tabs>
        <w:jc w:val="both"/>
        <w:rPr>
          <w:sz w:val="26"/>
          <w:szCs w:val="26"/>
        </w:rPr>
      </w:pPr>
    </w:p>
    <w:p>
      <w:pPr>
        <w:jc w:val="both"/>
        <w:rPr>
          <w:sz w:val="20"/>
          <w:szCs w:val="20"/>
        </w:rPr>
      </w:pPr>
    </w:p>
    <w:p>
      <w:pPr>
        <w:jc w:val="both"/>
        <w:rPr>
          <w:sz w:val="20"/>
          <w:szCs w:val="20"/>
        </w:rPr>
      </w:pPr>
    </w:p>
    <w:p>
      <w:pPr>
        <w:jc w:val="both"/>
        <w:rPr>
          <w:sz w:val="20"/>
          <w:szCs w:val="20"/>
        </w:rPr>
      </w:pPr>
    </w:p>
    <w:p>
      <w:pPr>
        <w:jc w:val="both"/>
        <w:rPr>
          <w:sz w:val="20"/>
          <w:szCs w:val="20"/>
        </w:rPr>
      </w:pPr>
    </w:p>
    <w:sectPr>
      <w:headerReference xmlns:r="http://schemas.openxmlformats.org/officeDocument/2006/relationships" w:type="first" r:id="RelHdr1"/>
      <w:headerReference xmlns:r="http://schemas.openxmlformats.org/officeDocument/2006/relationships" w:type="default" r:id="RelHdr2"/>
      <w:footerReference xmlns:r="http://schemas.openxmlformats.org/officeDocument/2006/relationships" w:type="default" r:id="RelFtr1"/>
      <w:footnotePr/>
      <w:endnotePr/>
      <w:type w:val="nextPage"/>
      <w:pgSz w:w="11905" w:h="16837" w:code="0"/>
      <w:pgMar w:left="1701" w:right="567" w:top="1134" w:bottom="1134" w:header="284" w:footer="1134" w:gutter="0"/>
      <w:pgNumType w:start="1" w:chapSep="period"/>
      <w:cols w:equalWidth="1" w:space="720"/>
      <w:titlePg w:val="1"/>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endnote>
  <w:endnote w:type="continuationSeparator" w:id="0">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center" w:pos="4819" w:leader="none"/>
        <w:tab w:val="right" w:pos="9639" w:leader="none"/>
      </w:tabs>
      <w:rPr>
        <w:color w:val="000000"/>
      </w:rP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footnote>
  <w:footnote w:type="continuationSeparator" w:id="0">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center" w:pos="4819" w:leader="none"/>
        <w:tab w:val="right" w:pos="9639" w:leader="none"/>
      </w:tabs>
      <w:jc w:val="center"/>
      <w:rPr>
        <w:color w:val="000000"/>
      </w:rPr>
    </w:pPr>
    <w:r>
      <w:rPr>
        <w:noProof w:val="1"/>
        <w:color w:val="000000"/>
        <w:sz w:val="24"/>
      </w:rPr>
      <w:drawing>
        <wp:inline xmlns:wp="http://schemas.openxmlformats.org/drawingml/2006/wordprocessingDrawing" distT="0" distB="0" distL="0" distR="0">
          <wp:extent cx="466725" cy="6286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dpi="0">
                  <a:blip xmlns:r="http://schemas.openxmlformats.org/officeDocument/2006/relationships" r:embed="Relimage1"/>
                  <a:srcRect/>
                  <a:stretch>
                    <a:fillRect/>
                  </a:stretch>
                </pic:blipFill>
                <pic:spPr>
                  <a:xfrm>
                    <a:off x="0" y="0"/>
                    <a:ext cx="466725" cy="628650"/>
                  </a:xfrm>
                  <a:prstGeom prst="rect"/>
                </pic:spPr>
              </pic:pic>
            </a:graphicData>
          </a:graphic>
        </wp:inline>
      </w:drawing>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tabs>
        <w:tab w:val="center" w:pos="4819" w:leader="none"/>
        <w:tab w:val="right" w:pos="9639" w:leader="none"/>
      </w:tabs>
      <w:jc w:val="center"/>
      <w:rPr>
        <w:color w:val="000000"/>
      </w:rPr>
    </w:pPr>
    <w:r>
      <w:rPr>
        <w:color w:val="000000"/>
      </w:rPr>
      <w:fldChar w:fldCharType="begin"/>
    </w:r>
    <w:r>
      <w:rPr>
        <w:color w:val="000000"/>
      </w:rPr>
      <w:instrText>PAGE</w:instrText>
    </w:r>
    <w:r>
      <w:rPr>
        <w:color w:val="000000"/>
      </w:rPr>
      <w:fldChar w:fldCharType="separate"/>
    </w:r>
    <w:r>
      <w:rPr>
        <w:color w:val="000000"/>
      </w:rPr>
      <w:t>#</w:t>
    </w:r>
    <w:r>
      <w:rPr>
        <w:color w:val="000000"/>
      </w:rPr>
      <w:fldChar w:fldCharType="end"/>
    </w:r>
  </w:p>
</w:hdr>
</file>

<file path=word/numbering.xml><?xml version="1.0" encoding="utf-8"?>
<w:numbering xmlns:w="http://schemas.openxmlformats.org/wordprocessingml/2006/main">
  <w:abstractNum w:abstractNumId="0">
    <w:nsid w:val="24E946C7"/>
    <w:multiLevelType w:val="hybridMultilevel"/>
    <w:lvl w:ilvl="0" w:tplc="C6986F88">
      <w:start w:val="1"/>
      <w:numFmt w:val="decimal"/>
      <w:suff w:val="tab"/>
      <w:lvlText w:val="%1."/>
      <w:lvlJc w:val="left"/>
      <w:pPr>
        <w:ind w:hanging="360" w:left="927"/>
      </w:pPr>
      <w:rPr/>
    </w:lvl>
    <w:lvl w:ilvl="1" w:tplc="04220019">
      <w:start w:val="1"/>
      <w:numFmt w:val="lowerLetter"/>
      <w:suff w:val="tab"/>
      <w:lvlText w:val="%2."/>
      <w:lvlJc w:val="left"/>
      <w:pPr>
        <w:ind w:hanging="360" w:left="1647"/>
      </w:pPr>
      <w:rPr/>
    </w:lvl>
    <w:lvl w:ilvl="2" w:tplc="0422001B">
      <w:start w:val="1"/>
      <w:numFmt w:val="lowerRoman"/>
      <w:suff w:val="tab"/>
      <w:lvlText w:val="%3."/>
      <w:lvlJc w:val="right"/>
      <w:pPr>
        <w:ind w:hanging="180" w:left="2367"/>
      </w:pPr>
      <w:rPr/>
    </w:lvl>
    <w:lvl w:ilvl="3" w:tplc="0422000F">
      <w:start w:val="1"/>
      <w:numFmt w:val="decimal"/>
      <w:suff w:val="tab"/>
      <w:lvlText w:val="%4."/>
      <w:lvlJc w:val="left"/>
      <w:pPr>
        <w:ind w:hanging="360" w:left="3087"/>
      </w:pPr>
      <w:rPr/>
    </w:lvl>
    <w:lvl w:ilvl="4" w:tplc="04220019">
      <w:start w:val="1"/>
      <w:numFmt w:val="lowerLetter"/>
      <w:suff w:val="tab"/>
      <w:lvlText w:val="%5."/>
      <w:lvlJc w:val="left"/>
      <w:pPr>
        <w:ind w:hanging="360" w:left="3807"/>
      </w:pPr>
      <w:rPr/>
    </w:lvl>
    <w:lvl w:ilvl="5" w:tplc="0422001B">
      <w:start w:val="1"/>
      <w:numFmt w:val="lowerRoman"/>
      <w:suff w:val="tab"/>
      <w:lvlText w:val="%6."/>
      <w:lvlJc w:val="right"/>
      <w:pPr>
        <w:ind w:hanging="180" w:left="4527"/>
      </w:pPr>
      <w:rPr/>
    </w:lvl>
    <w:lvl w:ilvl="6" w:tplc="0422000F">
      <w:start w:val="1"/>
      <w:numFmt w:val="decimal"/>
      <w:suff w:val="tab"/>
      <w:lvlText w:val="%7."/>
      <w:lvlJc w:val="left"/>
      <w:pPr>
        <w:ind w:hanging="360" w:left="5247"/>
      </w:pPr>
      <w:rPr/>
    </w:lvl>
    <w:lvl w:ilvl="7" w:tplc="04220019">
      <w:start w:val="1"/>
      <w:numFmt w:val="lowerLetter"/>
      <w:suff w:val="tab"/>
      <w:lvlText w:val="%8."/>
      <w:lvlJc w:val="left"/>
      <w:pPr>
        <w:ind w:hanging="360" w:left="5967"/>
      </w:pPr>
      <w:rPr/>
    </w:lvl>
    <w:lvl w:ilvl="8" w:tplc="0422001B">
      <w:start w:val="1"/>
      <w:numFmt w:val="lowerRoman"/>
      <w:suff w:val="tab"/>
      <w:lvlText w:val="%9."/>
      <w:lvlJc w:val="right"/>
      <w:pPr>
        <w:ind w:hanging="180" w:left="6687"/>
      </w:pPr>
      <w:rPr/>
    </w:lvl>
  </w:abstractNum>
  <w:abstractNum w:abstractNumId="1">
    <w:nsid w:val="50ED5860"/>
    <w:multiLevelType w:val="hybridMultilevel"/>
    <w:lvl w:ilvl="0" w:tplc="952C5744">
      <w:start w:val="24"/>
      <w:numFmt w:val="decimal"/>
      <w:suff w:val="tab"/>
      <w:lvlText w:val="%1."/>
      <w:lvlJc w:val="left"/>
      <w:pPr>
        <w:ind w:left="0"/>
      </w:pPr>
      <w:rPr>
        <w:rFonts w:ascii="Times New Roman" w:hAnsi="Times New Roman"/>
        <w:b w:val="0"/>
        <w:i w:val="0"/>
        <w:color w:val="000000"/>
        <w:sz w:val="28"/>
        <w:szCs w:val="28"/>
        <w:u w:val="none" w:color="000000"/>
        <w:shd w:val="clear" w:color="auto" w:fill="auto"/>
        <w:vertAlign w:val="baseline"/>
      </w:rPr>
    </w:lvl>
    <w:lvl w:ilvl="1" w:tplc="3E989E00">
      <w:start w:val="1"/>
      <w:numFmt w:val="lowerLetter"/>
      <w:suff w:val="tab"/>
      <w:lvlText w:val="%2"/>
      <w:lvlJc w:val="left"/>
      <w:pPr>
        <w:ind w:left="1647"/>
      </w:pPr>
      <w:rPr>
        <w:rFonts w:ascii="Times New Roman" w:hAnsi="Times New Roman"/>
        <w:b w:val="0"/>
        <w:i w:val="0"/>
        <w:color w:val="000000"/>
        <w:sz w:val="28"/>
        <w:szCs w:val="28"/>
        <w:u w:val="none" w:color="000000"/>
        <w:shd w:val="clear" w:color="auto" w:fill="auto"/>
        <w:vertAlign w:val="baseline"/>
      </w:rPr>
    </w:lvl>
    <w:lvl w:ilvl="2" w:tplc="E286EB62">
      <w:start w:val="1"/>
      <w:numFmt w:val="lowerRoman"/>
      <w:suff w:val="tab"/>
      <w:lvlText w:val="%3"/>
      <w:lvlJc w:val="left"/>
      <w:pPr>
        <w:ind w:left="2367"/>
      </w:pPr>
      <w:rPr>
        <w:rFonts w:ascii="Times New Roman" w:hAnsi="Times New Roman"/>
        <w:b w:val="0"/>
        <w:i w:val="0"/>
        <w:color w:val="000000"/>
        <w:sz w:val="28"/>
        <w:szCs w:val="28"/>
        <w:u w:val="none" w:color="000000"/>
        <w:shd w:val="clear" w:color="auto" w:fill="auto"/>
        <w:vertAlign w:val="baseline"/>
      </w:rPr>
    </w:lvl>
    <w:lvl w:ilvl="3" w:tplc="982C6ABE">
      <w:start w:val="1"/>
      <w:numFmt w:val="decimal"/>
      <w:suff w:val="tab"/>
      <w:lvlText w:val="%4"/>
      <w:lvlJc w:val="left"/>
      <w:pPr>
        <w:ind w:left="3087"/>
      </w:pPr>
      <w:rPr>
        <w:rFonts w:ascii="Times New Roman" w:hAnsi="Times New Roman"/>
        <w:b w:val="0"/>
        <w:i w:val="0"/>
        <w:color w:val="000000"/>
        <w:sz w:val="28"/>
        <w:szCs w:val="28"/>
        <w:u w:val="none" w:color="000000"/>
        <w:shd w:val="clear" w:color="auto" w:fill="auto"/>
        <w:vertAlign w:val="baseline"/>
      </w:rPr>
    </w:lvl>
    <w:lvl w:ilvl="4" w:tplc="82D0D926">
      <w:start w:val="1"/>
      <w:numFmt w:val="lowerLetter"/>
      <w:suff w:val="tab"/>
      <w:lvlText w:val="%5"/>
      <w:lvlJc w:val="left"/>
      <w:pPr>
        <w:ind w:left="3807"/>
      </w:pPr>
      <w:rPr>
        <w:rFonts w:ascii="Times New Roman" w:hAnsi="Times New Roman"/>
        <w:b w:val="0"/>
        <w:i w:val="0"/>
        <w:color w:val="000000"/>
        <w:sz w:val="28"/>
        <w:szCs w:val="28"/>
        <w:u w:val="none" w:color="000000"/>
        <w:shd w:val="clear" w:color="auto" w:fill="auto"/>
        <w:vertAlign w:val="baseline"/>
      </w:rPr>
    </w:lvl>
    <w:lvl w:ilvl="5" w:tplc="377867F6">
      <w:start w:val="1"/>
      <w:numFmt w:val="lowerRoman"/>
      <w:suff w:val="tab"/>
      <w:lvlText w:val="%6"/>
      <w:lvlJc w:val="left"/>
      <w:pPr>
        <w:ind w:left="4527"/>
      </w:pPr>
      <w:rPr>
        <w:rFonts w:ascii="Times New Roman" w:hAnsi="Times New Roman"/>
        <w:b w:val="0"/>
        <w:i w:val="0"/>
        <w:color w:val="000000"/>
        <w:sz w:val="28"/>
        <w:szCs w:val="28"/>
        <w:u w:val="none" w:color="000000"/>
        <w:shd w:val="clear" w:color="auto" w:fill="auto"/>
        <w:vertAlign w:val="baseline"/>
      </w:rPr>
    </w:lvl>
    <w:lvl w:ilvl="6" w:tplc="CA76BA42">
      <w:start w:val="1"/>
      <w:numFmt w:val="decimal"/>
      <w:suff w:val="tab"/>
      <w:lvlText w:val="%7"/>
      <w:lvlJc w:val="left"/>
      <w:pPr>
        <w:ind w:left="5247"/>
      </w:pPr>
      <w:rPr>
        <w:rFonts w:ascii="Times New Roman" w:hAnsi="Times New Roman"/>
        <w:b w:val="0"/>
        <w:i w:val="0"/>
        <w:color w:val="000000"/>
        <w:sz w:val="28"/>
        <w:szCs w:val="28"/>
        <w:u w:val="none" w:color="000000"/>
        <w:shd w:val="clear" w:color="auto" w:fill="auto"/>
        <w:vertAlign w:val="baseline"/>
      </w:rPr>
    </w:lvl>
    <w:lvl w:ilvl="7" w:tplc="F030FCA0">
      <w:start w:val="1"/>
      <w:numFmt w:val="lowerLetter"/>
      <w:suff w:val="tab"/>
      <w:lvlText w:val="%8"/>
      <w:lvlJc w:val="left"/>
      <w:pPr>
        <w:ind w:left="5967"/>
      </w:pPr>
      <w:rPr>
        <w:rFonts w:ascii="Times New Roman" w:hAnsi="Times New Roman"/>
        <w:b w:val="0"/>
        <w:i w:val="0"/>
        <w:color w:val="000000"/>
        <w:sz w:val="28"/>
        <w:szCs w:val="28"/>
        <w:u w:val="none" w:color="000000"/>
        <w:shd w:val="clear" w:color="auto" w:fill="auto"/>
        <w:vertAlign w:val="baseline"/>
      </w:rPr>
    </w:lvl>
    <w:lvl w:ilvl="8" w:tplc="2E46AE20">
      <w:start w:val="1"/>
      <w:numFmt w:val="lowerRoman"/>
      <w:suff w:val="tab"/>
      <w:lvlText w:val="%9"/>
      <w:lvlJc w:val="left"/>
      <w:pPr>
        <w:ind w:left="6687"/>
      </w:pPr>
      <w:rPr>
        <w:rFonts w:ascii="Times New Roman" w:hAnsi="Times New Roman"/>
        <w:b w:val="0"/>
        <w:i w:val="0"/>
        <w:color w:val="000000"/>
        <w:sz w:val="28"/>
        <w:szCs w:val="28"/>
        <w:u w:val="none" w:color="000000"/>
        <w:shd w:val="clear" w:color="auto" w:fill="auto"/>
        <w:vertAlign w:val="baseline"/>
      </w:rPr>
    </w:lvl>
  </w:abstractNum>
  <w:num w:numId="1">
    <w:abstractNumId w:val="1"/>
  </w:num>
  <w:num w:numId="2">
    <w:abstractNumId w:val="0"/>
  </w:num>
</w:numbering>
</file>

<file path=word/settings.xml><?xml version="1.0" encoding="utf-8"?>
<w:settings xmlns:w="http://schemas.openxmlformats.org/wordprocessingml/2006/main">
  <w:displayBackgroundShape w:val="0"/>
  <w:defaultTabStop w:val="720"/>
  <w:autoHyphenation w:val="0"/>
  <w:hyphenationZone w:val="425"/>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sz w:val="28"/>
        <w:szCs w:val="28"/>
        <w:lang w:val="uk-UA" w:bidi="ar-SA" w:eastAsia="uk-UA"/>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Cs w:val="24"/>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rPr>
  </w:style>
  <w:style w:type="paragraph" w:styleId="P5">
    <w:name w:val="heading 5"/>
    <w:basedOn w:val="P0"/>
    <w:next w:val="P0"/>
    <w:semiHidden/>
    <w:qFormat/>
    <w:pPr>
      <w:keepNext w:val="1"/>
      <w:keepLines w:val="1"/>
      <w:spacing w:before="220" w:after="40" w:beforeAutospacing="0" w:afterAutospacing="0"/>
      <w:outlineLvl w:val="4"/>
    </w:pPr>
    <w:rPr>
      <w:b w:val="1"/>
      <w:sz w:val="22"/>
      <w:szCs w:val="22"/>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header"/>
    <w:basedOn w:val="P0"/>
    <w:link w:val="C4"/>
    <w:pPr>
      <w:tabs>
        <w:tab w:val="center" w:pos="4819" w:leader="none"/>
        <w:tab w:val="right" w:pos="9639" w:leader="none"/>
      </w:tabs>
    </w:pPr>
    <w:rPr/>
  </w:style>
  <w:style w:type="paragraph" w:styleId="P9">
    <w:name w:val="rvps2"/>
    <w:basedOn w:val="P0"/>
    <w:pPr>
      <w:spacing w:before="100" w:after="100" w:beforeAutospacing="1" w:afterAutospacing="1"/>
    </w:pPr>
    <w:rPr>
      <w:sz w:val="24"/>
      <w:lang w:val="en-US" w:eastAsia="en-US"/>
    </w:rPr>
  </w:style>
  <w:style w:type="paragraph" w:styleId="P10">
    <w:name w:val="List Paragraph"/>
    <w:basedOn w:val="P0"/>
    <w:qFormat/>
    <w:pPr>
      <w:ind w:left="720"/>
      <w:contextualSpacing w:val="1"/>
    </w:pPr>
    <w:rPr/>
  </w:style>
  <w:style w:type="paragraph" w:styleId="P11">
    <w:name w:val="Balloon Text"/>
    <w:basedOn w:val="P0"/>
    <w:link w:val="C8"/>
    <w:semiHidden/>
    <w:pPr/>
    <w:rPr>
      <w:rFonts w:ascii="Tahoma" w:hAnsi="Tahoma"/>
      <w:sz w:val="16"/>
      <w:szCs w:val="16"/>
    </w:rPr>
  </w:style>
  <w:style w:type="paragraph" w:styleId="P12">
    <w:name w:val="annotation text"/>
    <w:basedOn w:val="P0"/>
    <w:link w:val="C11"/>
    <w:semiHidden/>
    <w:pPr/>
    <w:rPr>
      <w:sz w:val="20"/>
      <w:szCs w:val="20"/>
    </w:rPr>
  </w:style>
  <w:style w:type="paragraph" w:styleId="P13">
    <w:name w:val="annotation subject"/>
    <w:basedOn w:val="P12"/>
    <w:next w:val="P12"/>
    <w:link w:val="C12"/>
    <w:semiHidden/>
    <w:pPr/>
    <w:rPr>
      <w:b w:val="1"/>
      <w:bCs w:val="1"/>
    </w:rPr>
  </w:style>
  <w:style w:type="paragraph" w:styleId="P14">
    <w:name w:val="Normal (Web)"/>
    <w:basedOn w:val="P0"/>
    <w:pPr>
      <w:spacing w:before="100" w:after="100" w:beforeAutospacing="1" w:afterAutospacing="1"/>
    </w:pPr>
    <w:rPr>
      <w:sz w:val="24"/>
    </w:rPr>
  </w:style>
  <w:style w:type="paragraph" w:styleId="P15">
    <w:name w:val="Subtitle"/>
    <w:basedOn w:val="P0"/>
    <w:next w:val="P0"/>
    <w:qFormat/>
    <w:pPr>
      <w:keepNext w:val="1"/>
      <w:keepLines w:val="1"/>
      <w:spacing w:before="360" w:after="80" w:beforeAutospacing="0" w:afterAutospacing="0"/>
    </w:pPr>
    <w:rPr>
      <w:rFonts w:ascii="Georgia" w:hAnsi="Georgia"/>
      <w:i w:val="1"/>
      <w:color w:val="666666"/>
      <w:sz w:val="48"/>
      <w:szCs w:val="48"/>
    </w:rPr>
  </w:style>
  <w:style w:type="paragraph" w:styleId="P16">
    <w:name w:val="Нормальний текст"/>
    <w:basedOn w:val="P0"/>
    <w:pPr>
      <w:spacing w:before="120" w:beforeAutospacing="0" w:afterAutospacing="0"/>
      <w:ind w:firstLine="567"/>
    </w:pPr>
    <w:rPr>
      <w:rFonts w:ascii="Antiqua" w:hAnsi="Antiqua"/>
      <w:sz w:val="26"/>
      <w:szCs w:val="20"/>
      <w:lang w:eastAsia="ru-RU"/>
    </w:rPr>
  </w:style>
  <w:style w:type="paragraph" w:styleId="P17">
    <w:name w:val="footer"/>
    <w:basedOn w:val="P0"/>
    <w:link w:val="C13"/>
    <w:pPr>
      <w:tabs>
        <w:tab w:val="center" w:pos="4819" w:leader="none"/>
        <w:tab w:val="right" w:pos="9639" w:leader="none"/>
      </w:tabs>
    </w:pPr>
    <w:rPr/>
  </w:style>
  <w:style w:type="paragraph" w:styleId="P18">
    <w:name w:val="Body Text"/>
    <w:basedOn w:val="P0"/>
    <w:link w:val="C14"/>
    <w:qFormat/>
    <w:pPr>
      <w:widowControl w:val="0"/>
    </w:pPr>
    <w:rPr>
      <w:szCs w:val="28"/>
      <w:lang w:eastAsia="en-US"/>
    </w:rPr>
  </w:style>
  <w:style w:type="paragraph" w:styleId="P19">
    <w:name w:val="footnote text"/>
    <w:link w:val="C18"/>
    <w:semiHidden/>
    <w:pPr/>
    <w:rPr>
      <w:sz w:val="20"/>
      <w:szCs w:val="20"/>
    </w:rPr>
  </w:style>
  <w:style w:type="paragraph" w:styleId="P20">
    <w:name w:val="endnote text"/>
    <w:link w:val="C20"/>
    <w:semiHidden/>
    <w:pPr/>
    <w:rPr>
      <w:sz w:val="20"/>
      <w:szCs w:val="20"/>
    </w:rPr>
  </w:style>
  <w:style w:type="paragraph" w:styleId="P21">
    <w:name w:val="Revision"/>
    <w:hidden/>
    <w:semiHidden/>
    <w:pPr/>
    <w:rPr>
      <w:szCs w:val="24"/>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000FF"/>
      <w:u w:val="single"/>
    </w:rPr>
  </w:style>
  <w:style w:type="character" w:styleId="C3">
    <w:name w:val="line number"/>
    <w:basedOn w:val="C0"/>
    <w:semiHidden/>
    <w:rPr/>
  </w:style>
  <w:style w:type="character" w:styleId="C4">
    <w:name w:val="Верхній колонтитул Знак"/>
    <w:basedOn w:val="C0"/>
    <w:link w:val="P8"/>
    <w:rPr>
      <w:rFonts w:ascii="Times New Roman" w:hAnsi="Times New Roman"/>
      <w:sz w:val="24"/>
      <w:szCs w:val="24"/>
      <w:lang w:eastAsia="ru-RU"/>
    </w:rPr>
  </w:style>
  <w:style w:type="character" w:styleId="C5">
    <w:name w:val="Шрифт абзацу за замовчуванням1"/>
    <w:rPr/>
  </w:style>
  <w:style w:type="character" w:styleId="C6">
    <w:name w:val="Strong"/>
    <w:basedOn w:val="C0"/>
    <w:qFormat/>
    <w:rPr>
      <w:b w:val="1"/>
      <w:bCs w:val="1"/>
    </w:rPr>
  </w:style>
  <w:style w:type="character" w:styleId="C7">
    <w:name w:val="rvts9"/>
    <w:basedOn w:val="C0"/>
    <w:rPr/>
  </w:style>
  <w:style w:type="character" w:styleId="C8">
    <w:name w:val="Текст у виносці Знак"/>
    <w:basedOn w:val="C0"/>
    <w:link w:val="P11"/>
    <w:semiHidden/>
    <w:rPr>
      <w:rFonts w:ascii="Tahoma" w:hAnsi="Tahoma"/>
      <w:sz w:val="16"/>
      <w:szCs w:val="16"/>
      <w:lang w:val="uk-UA"/>
    </w:rPr>
  </w:style>
  <w:style w:type="character" w:styleId="C9">
    <w:name w:val="st42"/>
    <w:rPr>
      <w:color w:val="000000"/>
    </w:rPr>
  </w:style>
  <w:style w:type="character" w:styleId="C10">
    <w:name w:val="annotation reference"/>
    <w:basedOn w:val="C0"/>
    <w:semiHidden/>
    <w:rPr>
      <w:sz w:val="16"/>
      <w:szCs w:val="16"/>
    </w:rPr>
  </w:style>
  <w:style w:type="character" w:styleId="C11">
    <w:name w:val="Текст примітки Знак"/>
    <w:basedOn w:val="C0"/>
    <w:link w:val="P12"/>
    <w:semiHidden/>
    <w:rPr>
      <w:rFonts w:ascii="Times New Roman" w:hAnsi="Times New Roman"/>
      <w:sz w:val="20"/>
      <w:szCs w:val="20"/>
      <w:lang w:val="uk-UA"/>
    </w:rPr>
  </w:style>
  <w:style w:type="character" w:styleId="C12">
    <w:name w:val="Тема примітки Знак"/>
    <w:basedOn w:val="C11"/>
    <w:link w:val="P13"/>
    <w:semiHidden/>
    <w:rPr>
      <w:rFonts w:ascii="Times New Roman" w:hAnsi="Times New Roman"/>
      <w:b w:val="1"/>
      <w:bCs w:val="1"/>
      <w:sz w:val="20"/>
      <w:szCs w:val="20"/>
      <w:lang w:val="uk-UA"/>
    </w:rPr>
  </w:style>
  <w:style w:type="character" w:styleId="C13">
    <w:name w:val="Нижній колонтитул Знак"/>
    <w:basedOn w:val="C0"/>
    <w:link w:val="P17"/>
    <w:rPr>
      <w:szCs w:val="24"/>
    </w:rPr>
  </w:style>
  <w:style w:type="character" w:styleId="C14">
    <w:name w:val="Основний текст Знак"/>
    <w:basedOn w:val="C0"/>
    <w:link w:val="P18"/>
    <w:rPr>
      <w:lang w:eastAsia="en-US"/>
    </w:rPr>
  </w:style>
  <w:style w:type="character" w:styleId="C15">
    <w:name w:val="apple-tab-span"/>
    <w:basedOn w:val="C0"/>
    <w:rPr/>
  </w:style>
  <w:style w:type="character" w:styleId="C16">
    <w:name w:val="Незакрита згадка1"/>
    <w:basedOn w:val="C0"/>
    <w:semiHidden/>
    <w:rPr>
      <w:color w:val="605E5C"/>
      <w:shd w:val="clear" w:color="auto" w:fill="E1DFDD"/>
    </w:rPr>
  </w:style>
  <w:style w:type="character" w:styleId="C17">
    <w:name w:val="footnote reference"/>
    <w:semiHidden/>
    <w:rPr>
      <w:vertAlign w:val="superscript"/>
    </w:rPr>
  </w:style>
  <w:style w:type="character" w:styleId="C18">
    <w:name w:val="Текст виноски Знак"/>
    <w:link w:val="P19"/>
    <w:semiHidden/>
    <w:rPr>
      <w:sz w:val="20"/>
      <w:szCs w:val="20"/>
    </w:rPr>
  </w:style>
  <w:style w:type="character" w:styleId="C19">
    <w:name w:val="endnote reference"/>
    <w:semiHidden/>
    <w:rPr>
      <w:vertAlign w:val="superscript"/>
    </w:rPr>
  </w:style>
  <w:style w:type="character" w:styleId="C20">
    <w:name w:val="Текст кінцевої виноски Знак"/>
    <w:link w:val="P20"/>
    <w:semiHidden/>
    <w:rPr>
      <w:sz w:val="20"/>
      <w:szCs w:val="20"/>
    </w:rPr>
  </w:style>
  <w:style w:type="character" w:styleId="C21">
    <w:name w:val="Unresolved Mention"/>
    <w:basedOn w:val="C0"/>
    <w:semiHidden/>
    <w:rPr>
      <w:color w:val="605E5C"/>
      <w:shd w:val="clear" w:color="auto" w:fill="E1DFDD"/>
    </w:rPr>
  </w:style>
  <w:style w:type="character" w:styleId="C22">
    <w:name w:val="Footnote Text Char"/>
    <w:semiHidden/>
    <w:rPr>
      <w:sz w:val="20"/>
      <w:szCs w:val="20"/>
    </w:rPr>
  </w:style>
  <w:style w:type="character" w:styleId="C23">
    <w:name w:val="Endnote Text Char"/>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Normal1"/>
    <w:tblPr>
      <w:tblCellMar>
        <w:top w:w="0" w:type="dxa"/>
        <w:left w:w="0" w:type="dxa"/>
        <w:bottom w:w="0" w:type="dxa"/>
        <w:right w:w="0" w:type="dxa"/>
      </w:tblCellMar>
    </w:tblPr>
    <w:trPr/>
    <w:tcPr/>
  </w:style>
  <w:style w:type="table" w:styleId="T3">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066.e-health.gov.ua" TargetMode="External" /><Relationship Id="R3" Type="http://schemas.openxmlformats.org/officeDocument/2006/relationships/hyperlink" Target="https://066.e-health.gov.ua" TargetMode="External"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s>
</file>

<file path=word/_rels/header2.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uLxJ1yoh1VA5B9+c5rygMOcEA==">CgMxLjA4AHIhMXNpM1lNMlFqVlhfX1liSDAzUUs5WThMUVBXYk92eDJt</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API/21.1.3.0</Application>
  <AppVersion>21.1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Ревенчук Ольга Валеріївна</dc:creator>
  <dcterms:created xsi:type="dcterms:W3CDTF">2024-09-26T14:47:00Z</dcterms:created>
  <cp:lastModifiedBy>pool-iis</cp:lastModifiedBy>
  <dcterms:modified xsi:type="dcterms:W3CDTF">2024-10-01T07:04:12Z</dcterms:modified>
  <cp:revision>8</cp:revision>
</cp:coreProperties>
</file>