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ackground w:color="FFFFFF"/>
  <w:body>
    <w:p>
      <w:pPr>
        <w:widowControl w:val="0"/>
        <w:jc w:val="center"/>
      </w:pPr>
    </w:p>
    <w:p>
      <w:pPr>
        <w:widowControl w:val="0"/>
        <w:jc w:val="center"/>
      </w:pPr>
      <w:r>
        <w:t>НАЦІОНАЛЬНА СЛУЖБА ЗДОРОВ’Я УКРАЇНИ</w:t>
      </w:r>
    </w:p>
    <w:p>
      <w:pPr>
        <w:widowControl w:val="0"/>
        <w:jc w:val="center"/>
      </w:pPr>
      <w:r>
        <w:t>(НСЗУ)</w:t>
      </w:r>
    </w:p>
    <w:p>
      <w:pPr>
        <w:widowControl w:val="0"/>
        <w:spacing w:after="120" w:beforeAutospacing="0" w:afterAutospacing="0"/>
        <w:jc w:val="center"/>
        <w:rPr>
          <w:sz w:val="22"/>
          <w:szCs w:val="22"/>
        </w:rPr>
      </w:pPr>
      <w:r>
        <w:rPr>
          <w:sz w:val="22"/>
          <w:szCs w:val="22"/>
        </w:rPr>
        <w:t>просп. Степана Бандери, 19, м. Київ, 04073, тел.: (044) 426-67-77, (044) 290-06-91</w:t>
      </w:r>
    </w:p>
    <w:p>
      <w:pPr>
        <w:widowControl w:val="0"/>
        <w:jc w:val="center"/>
        <w:rPr>
          <w:sz w:val="22"/>
          <w:szCs w:val="22"/>
        </w:rPr>
      </w:pPr>
      <w:r>
        <w:rPr>
          <w:sz w:val="22"/>
          <w:szCs w:val="22"/>
        </w:rPr>
        <w:t>E-mail: info@nszu.gov.ua, сайт: www.nszu.gov.ua, код згідно з ЄДРПОУ 42032422</w:t>
      </w:r>
    </w:p>
    <w:p>
      <w:pPr>
        <w:widowControl w:val="0"/>
        <w:jc w:val="center"/>
        <w:rPr>
          <w:sz w:val="20"/>
          <w:szCs w:val="20"/>
        </w:rPr>
      </w:pPr>
      <w:r>
        <w:rPr>
          <w:sz w:val="20"/>
          <w:szCs w:val="20"/>
        </w:rPr>
        <w:t>_______________________________________________________________________________________________</w:t>
      </w:r>
    </w:p>
    <w:p>
      <w:pPr>
        <w:spacing w:before="120" w:beforeAutospacing="0" w:afterAutospacing="0"/>
        <w:rPr>
          <w:sz w:val="20"/>
          <w:szCs w:val="20"/>
        </w:rPr>
      </w:pPr>
      <w:r>
        <w:rPr>
          <w:sz w:val="20"/>
          <w:szCs w:val="20"/>
        </w:rPr>
        <w:t>від ___________ 20__ р. № __________________</w:t>
        <w:tab/>
        <w:tab/>
        <w:t>На № _____________ від ___________ 20__ р.</w:t>
      </w:r>
    </w:p>
    <w:p>
      <w:pPr>
        <w:jc w:val="both"/>
        <w:rPr>
          <w:sz w:val="27"/>
          <w:szCs w:val="27"/>
        </w:rPr>
      </w:pPr>
      <w:r>
        <w:rPr>
          <w:sz w:val="27"/>
          <w:szCs w:val="27"/>
        </w:rPr>
        <w:t xml:space="preserve">                                                                          </w:t>
      </w:r>
    </w:p>
    <w:p>
      <w:pPr>
        <w:jc w:val="both"/>
        <w:rPr>
          <w:sz w:val="18"/>
          <w:szCs w:val="18"/>
        </w:rPr>
      </w:pPr>
    </w:p>
    <w:p>
      <w:pPr>
        <w:tabs>
          <w:tab w:val="left" w:pos="5103" w:leader="none"/>
        </w:tabs>
        <w:ind w:left="5103"/>
      </w:pPr>
      <w:r>
        <w:t>Керівникам надавачів медичних послуг</w:t>
      </w:r>
    </w:p>
    <w:p>
      <w:pPr>
        <w:tabs>
          <w:tab w:val="left" w:pos="5103" w:leader="none"/>
        </w:tabs>
        <w:ind w:left="5103"/>
        <w:rPr>
          <w:highlight w:val="white"/>
        </w:rPr>
      </w:pPr>
      <w:r>
        <w:t>(за списком)</w:t>
      </w:r>
    </w:p>
    <w:p>
      <w:pPr>
        <w:ind w:firstLine="567"/>
        <w:jc w:val="both"/>
        <w:rPr>
          <w:b w:val="1"/>
        </w:rPr>
      </w:pPr>
    </w:p>
    <w:p>
      <w:pPr>
        <w:ind w:right="5951"/>
        <w:jc w:val="both"/>
      </w:pPr>
      <w:r>
        <w:t xml:space="preserve">Щодо електронного </w:t>
      </w:r>
    </w:p>
    <w:p>
      <w:pPr>
        <w:ind w:right="5951"/>
        <w:jc w:val="both"/>
      </w:pPr>
      <w:r>
        <w:t>направлення</w:t>
      </w:r>
    </w:p>
    <w:p>
      <w:pPr>
        <w:ind w:right="5951"/>
        <w:jc w:val="both"/>
      </w:pP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Національна служба здоров’я України (далі – НСЗУ) дякує усім медичним працівникам за самовіддану працю у важкий для України час та повідомляє, що оплата за звітами про медичні послуги у 2023 році здійснюється відповідно до договору та Порядку реалізації програми державних гарантій медичного обслуговування населення у 2023 році, затвердженого постановою Кабінету Міністрів України від 27.12.2022 № 1464.</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Вчасне та коректне внесення медичних записів до електронної системи охорони здоров’я є запорукою отримання надавачами медичних послуг своєчасної оплати за фактично надані послуги.</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u w:val="single"/>
          <w:lang w:eastAsia="uk-UA"/>
        </w:rPr>
        <w:t>Щодо оновленої функціональності електронної системи охорони здоровʼя (далі – ЕСОЗ) в частині електронного направлення:</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xml:space="preserve">1) наразі при формуванні електронного направлення </w:t>
      </w:r>
      <w:r>
        <w:rPr>
          <w:b w:val="1"/>
          <w:bCs w:val="1"/>
          <w:color w:val="000000"/>
          <w:lang w:eastAsia="uk-UA"/>
        </w:rPr>
        <w:t>необхідно вказати кількість потрібних пацієнту послуг та обрати одиницю виміру к-ті послуги</w:t>
      </w:r>
      <w:r>
        <w:rPr>
          <w:color w:val="000000"/>
          <w:lang w:eastAsia="uk-UA"/>
        </w:rPr>
        <w:t xml:space="preserve"> («штуки» або «хвилини»); </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2) після реєстрації в ЕСОЗ медичного запису про надану послугу за електронним направленням відбувається автоматичний перерахунок залишку послуг, які доступні за цим направленням.</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xml:space="preserve">Для роботи з тими направленнями, що були створені до оновлення функціоналу ЕСОЗ (тобто такі, що не мають зазначеної к-ті та одиниць виміру кількості) продовжують діяти правила, встановлені раніше, при цьому такі направлення прирівняні до одноразових і їх </w:t>
      </w:r>
      <w:r>
        <w:rPr>
          <w:color w:val="000000"/>
          <w:u w:val="single"/>
          <w:lang w:eastAsia="uk-UA"/>
        </w:rPr>
        <w:t>рекомендовано</w:t>
      </w:r>
      <w:r>
        <w:rPr>
          <w:color w:val="000000"/>
          <w:lang w:eastAsia="uk-UA"/>
        </w:rPr>
        <w:t xml:space="preserve"> погасити після обліку наданої послуги (послуг).</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3) оскільки в направленні може бути визначено певну кількість послуг, які необхідно надати пацієнту, послуги по такому направленню можуть надавати різні виконавці у різних закладах (наприклад 5 з 10 - в одному закладі, 5 - в іншому)</w:t>
      </w:r>
      <w:r>
        <w:rPr>
          <w:color w:val="000000"/>
          <w:lang w:eastAsia="uk-UA"/>
        </w:rPr>
        <w:t>.</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xml:space="preserve">При цьому, при зверненні пацієнта з електронним направленням за наданням послуг надавачем системою автоматично перевіряється наявність доступних невикористаних послуг за цим направленням. У разі, якщо протягом дня направлення було використано при наданні послуг, медичний працівник іншого закладу отримує можливість надавати послуги за цим направленням </w:t>
      </w:r>
      <w:r>
        <w:rPr>
          <w:color w:val="000000"/>
          <w:lang w:eastAsia="uk-UA"/>
        </w:rPr>
        <w:t>наступного д</w:t>
      </w:r>
      <w:r>
        <w:rPr>
          <w:color w:val="000000"/>
          <w:lang w:eastAsia="uk-UA"/>
        </w:rPr>
        <w:t>н</w:t>
      </w:r>
      <w:r>
        <w:rPr>
          <w:color w:val="000000"/>
          <w:lang w:eastAsia="uk-UA"/>
        </w:rPr>
        <w:t>я</w:t>
      </w:r>
      <w:r>
        <w:rPr>
          <w:color w:val="000000"/>
          <w:lang w:eastAsia="uk-UA"/>
        </w:rPr>
        <w:t>;</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4) У разі, якщо направлення виписано на меншу кількість послуг («штуки» або «хвилини»), ніж потребує пацієнт, лікуючий лікар, який надає такі послуги, може прийняти рішення про надання необхідної (більшої) кількості послуг і самостійно створити додаткове направлення з потрібною додатковою кількістю послуг. </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Наприклад, лікар-спеціаліст видав направлення на 1 послугу, а медичний працівник, який надає відповідну послугу, визначає необхідність проведення 3 послуг. Тож медичний працівник який надасть першу послугу за існуючим направленням має зафіксувати своє призначення через направлення на додаткові 2 послуги.</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5) У випадку надання повної кількості запланованих у направленні послуг таке направлення має бути погашено медпрацівником, який надавав останню послугу.</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Відповідно, якщо направлення виписано на одну послугу, то таке направлення необхідно погасити одразу, якщо направлення створено на декілька послуг – то після надання останньої послуги. Направлення може бути погашено раніше (до досягнення визначеної в направленні кількості послуг) у разі, якщо лікуючий лікар, який надає такі послуги прийняв рішення що пацієнту з медичної точки зору більше не потрібні ці послуги.</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b w:val="1"/>
          <w:i w:val="1"/>
          <w:bCs w:val="1"/>
          <w:iCs w:val="1"/>
          <w:color w:val="000000"/>
          <w:lang w:eastAsia="uk-UA"/>
        </w:rPr>
        <w:t>Важливо!</w:t>
      </w:r>
      <w:r>
        <w:rPr>
          <w:color w:val="000000"/>
          <w:lang w:eastAsia="uk-UA"/>
        </w:rPr>
        <w:t xml:space="preserve"> Не існує вимоги НСЗУ щодо погашення всіх направлень в кінці звітного місяця. Перевірка факту погашення направлення здійснюється тільки у випадку надання останньої послуги за цим направленням. </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u w:val="single"/>
          <w:lang w:eastAsia="uk-UA"/>
        </w:rPr>
        <w:t>Щодо виправлення помилок в розшифровці з позначкою «непогашене направлення»</w:t>
      </w:r>
      <w:r>
        <w:rPr>
          <w:color w:val="000000"/>
          <w:lang w:eastAsia="uk-UA"/>
        </w:rPr>
        <w:t>. </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xml:space="preserve">У разі відображення помилки в розшифровці ЕМЗ щодо непогашеного направлення, необхідно погасити таке направлення в межах останньої або при наступній взаємодії. Всі послуги, що надані по цьому направленню будуть включені до звіту автоматично. Додатково звітувати про виправлення такої помилки в НСЗУ чи перевносити ЕМЗ при цьому </w:t>
      </w:r>
      <w:r>
        <w:rPr>
          <w:color w:val="000000"/>
          <w:u w:val="single"/>
          <w:lang w:eastAsia="uk-UA"/>
        </w:rPr>
        <w:t>не потрібно</w:t>
      </w:r>
      <w:r>
        <w:rPr>
          <w:color w:val="000000"/>
          <w:lang w:eastAsia="uk-UA"/>
        </w:rPr>
        <w:t>.</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w:t>
      </w:r>
      <w:r>
        <w:rPr>
          <w:color w:val="000000"/>
          <w:u w:val="single"/>
          <w:lang w:eastAsia="uk-UA"/>
        </w:rPr>
        <w:t>Щодо випадків коригування медичних записів про послуги, які надані за направленням.</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xml:space="preserve">У  разі, якщо у надавача існує необхідність відкоригувати медичний запис (у тому числі про послуги, надані за направленням), то таке коригування здійснюється шляхом встановлення в ЕСОЗ позначки «Внесений помилково» для помилкового медичного запису та внесення нового медичного запису який містить оновлені достовірні дані стосовно медичної події, що відбулась, з посиланням </w:t>
      </w:r>
      <w:r>
        <w:rPr>
          <w:color w:val="000000"/>
          <w:u w:val="single"/>
          <w:lang w:eastAsia="uk-UA"/>
        </w:rPr>
        <w:t>на нове направлення.</w:t>
      </w:r>
      <w:r>
        <w:rPr>
          <w:color w:val="000000"/>
          <w:lang w:eastAsia="uk-UA"/>
        </w:rPr>
        <w:t xml:space="preserve"> (у випадку якщо старе направлення вже було погашено).</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При цьому, у випадках необхідності здійснення коригування медичного запису про надані послуги, який посилається на електронне направлення, яке було погашено після надання послуги, створення нового направлення для внесення нового (коригуючого) медичного запису не вважається помилкою.  </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xml:space="preserve">Нагадуємо про необхідність подання інформації про коригування медичних записів у випадках якщо таке коригування відбулось пізніше десятого робочого дня після закінчення звітного періоду за допомогою уніфікованої форми звітування на онлайн платформі за посиланням </w:t>
      </w:r>
      <w:hyperlink xmlns:r="http://schemas.openxmlformats.org/officeDocument/2006/relationships" r:id="R2">
        <w:r>
          <w:rPr>
            <w:rStyle w:val="C2"/>
            <w:lang w:eastAsia="uk-UA"/>
          </w:rPr>
          <w:t>https://066.e-health.gov.ua</w:t>
        </w:r>
      </w:hyperlink>
      <w:r>
        <w:rPr>
          <w:color w:val="000000"/>
          <w:lang w:eastAsia="uk-UA"/>
        </w:rPr>
        <w:t xml:space="preserve"> відповідно до рекомендацій, наданих листом НСЗУ від 30.01.2023 №3267/11-15-23.</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b w:val="1"/>
          <w:bCs w:val="1"/>
          <w:color w:val="000000"/>
          <w:lang w:eastAsia="uk-UA"/>
        </w:rPr>
        <w:t>У разі виникнення додаткових питань просимо звертатись до міжрегіональних департаментів НСЗУ.</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ind w:firstLine="720"/>
        <w:jc w:val="both"/>
        <w:rPr>
          <w:color w:val="000000"/>
          <w:lang w:eastAsia="uk-UA"/>
        </w:rPr>
      </w:pPr>
      <w:r>
        <w:rPr>
          <w:color w:val="000000"/>
          <w:lang w:eastAsia="uk-UA"/>
        </w:rPr>
        <w:t xml:space="preserve"> </w:t>
      </w:r>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jc w:val="both"/>
        <w:rPr>
          <w:sz w:val="24"/>
          <w:szCs w:val="24"/>
          <w:lang w:eastAsia="uk-UA"/>
        </w:rPr>
      </w:pPr>
      <w:r>
        <w:rPr>
          <w:rFonts w:ascii="Arial" w:hAnsi="Arial"/>
          <w:color w:val="000000"/>
          <w:sz w:val="22"/>
          <w:szCs w:val="22"/>
          <w:lang w:eastAsia="uk-UA"/>
        </w:rPr>
        <w:t> </w:t>
      </w:r>
    </w:p>
    <w:p>
      <w:pPr>
        <w:pBdr>
          <w:top w:val="none" w:sz="0" w:space="0" w:shadow="0" w:frame="0" w:color="000000"/>
          <w:left w:val="none" w:sz="0" w:space="0" w:shadow="0" w:frame="0" w:color="000000"/>
          <w:bottom w:val="none" w:sz="0" w:space="0" w:shadow="0" w:frame="0" w:color="000000"/>
          <w:right w:val="none" w:sz="0" w:space="0" w:shadow="0" w:frame="0" w:color="000000"/>
          <w:between w:val="nil" w:sz="0" w:space="0" w:shadow="0" w:frame="0" w:color="auto"/>
        </w:pBdr>
        <w:tabs>
          <w:tab w:val="left" w:pos="7088" w:leader="none"/>
        </w:tabs>
        <w:jc w:val="both"/>
        <w:rPr>
          <w:color w:val="000000"/>
        </w:rPr>
      </w:pPr>
    </w:p>
    <w:p>
      <w:pPr>
        <w:pBdr>
          <w:top w:val="none" w:sz="0" w:space="0" w:shadow="0" w:frame="0" w:color="000000"/>
          <w:left w:val="none" w:sz="0" w:space="0" w:shadow="0" w:frame="0" w:color="000000"/>
          <w:bottom w:val="none" w:sz="0" w:space="0" w:shadow="0" w:frame="0" w:color="000000"/>
          <w:right w:val="none" w:sz="0" w:space="0" w:shadow="0" w:frame="0" w:color="000000"/>
          <w:between w:val="nil" w:sz="0" w:space="0" w:shadow="0" w:frame="0" w:color="auto"/>
        </w:pBdr>
        <w:tabs>
          <w:tab w:val="left" w:pos="7088" w:leader="none"/>
        </w:tabs>
        <w:jc w:val="both"/>
        <w:rPr>
          <w:color w:val="000000"/>
        </w:rPr>
      </w:pPr>
      <w:r>
        <w:rPr>
          <w:color w:val="000000"/>
        </w:rPr>
        <w:t>Голова</w:t>
        <w:tab/>
        <w:t>Наталія ГУСАК</w:t>
      </w: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jc w:val="both"/>
        <w:rPr>
          <w:color w:val="000000"/>
          <w:sz w:val="26"/>
          <w:szCs w:val="26"/>
        </w:rPr>
      </w:pPr>
    </w:p>
    <w:p>
      <w:pPr>
        <w:pBdr>
          <w:top w:val="none" w:sz="0" w:space="0" w:shadow="0" w:frame="0" w:color="000000"/>
          <w:left w:val="none" w:sz="0" w:space="0" w:shadow="0" w:frame="0" w:color="000000"/>
          <w:bottom w:val="none" w:sz="0" w:space="0" w:shadow="0" w:frame="0" w:color="000000"/>
          <w:right w:val="none" w:sz="0" w:space="0" w:shadow="0" w:frame="0" w:color="000000"/>
          <w:between w:val="nil" w:sz="0" w:space="0" w:shadow="0" w:frame="0" w:color="auto"/>
        </w:pBdr>
        <w:jc w:val="both"/>
        <w:rPr>
          <w:sz w:val="20"/>
          <w:szCs w:val="20"/>
        </w:rPr>
      </w:pPr>
      <w:r>
        <w:rPr>
          <w:color w:val="000000"/>
          <w:sz w:val="20"/>
          <w:szCs w:val="20"/>
        </w:rPr>
        <w:t xml:space="preserve">Василь Півень </w:t>
      </w:r>
      <w:r>
        <w:rPr>
          <w:color w:val="000000"/>
          <w:sz w:val="20"/>
          <w:szCs w:val="20"/>
          <w:lang w:val="en-US"/>
        </w:rPr>
        <w:t>V</w:t>
      </w:r>
      <w:r>
        <w:rPr>
          <w:color w:val="000000"/>
          <w:sz w:val="20"/>
          <w:szCs w:val="20"/>
        </w:rPr>
        <w:t>asyl.</w:t>
      </w:r>
      <w:r>
        <w:rPr>
          <w:color w:val="000000"/>
          <w:sz w:val="20"/>
          <w:szCs w:val="20"/>
          <w:lang w:val="en-US"/>
        </w:rPr>
        <w:t>P</w:t>
      </w:r>
      <w:r>
        <w:rPr>
          <w:color w:val="000000"/>
          <w:sz w:val="20"/>
          <w:szCs w:val="20"/>
        </w:rPr>
        <w:t>iven@nszu.gov.ua</w:t>
      </w:r>
    </w:p>
    <w:sectPr>
      <w:headerReference xmlns:r="http://schemas.openxmlformats.org/officeDocument/2006/relationships" w:type="first" r:id="RelHdr1"/>
      <w:headerReference xmlns:r="http://schemas.openxmlformats.org/officeDocument/2006/relationships" w:type="default" r:id="RelHdr2"/>
      <w:footnotePr/>
      <w:endnotePr/>
      <w:type w:val="nextPage"/>
      <w:pgSz w:w="11905" w:h="16837" w:code="0"/>
      <w:pgMar w:left="1701" w:right="567" w:top="1134" w:bottom="1134" w:header="284" w:footer="1134" w:gutter="0"/>
      <w:pgNumType w:start="1" w:chapSep="period"/>
      <w:cols w:equalWidth="1" w:space="720"/>
      <w:titlePg w:val="1"/>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endnote>
  <w:endnote w:type="continuationSeparator" w:id="0">
    <w:p/>
  </w:endnote>
</w:endnotes>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footnote>
  <w:footnote w:type="continuationSeparator" w:id="0">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000000"/>
        <w:left w:val="none" w:sz="0" w:space="0" w:shadow="0" w:frame="0" w:color="000000"/>
        <w:bottom w:val="none" w:sz="0" w:space="0" w:shadow="0" w:frame="0" w:color="000000"/>
        <w:right w:val="none" w:sz="0" w:space="0" w:shadow="0" w:frame="0" w:color="000000"/>
        <w:between w:val="nil" w:sz="0" w:space="0" w:shadow="0" w:frame="0" w:color="auto"/>
      </w:pBdr>
      <w:tabs>
        <w:tab w:val="center" w:pos="4819" w:leader="none"/>
        <w:tab w:val="right" w:pos="9639" w:leader="none"/>
      </w:tabs>
      <w:jc w:val="center"/>
      <w:rPr>
        <w:color w:val="000000"/>
      </w:rPr>
    </w:pPr>
    <w:r>
      <w:rPr>
        <w:noProof w:val="1"/>
        <w:color w:val="000000"/>
        <w:sz w:val="24"/>
        <w:szCs w:val="24"/>
      </w:rPr>
      <w:drawing>
        <wp:inline xmlns:wp="http://schemas.openxmlformats.org/drawingml/2006/wordprocessingDrawing" distT="0" distB="0" distL="0" distR="0">
          <wp:extent cx="464820" cy="64008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1"/>
                  <a:srcRect/>
                  <a:stretch>
                    <a:fillRect/>
                  </a:stretch>
                </pic:blipFill>
                <pic:spPr>
                  <a:xfrm>
                    <a:off x="0" y="0"/>
                    <a:ext cx="464820" cy="640080"/>
                  </a:xfrm>
                  <a:prstGeom prst="rect"/>
                </pic:spPr>
              </pic:pic>
            </a:graphicData>
          </a:graphic>
        </wp:inline>
      </w:drawing>
    </w: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000000"/>
        <w:left w:val="none" w:sz="0" w:space="0" w:shadow="0" w:frame="0" w:color="000000"/>
        <w:bottom w:val="none" w:sz="0" w:space="0" w:shadow="0" w:frame="0" w:color="000000"/>
        <w:right w:val="none" w:sz="0" w:space="0" w:shadow="0" w:frame="0" w:color="000000"/>
        <w:between w:val="nil" w:sz="0" w:space="0" w:shadow="0" w:frame="0" w:color="auto"/>
      </w:pBdr>
      <w:tabs>
        <w:tab w:val="center" w:pos="4819" w:leader="none"/>
        <w:tab w:val="right" w:pos="9639" w:leader="none"/>
      </w:tabs>
      <w:jc w:val="center"/>
      <w:rPr>
        <w:color w:val="000000"/>
      </w:rPr>
    </w:pPr>
    <w:r>
      <w:rPr>
        <w:color w:val="000000"/>
      </w:rPr>
      <w:fldChar w:fldCharType="begin"/>
    </w:r>
    <w:r>
      <w:rPr>
        <w:color w:val="000000"/>
      </w:rPr>
      <w:instrText>PAGE</w:instrText>
    </w:r>
    <w:r>
      <w:rPr>
        <w:color w:val="000000"/>
      </w:rPr>
      <w:fldChar w:fldCharType="separate"/>
    </w:r>
    <w:r>
      <w:rPr>
        <w:color w:val="000000"/>
      </w:rPr>
      <w:t>#</w:t>
    </w:r>
    <w:r>
      <w:rPr>
        <w:color w:val="000000"/>
      </w:rPr>
      <w:fldChar w:fldCharType="end"/>
    </w:r>
  </w:p>
  <w:p>
    <w:pPr>
      <w:pBdr>
        <w:top w:val="none" w:sz="0" w:space="0" w:shadow="0" w:frame="0" w:color="000000"/>
        <w:left w:val="none" w:sz="0" w:space="0" w:shadow="0" w:frame="0" w:color="000000"/>
        <w:bottom w:val="none" w:sz="0" w:space="0" w:shadow="0" w:frame="0" w:color="000000"/>
        <w:right w:val="none" w:sz="0" w:space="0" w:shadow="0" w:frame="0" w:color="000000"/>
        <w:between w:val="nil" w:sz="0" w:space="0" w:shadow="0" w:frame="0" w:color="auto"/>
      </w:pBdr>
      <w:tabs>
        <w:tab w:val="center" w:pos="4819" w:leader="none"/>
        <w:tab w:val="right" w:pos="9639" w:leader="none"/>
      </w:tabs>
      <w:rPr>
        <w:color w:val="000000"/>
      </w:rPr>
    </w:pPr>
  </w:p>
</w:hdr>
</file>

<file path=word/numbering.xml><?xml version="1.0" encoding="utf-8"?>
<w:numbering xmlns:w="http://schemas.openxmlformats.org/wordprocessingml/2006/main">
  <w:abstractNum w:abstractNumId="0">
    <w:nsid w:val="152D242F"/>
    <w:multiLevelType w:val="multilevel"/>
    <w:lvl w:ilvl="0">
      <w:start w:val="1"/>
      <w:numFmt w:val="bullet"/>
      <w:suff w:val="tab"/>
      <w:lvlText w:val=""/>
      <w:lvlJc w:val="left"/>
      <w:pPr>
        <w:ind w:hanging="360" w:left="720"/>
        <w:tabs>
          <w:tab w:val="num" w:pos="720" w:leader="none"/>
        </w:tabs>
      </w:pPr>
      <w:rPr>
        <w:rFonts w:ascii="Symbol" w:hAnsi="Symbol"/>
        <w:sz w:val="20"/>
      </w:rPr>
    </w:lvl>
    <w:lvl w:ilvl="1">
      <w:start w:val="1"/>
      <w:numFmt w:val="bullet"/>
      <w:suff w:val="tab"/>
      <w:lvlText w:val="o"/>
      <w:lvlJc w:val="left"/>
      <w:pPr>
        <w:ind w:hanging="360" w:left="1440"/>
        <w:tabs>
          <w:tab w:val="num" w:pos="1440" w:leader="none"/>
        </w:tabs>
      </w:pPr>
      <w:rPr>
        <w:rFonts w:ascii="Courier New" w:hAnsi="Courier New"/>
        <w:sz w:val="20"/>
      </w:rPr>
    </w:lvl>
    <w:lvl w:ilvl="2">
      <w:start w:val="1"/>
      <w:numFmt w:val="bullet"/>
      <w:suff w:val="tab"/>
      <w:lvlText w:val=""/>
      <w:lvlJc w:val="left"/>
      <w:pPr>
        <w:ind w:hanging="360" w:left="2160"/>
        <w:tabs>
          <w:tab w:val="num" w:pos="2160" w:leader="none"/>
        </w:tabs>
      </w:pPr>
      <w:rPr>
        <w:rFonts w:ascii="Wingdings" w:hAnsi="Wingdings"/>
        <w:sz w:val="20"/>
      </w:rPr>
    </w:lvl>
    <w:lvl w:ilvl="3">
      <w:start w:val="1"/>
      <w:numFmt w:val="bullet"/>
      <w:suff w:val="tab"/>
      <w:lvlText w:val=""/>
      <w:lvlJc w:val="left"/>
      <w:pPr>
        <w:ind w:hanging="360" w:left="2880"/>
        <w:tabs>
          <w:tab w:val="num" w:pos="2880" w:leader="none"/>
        </w:tabs>
      </w:pPr>
      <w:rPr>
        <w:rFonts w:ascii="Wingdings" w:hAnsi="Wingdings"/>
        <w:sz w:val="20"/>
      </w:rPr>
    </w:lvl>
    <w:lvl w:ilvl="4">
      <w:start w:val="1"/>
      <w:numFmt w:val="bullet"/>
      <w:suff w:val="tab"/>
      <w:lvlText w:val=""/>
      <w:lvlJc w:val="left"/>
      <w:pPr>
        <w:ind w:hanging="360" w:left="3600"/>
        <w:tabs>
          <w:tab w:val="num" w:pos="3600" w:leader="none"/>
        </w:tabs>
      </w:pPr>
      <w:rPr>
        <w:rFonts w:ascii="Wingdings" w:hAnsi="Wingdings"/>
        <w:sz w:val="20"/>
      </w:rPr>
    </w:lvl>
    <w:lvl w:ilvl="5">
      <w:start w:val="1"/>
      <w:numFmt w:val="bullet"/>
      <w:suff w:val="tab"/>
      <w:lvlText w:val=""/>
      <w:lvlJc w:val="left"/>
      <w:pPr>
        <w:ind w:hanging="360" w:left="4320"/>
        <w:tabs>
          <w:tab w:val="num" w:pos="4320" w:leader="none"/>
        </w:tabs>
      </w:pPr>
      <w:rPr>
        <w:rFonts w:ascii="Wingdings" w:hAnsi="Wingdings"/>
        <w:sz w:val="20"/>
      </w:rPr>
    </w:lvl>
    <w:lvl w:ilvl="6">
      <w:start w:val="1"/>
      <w:numFmt w:val="bullet"/>
      <w:suff w:val="tab"/>
      <w:lvlText w:val=""/>
      <w:lvlJc w:val="left"/>
      <w:pPr>
        <w:ind w:hanging="360" w:left="5040"/>
        <w:tabs>
          <w:tab w:val="num" w:pos="5040" w:leader="none"/>
        </w:tabs>
      </w:pPr>
      <w:rPr>
        <w:rFonts w:ascii="Wingdings" w:hAnsi="Wingdings"/>
        <w:sz w:val="20"/>
      </w:rPr>
    </w:lvl>
    <w:lvl w:ilvl="7">
      <w:start w:val="1"/>
      <w:numFmt w:val="bullet"/>
      <w:suff w:val="tab"/>
      <w:lvlText w:val=""/>
      <w:lvlJc w:val="left"/>
      <w:pPr>
        <w:ind w:hanging="360" w:left="5760"/>
        <w:tabs>
          <w:tab w:val="num" w:pos="5760" w:leader="none"/>
        </w:tabs>
      </w:pPr>
      <w:rPr>
        <w:rFonts w:ascii="Wingdings" w:hAnsi="Wingdings"/>
        <w:sz w:val="20"/>
      </w:rPr>
    </w:lvl>
    <w:lvl w:ilvl="8">
      <w:start w:val="1"/>
      <w:numFmt w:val="bullet"/>
      <w:suff w:val="tab"/>
      <w:lvlText w:val=""/>
      <w:lvlJc w:val="left"/>
      <w:pPr>
        <w:ind w:hanging="360" w:left="6480"/>
        <w:tabs>
          <w:tab w:val="num" w:pos="6480" w:leader="none"/>
        </w:tabs>
      </w:pPr>
      <w:rPr>
        <w:rFonts w:ascii="Wingdings" w:hAnsi="Wingdings"/>
        <w:sz w:val="20"/>
      </w:rPr>
    </w:lvl>
  </w:abstractNum>
  <w:abstractNum w:abstractNumId="1">
    <w:nsid w:val="1617223B"/>
    <w:multiLevelType w:val="multilevel"/>
    <w:lvl w:ilvl="0">
      <w:start w:val="1"/>
      <w:numFmt w:val="bullet"/>
      <w:suff w:val="tab"/>
      <w:lvlText w:val=""/>
      <w:lvlJc w:val="left"/>
      <w:pPr>
        <w:ind w:hanging="360" w:left="720"/>
        <w:tabs>
          <w:tab w:val="num" w:pos="720" w:leader="none"/>
        </w:tabs>
      </w:pPr>
      <w:rPr>
        <w:rFonts w:ascii="Symbol" w:hAnsi="Symbol"/>
        <w:sz w:val="20"/>
      </w:rPr>
    </w:lvl>
    <w:lvl w:ilvl="1">
      <w:start w:val="1"/>
      <w:numFmt w:val="bullet"/>
      <w:suff w:val="tab"/>
      <w:lvlText w:val="o"/>
      <w:lvlJc w:val="left"/>
      <w:pPr>
        <w:ind w:hanging="360" w:left="1440"/>
        <w:tabs>
          <w:tab w:val="num" w:pos="1440" w:leader="none"/>
        </w:tabs>
      </w:pPr>
      <w:rPr>
        <w:rFonts w:ascii="Courier New" w:hAnsi="Courier New"/>
        <w:sz w:val="20"/>
      </w:rPr>
    </w:lvl>
    <w:lvl w:ilvl="2">
      <w:start w:val="1"/>
      <w:numFmt w:val="bullet"/>
      <w:suff w:val="tab"/>
      <w:lvlText w:val=""/>
      <w:lvlJc w:val="left"/>
      <w:pPr>
        <w:ind w:hanging="360" w:left="2160"/>
        <w:tabs>
          <w:tab w:val="num" w:pos="2160" w:leader="none"/>
        </w:tabs>
      </w:pPr>
      <w:rPr>
        <w:rFonts w:ascii="Wingdings" w:hAnsi="Wingdings"/>
        <w:sz w:val="20"/>
      </w:rPr>
    </w:lvl>
    <w:lvl w:ilvl="3">
      <w:start w:val="1"/>
      <w:numFmt w:val="bullet"/>
      <w:suff w:val="tab"/>
      <w:lvlText w:val=""/>
      <w:lvlJc w:val="left"/>
      <w:pPr>
        <w:ind w:hanging="360" w:left="2880"/>
        <w:tabs>
          <w:tab w:val="num" w:pos="2880" w:leader="none"/>
        </w:tabs>
      </w:pPr>
      <w:rPr>
        <w:rFonts w:ascii="Wingdings" w:hAnsi="Wingdings"/>
        <w:sz w:val="20"/>
      </w:rPr>
    </w:lvl>
    <w:lvl w:ilvl="4">
      <w:start w:val="1"/>
      <w:numFmt w:val="bullet"/>
      <w:suff w:val="tab"/>
      <w:lvlText w:val=""/>
      <w:lvlJc w:val="left"/>
      <w:pPr>
        <w:ind w:hanging="360" w:left="3600"/>
        <w:tabs>
          <w:tab w:val="num" w:pos="3600" w:leader="none"/>
        </w:tabs>
      </w:pPr>
      <w:rPr>
        <w:rFonts w:ascii="Wingdings" w:hAnsi="Wingdings"/>
        <w:sz w:val="20"/>
      </w:rPr>
    </w:lvl>
    <w:lvl w:ilvl="5">
      <w:start w:val="1"/>
      <w:numFmt w:val="bullet"/>
      <w:suff w:val="tab"/>
      <w:lvlText w:val=""/>
      <w:lvlJc w:val="left"/>
      <w:pPr>
        <w:ind w:hanging="360" w:left="4320"/>
        <w:tabs>
          <w:tab w:val="num" w:pos="4320" w:leader="none"/>
        </w:tabs>
      </w:pPr>
      <w:rPr>
        <w:rFonts w:ascii="Wingdings" w:hAnsi="Wingdings"/>
        <w:sz w:val="20"/>
      </w:rPr>
    </w:lvl>
    <w:lvl w:ilvl="6">
      <w:start w:val="1"/>
      <w:numFmt w:val="bullet"/>
      <w:suff w:val="tab"/>
      <w:lvlText w:val=""/>
      <w:lvlJc w:val="left"/>
      <w:pPr>
        <w:ind w:hanging="360" w:left="5040"/>
        <w:tabs>
          <w:tab w:val="num" w:pos="5040" w:leader="none"/>
        </w:tabs>
      </w:pPr>
      <w:rPr>
        <w:rFonts w:ascii="Wingdings" w:hAnsi="Wingdings"/>
        <w:sz w:val="20"/>
      </w:rPr>
    </w:lvl>
    <w:lvl w:ilvl="7">
      <w:start w:val="1"/>
      <w:numFmt w:val="bullet"/>
      <w:suff w:val="tab"/>
      <w:lvlText w:val=""/>
      <w:lvlJc w:val="left"/>
      <w:pPr>
        <w:ind w:hanging="360" w:left="5760"/>
        <w:tabs>
          <w:tab w:val="num" w:pos="5760" w:leader="none"/>
        </w:tabs>
      </w:pPr>
      <w:rPr>
        <w:rFonts w:ascii="Wingdings" w:hAnsi="Wingdings"/>
        <w:sz w:val="20"/>
      </w:rPr>
    </w:lvl>
    <w:lvl w:ilvl="8">
      <w:start w:val="1"/>
      <w:numFmt w:val="bullet"/>
      <w:suff w:val="tab"/>
      <w:lvlText w:val=""/>
      <w:lvlJc w:val="left"/>
      <w:pPr>
        <w:ind w:hanging="360" w:left="6480"/>
        <w:tabs>
          <w:tab w:val="num" w:pos="6480" w:leader="none"/>
        </w:tabs>
      </w:pPr>
      <w:rPr>
        <w:rFonts w:ascii="Wingdings" w:hAnsi="Wingdings"/>
        <w:sz w:val="20"/>
      </w:rPr>
    </w:lvl>
  </w:abstractNum>
  <w:abstractNum w:abstractNumId="2">
    <w:nsid w:val="4A7D60FD"/>
    <w:multiLevelType w:val="hybridMultilevel"/>
    <w:lvl w:ilvl="0" w:tplc="5C20B7BC">
      <w:start w:val="1"/>
      <w:numFmt w:val="decimal"/>
      <w:suff w:val="tab"/>
      <w:lvlText w:val="%1."/>
      <w:lvlJc w:val="left"/>
      <w:pPr>
        <w:ind w:hanging="360" w:left="927"/>
      </w:pPr>
      <w:rPr/>
    </w:lvl>
    <w:lvl w:ilvl="1" w:tplc="04220019">
      <w:start w:val="1"/>
      <w:numFmt w:val="lowerLetter"/>
      <w:suff w:val="tab"/>
      <w:lvlText w:val="%2."/>
      <w:lvlJc w:val="left"/>
      <w:pPr>
        <w:ind w:hanging="360" w:left="1647"/>
      </w:pPr>
      <w:rPr/>
    </w:lvl>
    <w:lvl w:ilvl="2" w:tplc="0422001B">
      <w:start w:val="1"/>
      <w:numFmt w:val="lowerRoman"/>
      <w:suff w:val="tab"/>
      <w:lvlText w:val="%3."/>
      <w:lvlJc w:val="right"/>
      <w:pPr>
        <w:ind w:hanging="180" w:left="2367"/>
      </w:pPr>
      <w:rPr/>
    </w:lvl>
    <w:lvl w:ilvl="3" w:tplc="0422000F">
      <w:start w:val="1"/>
      <w:numFmt w:val="decimal"/>
      <w:suff w:val="tab"/>
      <w:lvlText w:val="%4."/>
      <w:lvlJc w:val="left"/>
      <w:pPr>
        <w:ind w:hanging="360" w:left="3087"/>
      </w:pPr>
      <w:rPr/>
    </w:lvl>
    <w:lvl w:ilvl="4" w:tplc="04220019">
      <w:start w:val="1"/>
      <w:numFmt w:val="lowerLetter"/>
      <w:suff w:val="tab"/>
      <w:lvlText w:val="%5."/>
      <w:lvlJc w:val="left"/>
      <w:pPr>
        <w:ind w:hanging="360" w:left="3807"/>
      </w:pPr>
      <w:rPr/>
    </w:lvl>
    <w:lvl w:ilvl="5" w:tplc="0422001B">
      <w:start w:val="1"/>
      <w:numFmt w:val="lowerRoman"/>
      <w:suff w:val="tab"/>
      <w:lvlText w:val="%6."/>
      <w:lvlJc w:val="right"/>
      <w:pPr>
        <w:ind w:hanging="180" w:left="4527"/>
      </w:pPr>
      <w:rPr/>
    </w:lvl>
    <w:lvl w:ilvl="6" w:tplc="0422000F">
      <w:start w:val="1"/>
      <w:numFmt w:val="decimal"/>
      <w:suff w:val="tab"/>
      <w:lvlText w:val="%7."/>
      <w:lvlJc w:val="left"/>
      <w:pPr>
        <w:ind w:hanging="360" w:left="5247"/>
      </w:pPr>
      <w:rPr/>
    </w:lvl>
    <w:lvl w:ilvl="7" w:tplc="04220019">
      <w:start w:val="1"/>
      <w:numFmt w:val="lowerLetter"/>
      <w:suff w:val="tab"/>
      <w:lvlText w:val="%8."/>
      <w:lvlJc w:val="left"/>
      <w:pPr>
        <w:ind w:hanging="360" w:left="5967"/>
      </w:pPr>
      <w:rPr/>
    </w:lvl>
    <w:lvl w:ilvl="8" w:tplc="0422001B">
      <w:start w:val="1"/>
      <w:numFmt w:val="lowerRoman"/>
      <w:suff w:val="tab"/>
      <w:lvlText w:val="%9."/>
      <w:lvlJc w:val="right"/>
      <w:pPr>
        <w:ind w:hanging="180" w:left="6687"/>
      </w:pPr>
      <w:rPr/>
    </w:lvl>
  </w:abstractNum>
  <w:abstractNum w:abstractNumId="3">
    <w:nsid w:val="5DE908EF"/>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3"/>
  </w:num>
  <w:num w:numId="2">
    <w:abstractNumId w:val="1"/>
  </w:num>
  <w:num w:numId="3">
    <w:abstractNumId w:val="0"/>
  </w:num>
  <w:num w:numId="4">
    <w:abstractNumId w:val="2"/>
  </w:num>
</w:numbering>
</file>

<file path=word/settings.xml><?xml version="1.0" encoding="utf-8"?>
<w:settings xmlns:w="http://schemas.openxmlformats.org/wordprocessingml/2006/main">
  <w:displayBackgroundShape w:val="1"/>
  <w:defaultTabStop w:val="720"/>
  <w:autoHyphenation w:val="0"/>
  <w:hyphenationZone w:val="425"/>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sz w:val="28"/>
        <w:szCs w:val="28"/>
        <w:lang w:val="uk-UA" w:bidi="ar-SA" w:eastAsia="uk-UA"/>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pBdr>
        <w:top w:val="nil" w:sz="0" w:space="0" w:shadow="0" w:frame="0" w:color="auto"/>
        <w:left w:val="nil" w:sz="0" w:space="0" w:shadow="0" w:frame="0" w:color="auto"/>
        <w:bottom w:val="nil" w:sz="0" w:space="0" w:shadow="0" w:frame="0" w:color="auto"/>
        <w:right w:val="nil" w:sz="0" w:space="0" w:shadow="0" w:frame="0" w:color="auto"/>
        <w:between w:val="none" w:sz="0" w:space="0" w:shadow="0" w:frame="0" w:color="auto"/>
      </w:pBdr>
    </w:pPr>
    <w:rPr>
      <w:lang w:eastAsia="ru-RU"/>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sz w:val="22"/>
      <w:szCs w:val="22"/>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link w:val="C15"/>
    <w:qFormat/>
    <w:pPr>
      <w:spacing w:before="240" w:after="60" w:beforeAutospacing="0" w:afterAutospacing="0"/>
      <w:jc w:val="center"/>
      <w:outlineLvl w:val="0"/>
    </w:pPr>
    <w:rPr>
      <w:rFonts w:ascii="Cambria" w:hAnsi="Cambria"/>
      <w:b w:val="1"/>
      <w:sz w:val="32"/>
    </w:rPr>
  </w:style>
  <w:style w:type="paragraph" w:styleId="P8">
    <w:name w:val="st2"/>
    <w:pPr>
      <w:pBdr>
        <w:top w:val="nil" w:sz="0" w:space="0" w:shadow="0" w:frame="0" w:color="auto"/>
        <w:left w:val="nil" w:sz="0" w:space="0" w:shadow="0" w:frame="0" w:color="auto"/>
        <w:bottom w:val="nil" w:sz="0" w:space="0" w:shadow="0" w:frame="0" w:color="auto"/>
        <w:right w:val="nil" w:sz="0" w:space="0" w:shadow="0" w:frame="0" w:color="auto"/>
        <w:between w:val="none" w:sz="0" w:space="0" w:shadow="0" w:frame="0" w:color="auto"/>
      </w:pBdr>
      <w:spacing w:after="150" w:beforeAutospacing="0" w:afterAutospacing="0"/>
      <w:ind w:firstLine="450"/>
      <w:jc w:val="both"/>
    </w:pPr>
    <w:rPr>
      <w:sz w:val="24"/>
      <w:lang w:eastAsia="ru-RU"/>
    </w:rPr>
  </w:style>
  <w:style w:type="paragraph" w:styleId="P9">
    <w:name w:val="No Spacing"/>
    <w:qFormat/>
    <w:pPr>
      <w:pBdr>
        <w:top w:val="nil" w:sz="0" w:space="0" w:shadow="0" w:frame="0" w:color="auto"/>
        <w:left w:val="nil" w:sz="0" w:space="0" w:shadow="0" w:frame="0" w:color="auto"/>
        <w:bottom w:val="nil" w:sz="0" w:space="0" w:shadow="0" w:frame="0" w:color="auto"/>
        <w:right w:val="nil" w:sz="0" w:space="0" w:shadow="0" w:frame="0" w:color="auto"/>
        <w:between w:val="none" w:sz="0" w:space="0" w:shadow="0" w:frame="0" w:color="auto"/>
      </w:pBdr>
    </w:pPr>
    <w:rPr>
      <w:rFonts w:ascii="Calibri" w:hAnsi="Calibri"/>
      <w:sz w:val="22"/>
      <w:lang w:val="ru-RU" w:eastAsia="ru-RU"/>
    </w:rPr>
  </w:style>
  <w:style w:type="paragraph" w:styleId="P10">
    <w:name w:val="header"/>
    <w:basedOn w:val="P0"/>
    <w:link w:val="C4"/>
    <w:pPr>
      <w:tabs>
        <w:tab w:val="center" w:pos="4819" w:leader="none"/>
        <w:tab w:val="right" w:pos="9639" w:leader="none"/>
      </w:tabs>
    </w:pPr>
    <w:rPr/>
  </w:style>
  <w:style w:type="paragraph" w:styleId="P11">
    <w:name w:val="rvps2"/>
    <w:basedOn w:val="P0"/>
    <w:pPr>
      <w:spacing w:before="100" w:after="100" w:beforeAutospacing="1" w:afterAutospacing="1"/>
    </w:pPr>
    <w:rPr>
      <w:sz w:val="24"/>
    </w:rPr>
  </w:style>
  <w:style w:type="paragraph" w:styleId="P12">
    <w:name w:val="HTML Preformatted"/>
    <w:basedOn w:val="P0"/>
    <w:link w:val="C5"/>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13">
    <w:name w:val="List Paragraph1"/>
    <w:basedOn w:val="P0"/>
    <w:pPr>
      <w:ind w:left="720"/>
      <w:contextualSpacing w:val="1"/>
    </w:pPr>
    <w:rPr/>
  </w:style>
  <w:style w:type="paragraph" w:styleId="P14">
    <w:name w:val="Нормальний текст"/>
    <w:basedOn w:val="P0"/>
    <w:pPr>
      <w:spacing w:before="120" w:beforeAutospacing="0" w:afterAutospacing="0"/>
      <w:ind w:firstLine="567"/>
    </w:pPr>
    <w:rPr>
      <w:rFonts w:ascii="Antiqua" w:hAnsi="Antiqua"/>
      <w:sz w:val="26"/>
    </w:rPr>
  </w:style>
  <w:style w:type="paragraph" w:styleId="P15">
    <w:name w:val="rvps6"/>
    <w:basedOn w:val="P0"/>
    <w:pPr>
      <w:spacing w:before="100" w:after="100" w:beforeAutospacing="1" w:afterAutospacing="1"/>
    </w:pPr>
    <w:rPr>
      <w:sz w:val="24"/>
      <w:lang w:val="ru-RU"/>
    </w:rPr>
  </w:style>
  <w:style w:type="paragraph" w:styleId="P16">
    <w:name w:val="rvps12"/>
    <w:basedOn w:val="P0"/>
    <w:pPr>
      <w:spacing w:before="100" w:after="100" w:beforeAutospacing="1" w:afterAutospacing="1"/>
    </w:pPr>
    <w:rPr>
      <w:sz w:val="24"/>
      <w:lang w:val="ru-RU"/>
    </w:rPr>
  </w:style>
  <w:style w:type="paragraph" w:styleId="P17">
    <w:name w:val="annotation text"/>
    <w:basedOn w:val="P0"/>
    <w:link w:val="C9"/>
    <w:pPr/>
    <w:rPr>
      <w:sz w:val="20"/>
    </w:rPr>
  </w:style>
  <w:style w:type="paragraph" w:styleId="P18">
    <w:name w:val="Balloon Text"/>
    <w:basedOn w:val="P0"/>
    <w:link w:val="C11"/>
    <w:pPr/>
    <w:rPr>
      <w:rFonts w:ascii="Segoe UI" w:hAnsi="Segoe UI"/>
      <w:sz w:val="18"/>
    </w:rPr>
  </w:style>
  <w:style w:type="paragraph" w:styleId="P19">
    <w:name w:val="Normal (Web)"/>
    <w:basedOn w:val="P0"/>
    <w:pPr>
      <w:spacing w:before="100" w:after="100" w:beforeAutospacing="1" w:afterAutospacing="1"/>
    </w:pPr>
    <w:rPr>
      <w:sz w:val="24"/>
    </w:rPr>
  </w:style>
  <w:style w:type="paragraph" w:styleId="P20">
    <w:name w:val="footer"/>
    <w:basedOn w:val="P0"/>
    <w:link w:val="C13"/>
    <w:pPr>
      <w:tabs>
        <w:tab w:val="center" w:pos="4819" w:leader="none"/>
        <w:tab w:val="right" w:pos="9639" w:leader="none"/>
      </w:tabs>
    </w:pPr>
    <w:rPr/>
  </w:style>
  <w:style w:type="paragraph" w:styleId="P21">
    <w:name w:val="Body Text"/>
    <w:basedOn w:val="P0"/>
    <w:link w:val="C14"/>
    <w:qFormat/>
    <w:pPr>
      <w:widowControl w:val="0"/>
    </w:pPr>
    <w:rPr>
      <w:sz w:val="26"/>
    </w:rPr>
  </w:style>
  <w:style w:type="paragraph" w:styleId="P22">
    <w:name w:val="annotation subject"/>
    <w:basedOn w:val="P17"/>
    <w:next w:val="P17"/>
    <w:link w:val="C10"/>
    <w:pPr/>
    <w:rPr>
      <w:b w:val="1"/>
      <w:sz w:val="28"/>
    </w:rPr>
  </w:style>
  <w:style w:type="paragraph" w:styleId="P23">
    <w:name w:val="Subtitle"/>
    <w:basedOn w:val="P0"/>
    <w:next w:val="P0"/>
    <w:qFormat/>
    <w:pPr>
      <w:keepNext w:val="1"/>
      <w:keepLines w:val="1"/>
      <w:spacing w:before="360" w:after="80" w:beforeAutospacing="0" w:afterAutospacing="0"/>
    </w:pPr>
    <w:rPr>
      <w:rFonts w:ascii="Georgia" w:hAnsi="Georgia"/>
      <w:i w:val="1"/>
      <w:color w:val="666666"/>
      <w:sz w:val="48"/>
      <w:szCs w:val="48"/>
    </w:rPr>
  </w:style>
  <w:style w:type="paragraph" w:styleId="P24">
    <w:name w:val="List Paragraph"/>
    <w:basedOn w:val="P0"/>
    <w:qFormat/>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pacing w:lineRule="auto" w:line="259" w:after="160" w:beforeAutospacing="0" w:afterAutospacing="0"/>
      <w:ind w:left="720"/>
      <w:contextualSpacing w:val="1"/>
    </w:pPr>
    <w:rPr>
      <w:sz w:val="22"/>
      <w:szCs w:val="22"/>
      <w:kern w:val="2"/>
      <w:lang w:eastAsia="en-US"/>
    </w:rPr>
  </w:style>
  <w:style w:type="paragraph" w:styleId="P25">
    <w:name w:val="Revision"/>
    <w:hidden/>
    <w:semiHidden/>
    <w:pPr/>
    <w:rPr>
      <w:lang w:eastAsia="ru-RU"/>
    </w:rPr>
  </w:style>
  <w:style w:type="paragraph" w:styleId="P26">
    <w:name w:val="footnote text"/>
    <w:link w:val="C22"/>
    <w:semiHidden/>
    <w:pPr/>
    <w:rPr>
      <w:sz w:val="20"/>
      <w:szCs w:val="20"/>
    </w:rPr>
  </w:style>
  <w:style w:type="paragraph" w:styleId="P27">
    <w:name w:val="endnote text"/>
    <w:link w:val="C24"/>
    <w:semiHidden/>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line number"/>
    <w:rPr/>
  </w:style>
  <w:style w:type="character" w:styleId="C4">
    <w:name w:val="Верхній колонтитул Знак"/>
    <w:link w:val="P10"/>
    <w:rPr/>
  </w:style>
  <w:style w:type="character" w:styleId="C5">
    <w:name w:val="Стандартний HTML Знак"/>
    <w:link w:val="P12"/>
    <w:rPr>
      <w:rFonts w:ascii="Courier New" w:hAnsi="Courier New"/>
      <w:sz w:val="20"/>
    </w:rPr>
  </w:style>
  <w:style w:type="character" w:styleId="C6">
    <w:name w:val="st42"/>
    <w:rPr>
      <w:color w:val="000000"/>
    </w:rPr>
  </w:style>
  <w:style w:type="character" w:styleId="C7">
    <w:name w:val="rvts23"/>
    <w:rPr/>
  </w:style>
  <w:style w:type="character" w:styleId="C8">
    <w:name w:val="annotation reference"/>
    <w:rPr>
      <w:sz w:val="16"/>
    </w:rPr>
  </w:style>
  <w:style w:type="character" w:styleId="C9">
    <w:name w:val="Текст примітки Знак"/>
    <w:link w:val="P17"/>
    <w:rPr>
      <w:sz w:val="20"/>
    </w:rPr>
  </w:style>
  <w:style w:type="character" w:styleId="C10">
    <w:name w:val="Тема примітки Знак"/>
    <w:link w:val="P22"/>
    <w:rPr>
      <w:b w:val="1"/>
    </w:rPr>
  </w:style>
  <w:style w:type="character" w:styleId="C11">
    <w:name w:val="Текст у виносці Знак"/>
    <w:link w:val="P18"/>
    <w:rPr>
      <w:rFonts w:ascii="Segoe UI" w:hAnsi="Segoe UI"/>
      <w:sz w:val="18"/>
    </w:rPr>
  </w:style>
  <w:style w:type="character" w:styleId="C12">
    <w:name w:val="Strong"/>
    <w:qFormat/>
    <w:rPr>
      <w:b w:val="1"/>
    </w:rPr>
  </w:style>
  <w:style w:type="character" w:styleId="C13">
    <w:name w:val="Нижній колонтитул Знак"/>
    <w:link w:val="P20"/>
    <w:rPr/>
  </w:style>
  <w:style w:type="character" w:styleId="C14">
    <w:name w:val="Основний текст Знак"/>
    <w:link w:val="P21"/>
    <w:rPr>
      <w:sz w:val="26"/>
    </w:rPr>
  </w:style>
  <w:style w:type="character" w:styleId="C15">
    <w:name w:val="Назва Знак"/>
    <w:link w:val="P7"/>
    <w:rPr>
      <w:rFonts w:ascii="Cambria" w:hAnsi="Cambria"/>
      <w:b w:val="1"/>
      <w:sz w:val="32"/>
    </w:rPr>
  </w:style>
  <w:style w:type="character" w:styleId="C16">
    <w:name w:val="rvts46"/>
    <w:rPr/>
  </w:style>
  <w:style w:type="character" w:styleId="C17">
    <w:name w:val="rvts15"/>
    <w:rPr/>
  </w:style>
  <w:style w:type="character" w:styleId="C18">
    <w:name w:val="rvts9"/>
    <w:rPr/>
  </w:style>
  <w:style w:type="character" w:styleId="C19">
    <w:name w:val="rvts37"/>
    <w:rPr/>
  </w:style>
  <w:style w:type="character" w:styleId="C20">
    <w:name w:val="Незакрита згадка1"/>
    <w:basedOn w:val="C0"/>
    <w:semiHidden/>
    <w:rPr>
      <w:color w:val="605E5C"/>
      <w:shd w:val="clear" w:color="auto" w:fill="E1DFDD"/>
    </w:rPr>
  </w:style>
  <w:style w:type="character" w:styleId="C21">
    <w:name w:val="footnote reference"/>
    <w:semiHidden/>
    <w:rPr>
      <w:vertAlign w:val="superscript"/>
    </w:rPr>
  </w:style>
  <w:style w:type="character" w:styleId="C22">
    <w:name w:val="Текст виноски Знак"/>
    <w:link w:val="P26"/>
    <w:semiHidden/>
    <w:rPr>
      <w:sz w:val="20"/>
      <w:szCs w:val="20"/>
    </w:rPr>
  </w:style>
  <w:style w:type="character" w:styleId="C23">
    <w:name w:val="endnote reference"/>
    <w:semiHidden/>
    <w:rPr>
      <w:vertAlign w:val="superscript"/>
    </w:rPr>
  </w:style>
  <w:style w:type="character" w:styleId="C24">
    <w:name w:val="Текст кінцевої виноски Знак"/>
    <w:link w:val="P27"/>
    <w:semiHidden/>
    <w:rPr>
      <w:sz w:val="20"/>
      <w:szCs w:val="20"/>
    </w:rPr>
  </w:style>
  <w:style w:type="character" w:styleId="C25">
    <w:name w:val="Unresolved Mention"/>
    <w:basedOn w:val="C0"/>
    <w:semiHidden/>
    <w:rPr>
      <w:color w:val="605E5C"/>
      <w:shd w:val="clear" w:color="auto" w:fill="E1DFDD"/>
    </w:rPr>
  </w:style>
  <w:style w:type="character" w:styleId="C26">
    <w:name w:val="Footnote Text Char"/>
    <w:semiHidden/>
    <w:rPr>
      <w:sz w:val="20"/>
      <w:szCs w:val="20"/>
    </w:rPr>
  </w:style>
  <w:style w:type="character" w:styleId="C27">
    <w:name w:val="Endnote Text Char"/>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3"/>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table" w:styleId="T2">
    <w:name w:val="Table Normal"/>
    <w:tblPr>
      <w:tblCellMar>
        <w:top w:w="0" w:type="dxa"/>
        <w:left w:w="0" w:type="dxa"/>
        <w:bottom w:w="0" w:type="dxa"/>
        <w:right w:w="0" w:type="dxa"/>
      </w:tblCellMar>
    </w:tblPr>
    <w:trPr/>
    <w:tcPr/>
  </w:style>
  <w:style w:type="table" w:styleId="T3">
    <w:name w:val="Звичайна таблиця1"/>
    <w:rPr>
      <w:lang w:val="ru-RU" w:eastAsia="ru-RU"/>
    </w:rPr>
    <w:tblPr>
      <w:tblCellMar>
        <w:top w:w="0" w:type="dxa"/>
        <w:left w:w="108" w:type="dxa"/>
        <w:bottom w:w="0" w:type="dxa"/>
        <w:right w:w="108" w:type="dxa"/>
      </w:tblCellMar>
    </w:tblPr>
    <w:trPr/>
    <w:tcPr/>
  </w:style>
  <w:style w:type="table" w:styleId="T4">
    <w:name w:val=""/>
    <w:basedOn w:val="T2"/>
    <w:tblPr>
      <w:tblStyleRowBandSize w:val="1"/>
      <w:tblStyleColBandSize w:val="1"/>
      <w:tblCellMar>
        <w:left w:w="115" w:type="dxa"/>
        <w:right w:w="115"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066.e-health.gov.ua" TargetMode="External" /><Relationship Id="RelHdr1" Type="http://schemas.openxmlformats.org/officeDocument/2006/relationships/header" Target="header1.xml" /><Relationship Id="RelHdr2" Type="http://schemas.openxmlformats.org/officeDocument/2006/relationships/header" Target="head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png" /></Relationships>
</file>

<file path=word/_rels/header2.xml.rels>&#65279;<?xml version="1.0" encoding="utf-8"?><Relationships xmlns="http://schemas.openxmlformats.org/package/2006/relationships" />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2iaQQAwULmv9MHmXK8O3esW6KQ==">CgMxLjA4AHIhMVlBbDJsZ2pSZkV6WDV5aHZYOFg3R1NxNkYwT1hxamxZ</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API/21.1.3.0</Application>
  <AppVersion>21.1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Юля</dc:creator>
  <dcterms:created xsi:type="dcterms:W3CDTF">2023-07-20T06:51:00Z</dcterms:created>
  <cp:lastModifiedBy>pool-iis</cp:lastModifiedBy>
  <dcterms:modified xsi:type="dcterms:W3CDTF">2023-07-31T10:07:42Z</dcterms:modified>
  <cp:revision>29</cp:revision>
</cp:coreProperties>
</file>