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widowControl w:val="0"/>
        <w:spacing w:lineRule="auto" w:line="240" w:after="0" w:beforeAutospacing="0" w:afterAutospacing="0"/>
        <w:jc w:val="center"/>
        <w:rPr>
          <w:rFonts w:ascii="Times New Roman" w:hAnsi="Times New Roman"/>
          <w:sz w:val="28"/>
          <w:szCs w:val="24"/>
          <w:lang w:eastAsia="uk-UA"/>
        </w:rPr>
      </w:pPr>
      <w:r>
        <w:rPr>
          <w:rFonts w:ascii="Times New Roman" w:hAnsi="Times New Roman"/>
          <w:sz w:val="28"/>
          <w:szCs w:val="24"/>
          <w:lang w:eastAsia="uk-UA"/>
        </w:rPr>
        <w:t>НАЦІОНАЛЬНА СЛУЖБА ЗДОРОВ’Я УКРАЇНИ</w:t>
      </w:r>
    </w:p>
    <w:p>
      <w:pPr>
        <w:widowControl w:val="0"/>
        <w:spacing w:lineRule="auto" w:line="240" w:after="0" w:beforeAutospacing="0" w:afterAutospacing="0"/>
        <w:jc w:val="center"/>
        <w:rPr>
          <w:rFonts w:ascii="Times New Roman" w:hAnsi="Times New Roman"/>
          <w:sz w:val="28"/>
          <w:szCs w:val="24"/>
          <w:lang w:eastAsia="uk-UA"/>
        </w:rPr>
      </w:pPr>
      <w:r>
        <w:rPr>
          <w:rFonts w:ascii="Times New Roman" w:hAnsi="Times New Roman"/>
          <w:sz w:val="28"/>
          <w:szCs w:val="24"/>
          <w:lang w:eastAsia="uk-UA"/>
        </w:rPr>
        <w:t>(НСЗУ)</w:t>
      </w:r>
    </w:p>
    <w:p>
      <w:pPr>
        <w:widowControl w:val="0"/>
        <w:spacing w:lineRule="auto" w:line="240" w:after="120" w:beforeAutospacing="0" w:afterAutospacing="0"/>
        <w:jc w:val="center"/>
        <w:rPr>
          <w:rFonts w:ascii="Times New Roman" w:hAnsi="Times New Roman"/>
          <w:lang w:eastAsia="uk-UA"/>
        </w:rPr>
      </w:pPr>
      <w:r>
        <w:rPr>
          <w:rFonts w:ascii="Times New Roman" w:hAnsi="Times New Roman"/>
          <w:lang w:eastAsia="uk-UA"/>
        </w:rPr>
        <w:t>просп. Степана Бандери, 19, м. Київ, 04073, тел.: (044) 426-67-77, (044) 290-06-91</w:t>
      </w:r>
    </w:p>
    <w:p>
      <w:pPr>
        <w:widowControl w:val="0"/>
        <w:spacing w:lineRule="auto" w:line="240" w:after="0" w:beforeAutospacing="0" w:afterAutospacing="0"/>
        <w:jc w:val="center"/>
        <w:rPr>
          <w:rFonts w:ascii="Times New Roman" w:hAnsi="Times New Roman"/>
          <w:lang w:eastAsia="uk-UA"/>
        </w:rPr>
      </w:pPr>
      <w:r>
        <w:rPr>
          <w:rFonts w:ascii="Times New Roman" w:hAnsi="Times New Roman"/>
          <w:lang w:val="en-US" w:eastAsia="uk-UA"/>
        </w:rPr>
        <w:t>E</w:t>
      </w:r>
      <w:r>
        <w:rPr>
          <w:rFonts w:ascii="Times New Roman" w:hAnsi="Times New Roman"/>
          <w:lang w:eastAsia="uk-UA"/>
        </w:rPr>
        <w:t>-</w:t>
      </w:r>
      <w:r>
        <w:rPr>
          <w:rFonts w:ascii="Times New Roman" w:hAnsi="Times New Roman"/>
          <w:lang w:val="en-US" w:eastAsia="uk-UA"/>
        </w:rPr>
        <w:t>mail</w:t>
      </w:r>
      <w:r>
        <w:rPr>
          <w:rFonts w:ascii="Times New Roman" w:hAnsi="Times New Roman"/>
          <w:lang w:eastAsia="uk-UA"/>
        </w:rPr>
        <w:t xml:space="preserve">: </w:t>
      </w:r>
      <w:r>
        <w:rPr>
          <w:rFonts w:ascii="Times New Roman" w:hAnsi="Times New Roman"/>
          <w:lang w:val="en-US" w:eastAsia="uk-UA"/>
        </w:rPr>
        <w:t>info</w:t>
      </w:r>
      <w:r>
        <w:rPr>
          <w:rFonts w:ascii="Times New Roman" w:hAnsi="Times New Roman"/>
          <w:lang w:eastAsia="uk-UA"/>
        </w:rPr>
        <w:t>@</w:t>
      </w:r>
      <w:r>
        <w:rPr>
          <w:rFonts w:ascii="Times New Roman" w:hAnsi="Times New Roman"/>
          <w:lang w:val="en-US" w:eastAsia="uk-UA"/>
        </w:rPr>
        <w:t>nszu</w:t>
      </w:r>
      <w:r>
        <w:rPr>
          <w:rFonts w:ascii="Times New Roman" w:hAnsi="Times New Roman"/>
          <w:lang w:eastAsia="uk-UA"/>
        </w:rPr>
        <w:t>.</w:t>
      </w:r>
      <w:r>
        <w:rPr>
          <w:rFonts w:ascii="Times New Roman" w:hAnsi="Times New Roman"/>
          <w:lang w:val="en-US" w:eastAsia="uk-UA"/>
        </w:rPr>
        <w:t>gov</w:t>
      </w:r>
      <w:r>
        <w:rPr>
          <w:rFonts w:ascii="Times New Roman" w:hAnsi="Times New Roman"/>
          <w:lang w:eastAsia="uk-UA"/>
        </w:rPr>
        <w:t>.</w:t>
      </w:r>
      <w:r>
        <w:rPr>
          <w:rFonts w:ascii="Times New Roman" w:hAnsi="Times New Roman"/>
          <w:lang w:val="en-US" w:eastAsia="uk-UA"/>
        </w:rPr>
        <w:t>ua</w:t>
      </w:r>
      <w:r>
        <w:rPr>
          <w:rFonts w:ascii="Times New Roman" w:hAnsi="Times New Roman"/>
          <w:lang w:eastAsia="uk-UA"/>
        </w:rPr>
        <w:t xml:space="preserve">, сайт: </w:t>
      </w:r>
      <w:r>
        <w:rPr>
          <w:rFonts w:ascii="Times New Roman" w:hAnsi="Times New Roman"/>
          <w:lang w:val="en-US" w:eastAsia="uk-UA"/>
        </w:rPr>
        <w:t>www</w:t>
      </w:r>
      <w:r>
        <w:rPr>
          <w:rFonts w:ascii="Times New Roman" w:hAnsi="Times New Roman"/>
          <w:lang w:eastAsia="uk-UA"/>
        </w:rPr>
        <w:t>.</w:t>
      </w:r>
      <w:r>
        <w:rPr>
          <w:rFonts w:ascii="Times New Roman" w:hAnsi="Times New Roman"/>
          <w:lang w:val="en-US" w:eastAsia="uk-UA"/>
        </w:rPr>
        <w:t>nszu</w:t>
      </w:r>
      <w:r>
        <w:rPr>
          <w:rFonts w:ascii="Times New Roman" w:hAnsi="Times New Roman"/>
          <w:lang w:eastAsia="uk-UA"/>
        </w:rPr>
        <w:t>.</w:t>
      </w:r>
      <w:r>
        <w:rPr>
          <w:rFonts w:ascii="Times New Roman" w:hAnsi="Times New Roman"/>
          <w:lang w:val="en-US" w:eastAsia="uk-UA"/>
        </w:rPr>
        <w:t>gov</w:t>
      </w:r>
      <w:r>
        <w:rPr>
          <w:rFonts w:ascii="Times New Roman" w:hAnsi="Times New Roman"/>
          <w:lang w:eastAsia="uk-UA"/>
        </w:rPr>
        <w:t>.</w:t>
      </w:r>
      <w:r>
        <w:rPr>
          <w:rFonts w:ascii="Times New Roman" w:hAnsi="Times New Roman"/>
          <w:lang w:val="en-US" w:eastAsia="uk-UA"/>
        </w:rPr>
        <w:t>ua</w:t>
      </w:r>
      <w:r>
        <w:rPr>
          <w:rFonts w:ascii="Times New Roman" w:hAnsi="Times New Roman"/>
          <w:lang w:eastAsia="uk-UA"/>
        </w:rPr>
        <w:t>, код згідно з ЄДРПОУ 42032422</w:t>
      </w:r>
    </w:p>
    <w:p>
      <w:pPr>
        <w:widowControl w:val="0"/>
        <w:spacing w:lineRule="auto" w:line="240" w:after="0" w:beforeAutospacing="0" w:afterAutospacing="0"/>
        <w:jc w:val="center"/>
        <w:rPr>
          <w:rFonts w:ascii="Times New Roman" w:hAnsi="Times New Roman"/>
          <w:noProof w:val="1"/>
          <w:sz w:val="20"/>
          <w:szCs w:val="20"/>
          <w:lang w:val="ru-RU" w:eastAsia="ru-RU"/>
        </w:rPr>
      </w:pPr>
      <w:r>
        <w:rPr>
          <w:rFonts w:ascii="Times New Roman" w:hAnsi="Times New Roman"/>
          <w:noProof w:val="1"/>
          <w:sz w:val="20"/>
          <w:szCs w:val="20"/>
          <w:lang w:val="ru-RU" w:eastAsia="ru-RU"/>
        </w:rPr>
        <w:t>_______________________________________________________________________________________________</w:t>
      </w:r>
    </w:p>
    <w:p>
      <w:pPr>
        <w:spacing w:lineRule="auto" w:line="240" w:before="120" w:after="0" w:beforeAutospacing="0" w:afterAutospacing="0"/>
        <w:rPr>
          <w:rFonts w:ascii="Times New Roman" w:hAnsi="Times New Roman"/>
          <w:noProof w:val="1"/>
          <w:sz w:val="20"/>
          <w:szCs w:val="20"/>
          <w:lang w:val="ru-RU" w:eastAsia="ru-RU"/>
        </w:rPr>
      </w:pPr>
      <w:r>
        <w:rPr>
          <w:rFonts w:ascii="Times New Roman" w:hAnsi="Times New Roman"/>
          <w:noProof w:val="1"/>
          <w:sz w:val="20"/>
          <w:szCs w:val="20"/>
          <w:lang w:val="ru-RU" w:eastAsia="ru-RU"/>
        </w:rPr>
        <w:t>від ___________ 20__ р. № __________________</w:t>
        <w:tab/>
        <w:tab/>
        <w:tab/>
        <w:t>На № _____________ від ___________ 20__ р.</w:t>
      </w:r>
    </w:p>
    <w:p>
      <w:pPr>
        <w:spacing w:lineRule="auto" w:line="240" w:before="120" w:after="0" w:beforeAutospacing="0" w:afterAutospacing="0"/>
        <w:jc w:val="center"/>
        <w:rPr>
          <w:rFonts w:ascii="Times New Roman" w:hAnsi="Times New Roman"/>
          <w:noProof w:val="1"/>
          <w:sz w:val="20"/>
          <w:szCs w:val="20"/>
          <w:lang w:val="ru-RU" w:eastAsia="ru-RU"/>
        </w:rPr>
      </w:pPr>
    </w:p>
    <w:p>
      <w:pPr>
        <w:spacing w:lineRule="auto" w:line="240" w:after="0" w:beforeAutospacing="0" w:afterAutospacing="0"/>
        <w:ind w:left="5103"/>
        <w:rPr>
          <w:rFonts w:ascii="Times New Roman" w:hAnsi="Times New Roman"/>
          <w:sz w:val="26"/>
          <w:szCs w:val="26"/>
          <w:lang w:eastAsia="uk-UA"/>
        </w:rPr>
      </w:pPr>
      <w:permStart w:id="0" w:edGrp="everyone"/>
      <w:r>
        <w:rPr>
          <w:rFonts w:ascii="Times New Roman" w:hAnsi="Times New Roman"/>
          <w:sz w:val="26"/>
          <w:szCs w:val="26"/>
          <w:lang w:val="ru-RU" w:eastAsia="uk-UA"/>
        </w:rPr>
        <w:t>Закладам охорони здоров'я (за списком)</w:t>
      </w:r>
    </w:p>
    <w:p>
      <w:pPr>
        <w:spacing w:lineRule="auto" w:line="240" w:after="0" w:beforeAutospacing="0" w:afterAutospacing="0"/>
        <w:ind w:left="5103"/>
        <w:rPr>
          <w:rFonts w:ascii="Times New Roman" w:hAnsi="Times New Roman"/>
          <w:sz w:val="26"/>
          <w:szCs w:val="26"/>
          <w:lang w:eastAsia="uk-UA"/>
        </w:rPr>
      </w:pPr>
    </w:p>
    <w:p>
      <w:pPr>
        <w:spacing w:lineRule="auto" w:line="240" w:after="0" w:beforeAutospacing="0" w:afterAutospacing="0"/>
        <w:ind w:firstLine="567"/>
        <w:jc w:val="both"/>
        <w:rPr>
          <w:rFonts w:ascii="Times New Roman" w:hAnsi="Times New Roman"/>
          <w:sz w:val="26"/>
          <w:szCs w:val="26"/>
          <w:lang w:eastAsia="uk-UA"/>
        </w:rPr>
      </w:pPr>
      <w:r>
        <w:rPr>
          <w:rFonts w:ascii="Times New Roman" w:hAnsi="Times New Roman"/>
          <w:sz w:val="26"/>
          <w:szCs w:val="26"/>
          <w:lang w:eastAsia="uk-UA"/>
        </w:rPr>
        <w:t xml:space="preserve">Національна служба здоров’я України (далі – НСЗУ) засвідчує свою повагу та інформує стосовно пакетів медичних послуг з надання реабілітаційної допомоги та </w:t>
      </w:r>
      <w:r>
        <w:rPr>
          <w:rFonts w:ascii="Times New Roman" w:hAnsi="Times New Roman"/>
          <w:sz w:val="26"/>
          <w:szCs w:val="26"/>
          <w:shd w:val="clear" w:color="auto" w:fill="FFFFFF"/>
        </w:rPr>
        <w:t>паліативної медичної допомоги у програмі медичних гарантій на 2023 рік</w:t>
      </w:r>
      <w:r>
        <w:rPr>
          <w:rFonts w:ascii="Times New Roman" w:hAnsi="Times New Roman"/>
          <w:sz w:val="26"/>
          <w:szCs w:val="26"/>
          <w:lang w:eastAsia="uk-UA"/>
        </w:rPr>
        <w:t>.</w:t>
      </w:r>
    </w:p>
    <w:p>
      <w:pPr>
        <w:spacing w:lineRule="auto" w:line="240" w:after="0" w:beforeAutospacing="0" w:afterAutospacing="0"/>
        <w:ind w:firstLine="567"/>
        <w:jc w:val="both"/>
        <w:rPr>
          <w:rFonts w:ascii="Times New Roman" w:hAnsi="Times New Roman"/>
          <w:sz w:val="26"/>
          <w:szCs w:val="26"/>
          <w:lang w:eastAsia="uk-UA"/>
        </w:rPr>
      </w:pPr>
      <w:r>
        <w:rPr>
          <w:rFonts w:ascii="Times New Roman" w:hAnsi="Times New Roman"/>
          <w:sz w:val="26"/>
          <w:szCs w:val="26"/>
          <w:lang w:eastAsia="uk-UA"/>
        </w:rPr>
        <w:t xml:space="preserve">Укладення договорів про медичне обслуговування населення за програмою медичних гарантій (далі – договір), розрахунок запланованої кількості та запланованої вартості медичних послуг, а також  оплата медичних послуг на 2023 рік здійснюється НСЗУ виключно відповідно до вимог Порядку реалізації програми державних гарантій медичного обслуговування населення у 2023 році, затвердженого постановою Кабінету Міністрів України 27.12.2022 №1464 (далі – Порядок).</w:t>
      </w:r>
    </w:p>
    <w:p>
      <w:pPr>
        <w:spacing w:lineRule="auto" w:line="240" w:after="0" w:beforeAutospacing="0" w:afterAutospacing="0"/>
        <w:ind w:firstLine="567"/>
        <w:jc w:val="both"/>
        <w:rPr>
          <w:rFonts w:ascii="Times New Roman" w:hAnsi="Times New Roman"/>
          <w:sz w:val="26"/>
          <w:szCs w:val="26"/>
        </w:rPr>
      </w:pPr>
      <w:r>
        <w:rPr>
          <w:rFonts w:ascii="Times New Roman" w:hAnsi="Times New Roman"/>
          <w:sz w:val="26"/>
          <w:szCs w:val="26"/>
          <w:shd w:val="clear" w:color="auto" w:fill="FFFFFF"/>
        </w:rPr>
        <w:t>Програма медичних гарантій на 2023 рік включає серед інших пакети медичних послуг, що пов’язані з наданням паліативної медичної допомоги («</w:t>
      </w:r>
      <w:r>
        <w:rPr>
          <w:rFonts w:ascii="Times New Roman" w:hAnsi="Times New Roman"/>
          <w:bCs w:val="1"/>
          <w:sz w:val="26"/>
          <w:szCs w:val="26"/>
          <w:shd w:val="clear" w:color="auto" w:fill="FFFFFF"/>
        </w:rPr>
        <w:t>Стаціонарна паліативна медична допомога дорослим і дітям», «Мобільна паліативна медична допомога дорослим і дітям»)</w:t>
      </w:r>
      <w:r>
        <w:rPr>
          <w:rFonts w:ascii="Times New Roman" w:hAnsi="Times New Roman"/>
          <w:sz w:val="26"/>
          <w:szCs w:val="26"/>
          <w:shd w:val="clear" w:color="auto" w:fill="FFFFFF"/>
        </w:rPr>
        <w:t xml:space="preserve"> та реабілітаційної допомоги («</w:t>
      </w:r>
      <w:r>
        <w:rPr>
          <w:rFonts w:ascii="Times New Roman" w:hAnsi="Times New Roman"/>
          <w:bCs w:val="1"/>
          <w:sz w:val="26"/>
          <w:szCs w:val="26"/>
          <w:shd w:val="clear" w:color="auto" w:fill="FFFFFF"/>
        </w:rPr>
        <w:t>Медична реабілітація немовлят, які народилися передчасно та/або хворими, протягом перших трьох років життя»,</w:t>
      </w:r>
      <w:r>
        <w:rPr>
          <w:rFonts w:ascii="Times New Roman" w:hAnsi="Times New Roman"/>
          <w:sz w:val="26"/>
          <w:szCs w:val="26"/>
        </w:rPr>
        <w:t xml:space="preserve"> «Реабілітаційна допомога дорослим та дітям у стаціонарних умовах» та «Реабілітаційна допомога дорослим та дітям у амбулаторних умовах»).</w:t>
      </w:r>
    </w:p>
    <w:p>
      <w:pPr>
        <w:spacing w:lineRule="auto" w:line="240" w:after="0" w:beforeAutospacing="0" w:afterAutospacing="0"/>
        <w:ind w:firstLine="567"/>
        <w:jc w:val="both"/>
        <w:rPr>
          <w:rFonts w:ascii="Times New Roman" w:hAnsi="Times New Roman"/>
          <w:sz w:val="26"/>
          <w:szCs w:val="26"/>
        </w:rPr>
      </w:pPr>
      <w:r>
        <w:rPr>
          <w:rFonts w:ascii="Times New Roman" w:hAnsi="Times New Roman"/>
          <w:sz w:val="26"/>
          <w:szCs w:val="26"/>
        </w:rPr>
        <w:t xml:space="preserve">Основною умовою контрактування з НСЗУ є виконання всіх умов для закупівлі медичних послуг за усіма пакетами медичних послуг. Для належного виконання договору надавач медичних послуг зобов’язується забезпечити наявність необхідного для надання послуг медичного обладнання і персоналу та відповідати умовам надання відповідних медичних послуг. </w:t>
      </w:r>
    </w:p>
    <w:p>
      <w:pPr>
        <w:spacing w:lineRule="auto" w:line="240" w:after="0" w:beforeAutospacing="0" w:afterAutospacing="0"/>
        <w:ind w:firstLine="567"/>
        <w:jc w:val="both"/>
        <w:rPr>
          <w:rFonts w:ascii="Times New Roman" w:hAnsi="Times New Roman"/>
          <w:sz w:val="26"/>
          <w:szCs w:val="26"/>
        </w:rPr>
      </w:pPr>
      <w:r>
        <w:rPr>
          <w:rFonts w:ascii="Times New Roman" w:hAnsi="Times New Roman"/>
          <w:sz w:val="26"/>
          <w:szCs w:val="26"/>
        </w:rPr>
        <w:t>Наголошуємо, що укладення договору з НСЗУ за обраними пакетами не скасовує дотримання закладом чинних вимог законодавства у сфері надання медичних послуг, використання галузевих стандартів та дотримання вимог інфекційного контролю.</w:t>
      </w:r>
    </w:p>
    <w:p>
      <w:pPr>
        <w:spacing w:lineRule="auto" w:line="240" w:after="0" w:beforeAutospacing="0" w:afterAutospacing="0"/>
        <w:ind w:firstLine="567"/>
        <w:jc w:val="both"/>
        <w:rPr>
          <w:rFonts w:ascii="Times New Roman" w:hAnsi="Times New Roman"/>
          <w:sz w:val="26"/>
          <w:szCs w:val="26"/>
          <w:lang w:eastAsia="uk-UA"/>
        </w:rPr>
      </w:pPr>
      <w:r>
        <w:rPr>
          <w:rFonts w:ascii="Times New Roman" w:hAnsi="Times New Roman"/>
          <w:sz w:val="26"/>
          <w:szCs w:val="26"/>
          <w:lang w:eastAsia="uk-UA"/>
        </w:rPr>
        <w:t xml:space="preserve">Відповідно до пункту 7 Порядку НСЗУ оплачує надані медичні послуги згідно з тарифами та коригувальними коефіцієнтами (які застосовуються шляхом множення), визначеними в цьому Порядку, на підставі звітів про медичні послуги, які подані надавачем медичних послуг та складені на підставі інформації, яка внесена до електронної системи охорони здоров’я. </w:t>
      </w:r>
    </w:p>
    <w:p>
      <w:pPr>
        <w:pStyle w:val="P4"/>
        <w:shd w:val="clear" w:fill="FFFFFF"/>
        <w:spacing w:before="120" w:after="0" w:beforeAutospacing="0" w:afterAutospacing="0"/>
        <w:ind w:firstLine="567"/>
        <w:jc w:val="both"/>
        <w:rPr>
          <w:i w:val="1"/>
          <w:sz w:val="26"/>
          <w:szCs w:val="26"/>
        </w:rPr>
      </w:pPr>
      <w:r>
        <w:rPr>
          <w:i w:val="1"/>
          <w:sz w:val="26"/>
          <w:szCs w:val="26"/>
        </w:rPr>
        <w:t xml:space="preserve">Щодо принципу оплати послуг за пакетами </w:t>
      </w:r>
      <w:r>
        <w:rPr>
          <w:i w:val="1"/>
          <w:sz w:val="26"/>
          <w:szCs w:val="26"/>
          <w:shd w:val="clear" w:color="auto" w:fill="FFFFFF"/>
        </w:rPr>
        <w:t>паліативної медичної допомоги</w:t>
      </w:r>
      <w:r>
        <w:rPr>
          <w:i w:val="1"/>
          <w:sz w:val="26"/>
          <w:szCs w:val="26"/>
        </w:rPr>
        <w:t>.</w:t>
      </w:r>
    </w:p>
    <w:p>
      <w:pPr>
        <w:pStyle w:val="P4"/>
        <w:shd w:val="clear" w:fill="FFFFFF"/>
        <w:spacing w:before="0" w:after="0" w:beforeAutospacing="0" w:afterAutospacing="0"/>
        <w:ind w:firstLine="567"/>
        <w:jc w:val="both"/>
        <w:rPr>
          <w:sz w:val="26"/>
          <w:szCs w:val="26"/>
        </w:rPr>
      </w:pPr>
      <w:r>
        <w:rPr>
          <w:sz w:val="26"/>
          <w:szCs w:val="26"/>
        </w:rPr>
        <w:t xml:space="preserve">Пунктом 7 Порядку встановлено, що </w:t>
      </w:r>
      <w:r>
        <w:rPr>
          <w:sz w:val="26"/>
          <w:szCs w:val="26"/>
          <w:shd w:val="clear" w:color="auto" w:fill="FFFFFF"/>
        </w:rPr>
        <w:t>НСЗУ оплачує медичні послуги, що включені до пакетів медичних послуг наведених у главах 29, 30 розділу II цього Порядку («</w:t>
      </w:r>
      <w:r>
        <w:rPr>
          <w:bCs w:val="1"/>
          <w:sz w:val="26"/>
          <w:szCs w:val="26"/>
          <w:shd w:val="clear" w:color="auto" w:fill="FFFFFF"/>
        </w:rPr>
        <w:t>Стаціонарна паліативна медична допомога дорослим і дітям», «Мобільна паліативна медична допомога дорослим і дітям»)</w:t>
      </w:r>
      <w:r>
        <w:rPr>
          <w:sz w:val="26"/>
          <w:szCs w:val="26"/>
          <w:shd w:val="clear" w:color="auto" w:fill="FFFFFF"/>
        </w:rPr>
        <w:t>, - лише ті послуги, що надавалися не менше 11 календарних днів або більше (у тому числі не підряд), крім випадків смерті пацієнта до закінчення зазначених 11 днів.</w:t>
      </w:r>
    </w:p>
    <w:p>
      <w:pPr>
        <w:pStyle w:val="P4"/>
        <w:shd w:val="clear" w:fill="FFFFFF"/>
        <w:spacing w:before="0" w:after="0" w:beforeAutospacing="0" w:afterAutospacing="0"/>
        <w:ind w:firstLine="567"/>
        <w:jc w:val="both"/>
        <w:rPr>
          <w:sz w:val="26"/>
          <w:szCs w:val="26"/>
        </w:rPr>
      </w:pPr>
      <w:r>
        <w:rPr>
          <w:sz w:val="26"/>
          <w:szCs w:val="26"/>
        </w:rPr>
        <w:t xml:space="preserve">Відповідно до глави 29 </w:t>
      </w:r>
      <w:r>
        <w:rPr>
          <w:sz w:val="26"/>
          <w:szCs w:val="26"/>
          <w:shd w:val="clear" w:color="auto" w:fill="FFFFFF"/>
        </w:rPr>
        <w:t>розділу II</w:t>
      </w:r>
      <w:r>
        <w:rPr>
          <w:sz w:val="26"/>
          <w:szCs w:val="26"/>
        </w:rPr>
        <w:t xml:space="preserve">  Порядку тариф на медичні послуги із </w:t>
      </w:r>
      <w:r>
        <w:rPr>
          <w:sz w:val="26"/>
          <w:szCs w:val="26"/>
          <w:u w:val="single"/>
        </w:rPr>
        <w:t>стаціонарної паліативної медичної допомоги дорослим і дітям</w:t>
      </w:r>
      <w:r>
        <w:rPr>
          <w:sz w:val="26"/>
          <w:szCs w:val="26"/>
        </w:rPr>
        <w:t xml:space="preserve">, що передбачені специфікаціями, визначається як глобальна ставка. </w:t>
      </w:r>
      <w:bookmarkStart w:id="0" w:name="n417"/>
      <w:bookmarkEnd w:id="0"/>
      <w:r>
        <w:rPr>
          <w:sz w:val="26"/>
          <w:szCs w:val="26"/>
        </w:rPr>
        <w:t xml:space="preserve">Глобальна ставка на місяць розраховується як добуток кількості пацієнтів, яким надавач медичних послуг готовий надати медичні послуги протягом місяця, та ставки на пролікований випадок, яка становить 19041 гривню. </w:t>
      </w:r>
      <w:bookmarkStart w:id="1" w:name="n418"/>
      <w:bookmarkEnd w:id="1"/>
      <w:bookmarkStart w:id="2" w:name="n422"/>
      <w:bookmarkEnd w:id="2"/>
      <w:bookmarkStart w:id="3" w:name="n421"/>
      <w:bookmarkEnd w:id="3"/>
      <w:r>
        <w:rPr>
          <w:sz w:val="26"/>
          <w:szCs w:val="26"/>
        </w:rPr>
        <w:t>Фактична вартість медичних послуг з стаціонарної паліативної медичної допомоги дорослим і дітям за місяць, що надаються за кожним договором, дорівнює глобальній ставці на місяць.</w:t>
      </w:r>
    </w:p>
    <w:p>
      <w:pPr>
        <w:pStyle w:val="P4"/>
        <w:shd w:val="clear" w:fill="FFFFFF"/>
        <w:spacing w:before="0" w:after="0" w:beforeAutospacing="0" w:afterAutospacing="0"/>
        <w:ind w:firstLine="567"/>
        <w:jc w:val="both"/>
        <w:rPr>
          <w:sz w:val="26"/>
          <w:szCs w:val="26"/>
        </w:rPr>
      </w:pPr>
      <w:r>
        <w:rPr>
          <w:sz w:val="26"/>
          <w:szCs w:val="26"/>
        </w:rPr>
        <w:t xml:space="preserve">Відповідно до глави 30 </w:t>
      </w:r>
      <w:r>
        <w:rPr>
          <w:sz w:val="26"/>
          <w:szCs w:val="26"/>
          <w:shd w:val="clear" w:color="auto" w:fill="FFFFFF"/>
        </w:rPr>
        <w:t>розділу II</w:t>
      </w:r>
      <w:r>
        <w:rPr>
          <w:sz w:val="26"/>
          <w:szCs w:val="26"/>
        </w:rPr>
        <w:t xml:space="preserve">  Порядку тариф на медичні послуги з </w:t>
      </w:r>
      <w:r>
        <w:rPr>
          <w:sz w:val="26"/>
          <w:szCs w:val="26"/>
          <w:u w:val="single"/>
        </w:rPr>
        <w:t>мобільної паліативної медичної допомоги дорослим і дітям</w:t>
      </w:r>
      <w:r>
        <w:rPr>
          <w:sz w:val="26"/>
          <w:szCs w:val="26"/>
        </w:rPr>
        <w:t xml:space="preserve">, що передбачені специфікаціями, визначається як глобальна ставка. </w:t>
      </w:r>
      <w:bookmarkStart w:id="4" w:name="n425"/>
      <w:bookmarkEnd w:id="4"/>
      <w:r>
        <w:rPr>
          <w:sz w:val="26"/>
          <w:szCs w:val="26"/>
        </w:rPr>
        <w:t xml:space="preserve">Глобальна ставка на місяць розраховується як добуток кількості пацієнтів, яким надавач медичних послуг готовий надати зазначені послуги протягом місяця, та ставки на медичну послугу, яка становить 19101 гривню. </w:t>
      </w:r>
      <w:r>
        <w:rPr>
          <w:sz w:val="26"/>
          <w:szCs w:val="26"/>
          <w:shd w:val="clear" w:color="auto" w:fill="FFFFFF"/>
        </w:rPr>
        <w:t>Фактична вартість медичних послуг з мобільної паліативної медичної допомоги дорослим і дітям за місяць, що надаються за кожним договором, дорівнює глобальній ставці на місяць.</w:t>
      </w:r>
    </w:p>
    <w:p>
      <w:pPr>
        <w:spacing w:lineRule="auto" w:line="240" w:before="120" w:after="0" w:beforeAutospacing="0" w:afterAutospacing="0"/>
        <w:ind w:firstLine="567"/>
        <w:jc w:val="both"/>
        <w:rPr>
          <w:rFonts w:ascii="Times New Roman" w:hAnsi="Times New Roman"/>
          <w:sz w:val="26"/>
          <w:szCs w:val="26"/>
          <w:lang w:eastAsia="uk-UA"/>
        </w:rPr>
      </w:pPr>
      <w:r>
        <w:rPr>
          <w:rFonts w:ascii="Times New Roman" w:hAnsi="Times New Roman"/>
          <w:i w:val="1"/>
          <w:sz w:val="26"/>
          <w:szCs w:val="26"/>
          <w:lang w:eastAsia="uk-UA"/>
        </w:rPr>
        <w:t>Щодо принципу оплати послуг за пакет</w:t>
      </w:r>
      <w:r>
        <w:rPr>
          <w:rFonts w:ascii="Times New Roman" w:hAnsi="Times New Roman"/>
          <w:i w:val="1"/>
          <w:sz w:val="26"/>
          <w:szCs w:val="26"/>
        </w:rPr>
        <w:t>ами</w:t>
      </w:r>
      <w:r>
        <w:rPr>
          <w:rFonts w:ascii="Times New Roman" w:hAnsi="Times New Roman"/>
          <w:i w:val="1"/>
          <w:sz w:val="26"/>
          <w:szCs w:val="26"/>
          <w:lang w:eastAsia="uk-UA"/>
        </w:rPr>
        <w:t xml:space="preserve"> реабілітаційної допомоги</w:t>
      </w:r>
      <w:r>
        <w:rPr>
          <w:rFonts w:ascii="Times New Roman" w:hAnsi="Times New Roman"/>
          <w:sz w:val="26"/>
          <w:szCs w:val="26"/>
          <w:lang w:eastAsia="uk-UA"/>
        </w:rPr>
        <w:t>.</w:t>
      </w:r>
    </w:p>
    <w:p>
      <w:pPr>
        <w:pStyle w:val="P4"/>
        <w:shd w:val="clear" w:fill="FFFFFF"/>
        <w:spacing w:before="0" w:after="0" w:beforeAutospacing="0" w:afterAutospacing="0"/>
        <w:ind w:firstLine="567"/>
        <w:jc w:val="both"/>
        <w:rPr>
          <w:sz w:val="26"/>
          <w:szCs w:val="26"/>
          <w:shd w:val="clear" w:color="auto" w:fill="FFFFFF"/>
        </w:rPr>
      </w:pPr>
      <w:r>
        <w:rPr>
          <w:sz w:val="26"/>
          <w:szCs w:val="26"/>
        </w:rPr>
        <w:t xml:space="preserve">Пунктом 7 Порядку встановлено, що </w:t>
      </w:r>
      <w:r>
        <w:rPr>
          <w:sz w:val="26"/>
          <w:szCs w:val="26"/>
          <w:shd w:val="clear" w:color="auto" w:fill="FFFFFF"/>
        </w:rPr>
        <w:t>НСЗУ оплачує медичні послуги, що включені до пакетів медичних послуг:</w:t>
      </w:r>
    </w:p>
    <w:p>
      <w:pPr>
        <w:pStyle w:val="P4"/>
        <w:shd w:val="clear" w:fill="FFFFFF"/>
        <w:spacing w:before="0" w:after="0" w:beforeAutospacing="0" w:afterAutospacing="0"/>
        <w:ind w:firstLine="567"/>
        <w:jc w:val="both"/>
        <w:rPr>
          <w:sz w:val="26"/>
          <w:szCs w:val="26"/>
        </w:rPr>
      </w:pPr>
      <w:r>
        <w:rPr>
          <w:sz w:val="26"/>
          <w:szCs w:val="26"/>
          <w:shd w:val="clear" w:color="auto" w:fill="FFFFFF"/>
        </w:rPr>
        <w:t xml:space="preserve"> наведених</w:t>
      </w:r>
      <w:r>
        <w:rPr>
          <w:sz w:val="26"/>
          <w:szCs w:val="26"/>
        </w:rPr>
        <w:t xml:space="preserve"> у главі 31 розділу II цього Порядку </w:t>
      </w:r>
      <w:r>
        <w:rPr>
          <w:sz w:val="26"/>
          <w:szCs w:val="26"/>
          <w:shd w:val="clear" w:color="auto" w:fill="FFFFFF"/>
        </w:rPr>
        <w:t>(«</w:t>
      </w:r>
      <w:r>
        <w:rPr>
          <w:bCs w:val="1"/>
          <w:sz w:val="26"/>
          <w:szCs w:val="26"/>
          <w:shd w:val="clear" w:color="auto" w:fill="FFFFFF"/>
        </w:rPr>
        <w:t>Медична реабілітація немовлят, які народилися передчасно та/або хворими, протягом перших трьох років життя»)</w:t>
      </w:r>
      <w:r>
        <w:rPr>
          <w:sz w:val="26"/>
          <w:szCs w:val="26"/>
        </w:rPr>
        <w:t>, - лише ті послуги, що надавалися сукупно не менше 21 календарного дня або більше (у тому числі не підряд) протягом року в амбулаторних та/або стаціонарних умовах (не менше п’яти календарних днів поспіль), крім випадків смерті пацієнта до закінчення зазначеного 21 дня;</w:t>
      </w:r>
    </w:p>
    <w:p>
      <w:pPr>
        <w:pStyle w:val="P4"/>
        <w:shd w:val="clear" w:fill="FFFFFF"/>
        <w:spacing w:before="0" w:after="0" w:beforeAutospacing="0" w:afterAutospacing="0"/>
        <w:ind w:firstLine="567"/>
        <w:jc w:val="both"/>
        <w:rPr>
          <w:sz w:val="26"/>
          <w:szCs w:val="26"/>
        </w:rPr>
      </w:pPr>
      <w:bookmarkStart w:id="5" w:name="n62"/>
      <w:bookmarkEnd w:id="5"/>
      <w:r>
        <w:rPr>
          <w:sz w:val="26"/>
          <w:szCs w:val="26"/>
        </w:rPr>
        <w:t>наведених у главі 32 розділу II цього Порядку («Реабілітаційна допомога дорослим та дітям у стаціонарних умовах»), - лише ті послуги, що надавалися не менше 14 календарних днів (крім випадків смерті пацієнта до закінчення зазначених 14 днів), у разі надання реабілітаційних послуг за одним напрямом реабілітації, а також лише ті послуги, що надавалися не менше 21 календарного дня (крім випадків смерті пацієнта до закінчення зазначеного 21 дня), у разі надання реабілітаційних послуг за двома і більше напрямами реабілітаційної допомоги, але не більше двох послуг (реабілітаційних циклів) протягом року для одного пацієнта;</w:t>
      </w:r>
    </w:p>
    <w:p>
      <w:pPr>
        <w:pStyle w:val="P4"/>
        <w:shd w:val="clear" w:fill="FFFFFF"/>
        <w:spacing w:before="0" w:after="0" w:beforeAutospacing="0" w:afterAutospacing="0"/>
        <w:ind w:firstLine="567"/>
        <w:jc w:val="both"/>
        <w:rPr>
          <w:sz w:val="26"/>
          <w:szCs w:val="26"/>
        </w:rPr>
      </w:pPr>
      <w:bookmarkStart w:id="6" w:name="n63"/>
      <w:bookmarkEnd w:id="6"/>
      <w:r>
        <w:rPr>
          <w:sz w:val="26"/>
          <w:szCs w:val="26"/>
        </w:rPr>
        <w:t>наведених у главі 33 розділу II цього Порядку («Реабілітаційна допомога дорослим та дітям у амбулаторних умовах»), - лише ті послуги, що надавалися не менше 14 календарних днів (крім випадків смерті пацієнта до закінчення зазначених 14 днів), але не більше двох послуг (реабілітаційних циклів) протягом року для одного пацієнта.</w:t>
      </w:r>
    </w:p>
    <w:p>
      <w:pPr>
        <w:spacing w:lineRule="auto" w:line="240" w:after="0" w:beforeAutospacing="0" w:afterAutospacing="0"/>
        <w:ind w:firstLine="567"/>
        <w:jc w:val="both"/>
        <w:rPr>
          <w:rFonts w:ascii="Times New Roman" w:hAnsi="Times New Roman"/>
          <w:sz w:val="26"/>
          <w:szCs w:val="26"/>
          <w:lang w:eastAsia="uk-UA"/>
        </w:rPr>
      </w:pPr>
      <w:r>
        <w:rPr>
          <w:rFonts w:ascii="Times New Roman" w:hAnsi="Times New Roman"/>
          <w:sz w:val="26"/>
          <w:szCs w:val="26"/>
          <w:lang w:eastAsia="uk-UA"/>
        </w:rPr>
        <w:t xml:space="preserve">Відповідно до глави 31 </w:t>
      </w:r>
      <w:r>
        <w:rPr>
          <w:rFonts w:ascii="Times New Roman" w:hAnsi="Times New Roman"/>
          <w:sz w:val="26"/>
          <w:szCs w:val="26"/>
          <w:shd w:val="clear" w:color="auto" w:fill="FFFFFF"/>
        </w:rPr>
        <w:t>розділу II</w:t>
      </w:r>
      <w:r>
        <w:rPr>
          <w:rFonts w:ascii="Times New Roman" w:hAnsi="Times New Roman"/>
          <w:sz w:val="26"/>
          <w:szCs w:val="26"/>
        </w:rPr>
        <w:t xml:space="preserve">  </w:t>
      </w:r>
      <w:r>
        <w:rPr>
          <w:rFonts w:ascii="Times New Roman" w:hAnsi="Times New Roman"/>
          <w:sz w:val="26"/>
          <w:szCs w:val="26"/>
          <w:lang w:eastAsia="uk-UA"/>
        </w:rPr>
        <w:t xml:space="preserve">Порядку </w:t>
      </w:r>
      <w:r>
        <w:rPr>
          <w:rFonts w:ascii="Times New Roman" w:hAnsi="Times New Roman"/>
          <w:sz w:val="26"/>
          <w:szCs w:val="26"/>
          <w:shd w:val="clear" w:color="auto" w:fill="FFFFFF"/>
        </w:rPr>
        <w:t xml:space="preserve">тариф на медичні послуги </w:t>
      </w:r>
      <w:r>
        <w:rPr>
          <w:rFonts w:ascii="Times New Roman" w:hAnsi="Times New Roman"/>
          <w:sz w:val="26"/>
          <w:szCs w:val="26"/>
          <w:u w:val="single"/>
          <w:shd w:val="clear" w:color="auto" w:fill="FFFFFF"/>
        </w:rPr>
        <w:t>з медичної реабілітації немовлят, які народилися передчасно та/або хворими, протягом перших трьох років життя</w:t>
      </w:r>
      <w:r>
        <w:rPr>
          <w:rFonts w:ascii="Times New Roman" w:hAnsi="Times New Roman"/>
          <w:sz w:val="26"/>
          <w:szCs w:val="26"/>
          <w:shd w:val="clear" w:color="auto" w:fill="FFFFFF"/>
        </w:rPr>
        <w:t>, що передбачені специфікаціями, визначається як ставка на медичну послугу, яка становить 10820 гривень. Фактична вартість медичних послуг з медичної реабілітації немовлят, які народилися передчасно та/або хворими, протягом перших трьох років життя, за місяць, що надаються за кожним договором, розраховується як добуток ставки на медичну послугу та кількості фактично наданих послуг за місяць.</w:t>
      </w:r>
    </w:p>
    <w:p>
      <w:pPr>
        <w:spacing w:lineRule="auto" w:line="240" w:after="0" w:beforeAutospacing="0" w:afterAutospacing="0"/>
        <w:ind w:firstLine="567"/>
        <w:jc w:val="both"/>
        <w:rPr>
          <w:rFonts w:ascii="Times New Roman" w:hAnsi="Times New Roman"/>
          <w:sz w:val="26"/>
          <w:szCs w:val="26"/>
          <w:lang w:eastAsia="uk-UA"/>
        </w:rPr>
      </w:pPr>
      <w:r>
        <w:rPr>
          <w:rFonts w:ascii="Times New Roman" w:hAnsi="Times New Roman"/>
          <w:sz w:val="26"/>
          <w:szCs w:val="26"/>
          <w:lang w:eastAsia="uk-UA"/>
        </w:rPr>
        <w:t xml:space="preserve">Відповідно до глави 32 </w:t>
      </w:r>
      <w:r>
        <w:rPr>
          <w:rFonts w:ascii="Times New Roman" w:hAnsi="Times New Roman"/>
          <w:sz w:val="26"/>
          <w:szCs w:val="26"/>
          <w:shd w:val="clear" w:color="auto" w:fill="FFFFFF"/>
        </w:rPr>
        <w:t>розділу II</w:t>
      </w:r>
      <w:r>
        <w:rPr>
          <w:rFonts w:ascii="Times New Roman" w:hAnsi="Times New Roman"/>
          <w:sz w:val="26"/>
          <w:szCs w:val="26"/>
        </w:rPr>
        <w:t xml:space="preserve">  </w:t>
      </w:r>
      <w:r>
        <w:rPr>
          <w:rFonts w:ascii="Times New Roman" w:hAnsi="Times New Roman"/>
          <w:sz w:val="26"/>
          <w:szCs w:val="26"/>
          <w:lang w:eastAsia="uk-UA"/>
        </w:rPr>
        <w:t xml:space="preserve">Порядку </w:t>
      </w:r>
      <w:r>
        <w:rPr>
          <w:rFonts w:ascii="Times New Roman" w:hAnsi="Times New Roman"/>
          <w:sz w:val="26"/>
          <w:szCs w:val="26"/>
          <w:shd w:val="clear" w:color="auto" w:fill="FFFFFF"/>
        </w:rPr>
        <w:t xml:space="preserve">тариф на медичні послуги з </w:t>
      </w:r>
      <w:r>
        <w:rPr>
          <w:rFonts w:ascii="Times New Roman" w:hAnsi="Times New Roman"/>
          <w:sz w:val="26"/>
          <w:szCs w:val="26"/>
          <w:u w:val="single"/>
          <w:shd w:val="clear" w:color="auto" w:fill="FFFFFF"/>
        </w:rPr>
        <w:t>реабілітаційної допомоги дорослим і дітям у стаціонарних умовах</w:t>
      </w:r>
      <w:r>
        <w:rPr>
          <w:rFonts w:ascii="Times New Roman" w:hAnsi="Times New Roman"/>
          <w:sz w:val="26"/>
          <w:szCs w:val="26"/>
          <w:shd w:val="clear" w:color="auto" w:fill="FFFFFF"/>
        </w:rPr>
        <w:t>, що передбачені специфікаціями, визначається як ставка на пролікований випадок, яка становить 19769 гривень за надання реабілітаційних послуг за одним напрямом реабілітації, 33607 гривень за надання одночасно реабілітаційних послуг за двома і більше напрямами реабілітаційної допомоги в стаціонарних умовах. Фактична вартість медичних послуг з реабілітаційної допомоги дорослим і дітям у стаціонарних умовах за місяць, що надаються за кожним договором, розраховується як сума добутків відповідної ставки на пролікований випадок та кількості пролікованих випадків за місяць.</w:t>
      </w:r>
    </w:p>
    <w:p>
      <w:pPr>
        <w:spacing w:lineRule="auto" w:line="240" w:after="0" w:beforeAutospacing="0" w:afterAutospacing="0"/>
        <w:ind w:firstLine="567"/>
        <w:jc w:val="both"/>
        <w:rPr>
          <w:rFonts w:ascii="Times New Roman" w:hAnsi="Times New Roman"/>
          <w:sz w:val="26"/>
          <w:szCs w:val="26"/>
          <w:lang w:eastAsia="uk-UA"/>
        </w:rPr>
      </w:pPr>
      <w:r>
        <w:rPr>
          <w:rFonts w:ascii="Times New Roman" w:hAnsi="Times New Roman"/>
          <w:sz w:val="26"/>
          <w:szCs w:val="26"/>
          <w:lang w:eastAsia="uk-UA"/>
        </w:rPr>
        <w:t xml:space="preserve">Відповідно до глави 33 </w:t>
      </w:r>
      <w:r>
        <w:rPr>
          <w:rFonts w:ascii="Times New Roman" w:hAnsi="Times New Roman"/>
          <w:sz w:val="26"/>
          <w:szCs w:val="26"/>
          <w:shd w:val="clear" w:color="auto" w:fill="FFFFFF"/>
        </w:rPr>
        <w:t>розділу II</w:t>
      </w:r>
      <w:r>
        <w:rPr>
          <w:rFonts w:ascii="Times New Roman" w:hAnsi="Times New Roman"/>
          <w:sz w:val="26"/>
          <w:szCs w:val="26"/>
        </w:rPr>
        <w:t xml:space="preserve">  </w:t>
      </w:r>
      <w:r>
        <w:rPr>
          <w:rFonts w:ascii="Times New Roman" w:hAnsi="Times New Roman"/>
          <w:sz w:val="26"/>
          <w:szCs w:val="26"/>
          <w:lang w:eastAsia="uk-UA"/>
        </w:rPr>
        <w:t>Порядку т</w:t>
      </w:r>
      <w:r>
        <w:rPr>
          <w:rFonts w:ascii="Times New Roman" w:hAnsi="Times New Roman"/>
          <w:sz w:val="26"/>
          <w:szCs w:val="26"/>
          <w:shd w:val="clear" w:color="auto" w:fill="FFFFFF"/>
        </w:rPr>
        <w:t xml:space="preserve">ариф на медичні послуги з </w:t>
      </w:r>
      <w:r>
        <w:rPr>
          <w:rFonts w:ascii="Times New Roman" w:hAnsi="Times New Roman"/>
          <w:sz w:val="26"/>
          <w:szCs w:val="26"/>
          <w:u w:val="single"/>
          <w:shd w:val="clear" w:color="auto" w:fill="FFFFFF"/>
        </w:rPr>
        <w:t>реабілітаційної допомоги дорослим і дітям у амбулаторних умовах</w:t>
      </w:r>
      <w:r>
        <w:rPr>
          <w:rFonts w:ascii="Times New Roman" w:hAnsi="Times New Roman"/>
          <w:sz w:val="26"/>
          <w:szCs w:val="26"/>
          <w:shd w:val="clear" w:color="auto" w:fill="FFFFFF"/>
        </w:rPr>
        <w:t>, що передбачені специфікаціями, визначається як ставка на медичну послугу, яка становить 10820 гривень. Фактична вартість медичних послуг з реабілітаційної допомоги дорослим і дітям у амбулаторних умовах за місяць, що надаються за кожним договором, розраховується як добуток ставки на медичну послугу та кількості фактично наданих послуг за місяць.</w:t>
      </w:r>
    </w:p>
    <w:p>
      <w:pPr>
        <w:spacing w:lineRule="auto" w:line="240" w:after="0" w:beforeAutospacing="0" w:afterAutospacing="0"/>
        <w:ind w:firstLine="567"/>
        <w:jc w:val="both"/>
        <w:rPr>
          <w:rFonts w:ascii="Times New Roman" w:hAnsi="Times New Roman"/>
          <w:sz w:val="26"/>
          <w:szCs w:val="26"/>
        </w:rPr>
      </w:pPr>
      <w:r>
        <w:rPr>
          <w:rFonts w:ascii="Times New Roman" w:hAnsi="Times New Roman"/>
          <w:sz w:val="26"/>
          <w:szCs w:val="26"/>
        </w:rPr>
        <w:t>НСЗУ постійно аналізує необхідність у доконтрактуванні закладів охорони здоров’я за програмою медичних гарантій у 2023 році.</w:t>
      </w:r>
    </w:p>
    <w:p>
      <w:pPr>
        <w:spacing w:lineRule="auto" w:line="240" w:after="0" w:beforeAutospacing="0" w:afterAutospacing="0"/>
        <w:ind w:firstLine="567"/>
        <w:jc w:val="both"/>
        <w:rPr>
          <w:rFonts w:ascii="Times New Roman" w:hAnsi="Times New Roman"/>
          <w:sz w:val="26"/>
          <w:szCs w:val="26"/>
          <w:lang w:eastAsia="uk-UA"/>
        </w:rPr>
      </w:pPr>
      <w:r>
        <w:rPr>
          <w:rFonts w:ascii="Times New Roman" w:hAnsi="Times New Roman"/>
          <w:sz w:val="26"/>
          <w:szCs w:val="26"/>
        </w:rPr>
        <w:t>Водночас, повідомляємо, що наразі прийом пропозицій про укладення договору про медичне обслуговування населення за програмою медичних гарантій не здійснюється за пакетами медичних послуг</w:t>
      </w:r>
      <w:r>
        <w:rPr>
          <w:rFonts w:ascii="Times New Roman" w:hAnsi="Times New Roman"/>
          <w:sz w:val="26"/>
          <w:szCs w:val="26"/>
          <w:lang w:eastAsia="uk-UA"/>
        </w:rPr>
        <w:t xml:space="preserve"> з надання реабілітаційної допомоги та </w:t>
      </w:r>
      <w:r>
        <w:rPr>
          <w:rFonts w:ascii="Times New Roman" w:hAnsi="Times New Roman"/>
          <w:sz w:val="26"/>
          <w:szCs w:val="26"/>
          <w:shd w:val="clear" w:color="auto" w:fill="FFFFFF"/>
        </w:rPr>
        <w:t>паліативної медичної допомоги</w:t>
      </w:r>
      <w:r>
        <w:rPr>
          <w:rFonts w:ascii="Times New Roman" w:hAnsi="Times New Roman"/>
          <w:sz w:val="26"/>
          <w:szCs w:val="26"/>
          <w:lang w:eastAsia="uk-UA"/>
        </w:rPr>
        <w:t>.</w:t>
      </w:r>
    </w:p>
    <w:p>
      <w:pPr>
        <w:pStyle w:val="P5"/>
        <w:ind w:firstLine="567"/>
        <w:jc w:val="both"/>
        <w:rPr>
          <w:sz w:val="26"/>
          <w:szCs w:val="26"/>
        </w:rPr>
      </w:pPr>
      <w:r>
        <w:rPr>
          <w:sz w:val="26"/>
          <w:szCs w:val="26"/>
        </w:rPr>
        <w:t xml:space="preserve">Інформація про актуальні оголошення розміщена на офіційному веб-сайті  НСЗУ </w:t>
      </w:r>
      <w:hyperlink xmlns:r="http://schemas.openxmlformats.org/officeDocument/2006/relationships" r:id="R2">
        <w:r>
          <w:rPr>
            <w:sz w:val="26"/>
            <w:szCs w:val="26"/>
          </w:rPr>
          <w:t>www.nszu.gov.ua</w:t>
        </w:r>
      </w:hyperlink>
      <w:r>
        <w:rPr>
          <w:sz w:val="26"/>
          <w:szCs w:val="26"/>
        </w:rPr>
        <w:t>. в розділі «Контрактування 2023».</w:t>
      </w:r>
    </w:p>
    <w:p>
      <w:pPr>
        <w:spacing w:lineRule="auto" w:line="240" w:after="0" w:beforeAutospacing="0" w:afterAutospacing="0"/>
        <w:ind w:firstLine="567"/>
        <w:jc w:val="both"/>
        <w:rPr>
          <w:rFonts w:ascii="Times New Roman" w:hAnsi="Times New Roman"/>
          <w:sz w:val="26"/>
          <w:szCs w:val="26"/>
          <w:lang w:eastAsia="uk-UA"/>
        </w:rPr>
      </w:pPr>
      <w:r>
        <w:rPr>
          <w:rFonts w:ascii="Times New Roman" w:hAnsi="Times New Roman"/>
          <w:sz w:val="26"/>
          <w:szCs w:val="26"/>
        </w:rPr>
        <w:t>Додатково інформуємо, що на офіційному веб-сайті НСЗУ створено новий розділ</w:t>
      </w:r>
      <w:r>
        <w:rPr>
          <w:rFonts w:ascii="Times New Roman" w:hAnsi="Times New Roman"/>
          <w:b w:val="1"/>
          <w:sz w:val="26"/>
          <w:szCs w:val="26"/>
        </w:rPr>
        <w:t xml:space="preserve"> (https://nszu.gov.ua/rozyasnennya-dlya-zoz), </w:t>
      </w:r>
      <w:r>
        <w:rPr>
          <w:rFonts w:ascii="Times New Roman" w:hAnsi="Times New Roman"/>
          <w:sz w:val="26"/>
          <w:szCs w:val="26"/>
        </w:rPr>
        <w:t>який містить офіційні листи НСЗУ, зокрема, роз’яснення</w:t>
      </w:r>
      <w:r>
        <w:rPr>
          <w:rFonts w:ascii="Times New Roman" w:hAnsi="Times New Roman"/>
          <w:b w:val="1"/>
          <w:sz w:val="26"/>
          <w:szCs w:val="26"/>
        </w:rPr>
        <w:t xml:space="preserve"> щодо принципу оплати та внесення в ЕСОЗ інформації про надані медичні послуги, інформації про пацієнтів, які отримували відповідну допомогу </w:t>
      </w:r>
      <w:r>
        <w:rPr>
          <w:rFonts w:ascii="Times New Roman" w:hAnsi="Times New Roman"/>
          <w:sz w:val="26"/>
          <w:szCs w:val="26"/>
        </w:rPr>
        <w:t xml:space="preserve">за пакетами медичних послуг </w:t>
      </w:r>
      <w:r>
        <w:rPr>
          <w:rFonts w:ascii="Times New Roman" w:hAnsi="Times New Roman"/>
          <w:sz w:val="26"/>
          <w:szCs w:val="26"/>
          <w:lang w:eastAsia="uk-UA"/>
        </w:rPr>
        <w:t xml:space="preserve">з надання реабілітаційної допомоги та </w:t>
      </w:r>
      <w:r>
        <w:rPr>
          <w:rFonts w:ascii="Times New Roman" w:hAnsi="Times New Roman"/>
          <w:sz w:val="26"/>
          <w:szCs w:val="26"/>
          <w:shd w:val="clear" w:color="auto" w:fill="FFFFFF"/>
        </w:rPr>
        <w:t>паліативної медичної допомоги</w:t>
      </w:r>
      <w:r>
        <w:rPr>
          <w:rFonts w:ascii="Times New Roman" w:hAnsi="Times New Roman"/>
          <w:sz w:val="26"/>
          <w:szCs w:val="26"/>
          <w:lang w:eastAsia="uk-UA"/>
        </w:rPr>
        <w:t>.</w:t>
      </w:r>
    </w:p>
    <w:p>
      <w:pPr>
        <w:spacing w:lineRule="auto" w:line="240" w:after="0" w:beforeAutospacing="0" w:afterAutospacing="0"/>
        <w:ind w:firstLine="567"/>
        <w:jc w:val="both"/>
        <w:rPr>
          <w:rFonts w:ascii="Times New Roman" w:hAnsi="Times New Roman"/>
          <w:sz w:val="26"/>
          <w:szCs w:val="26"/>
          <w:shd w:val="clear" w:color="auto" w:fill="FFFFFF"/>
        </w:rPr>
      </w:pPr>
      <w:r>
        <w:rPr>
          <w:rFonts w:ascii="Times New Roman" w:hAnsi="Times New Roman"/>
          <w:sz w:val="26"/>
          <w:szCs w:val="26"/>
          <w:lang w:eastAsia="uk-UA"/>
        </w:rPr>
        <w:t>Поряд з цим, НСЗУ для надавачів медичних послуг були проведені наступні вебінари, які доступні для перегляду</w:t>
      </w:r>
      <w:bookmarkStart w:id="7" w:name="_GoBack"/>
      <w:bookmarkEnd w:id="7"/>
      <w:r>
        <w:rPr>
          <w:rFonts w:ascii="Times New Roman" w:hAnsi="Times New Roman"/>
          <w:sz w:val="26"/>
          <w:szCs w:val="26"/>
          <w:shd w:val="clear" w:color="auto" w:fill="FFFFFF"/>
        </w:rPr>
        <w:t>:</w:t>
      </w:r>
    </w:p>
    <w:p>
      <w:pPr>
        <w:spacing w:lineRule="auto" w:line="240" w:after="0" w:beforeAutospacing="0" w:afterAutospacing="0"/>
        <w:ind w:firstLine="567"/>
        <w:jc w:val="both"/>
        <w:rPr>
          <w:rFonts w:ascii="Times New Roman" w:hAnsi="Times New Roman"/>
          <w:sz w:val="26"/>
          <w:szCs w:val="26"/>
        </w:rPr>
      </w:pPr>
      <w:r>
        <w:rPr>
          <w:rFonts w:ascii="Times New Roman" w:hAnsi="Times New Roman"/>
          <w:color w:val="000000"/>
          <w:sz w:val="26"/>
          <w:szCs w:val="26"/>
        </w:rPr>
        <w:t>Паліативна допомога в рамках ПМГ 2023: маршрути, алгоритм внесення інформації в ЕСОЗ, правила кодування (</w:t>
      </w:r>
      <w:hyperlink xmlns:r="http://schemas.openxmlformats.org/officeDocument/2006/relationships" r:id="R3">
        <w:r>
          <w:rPr>
            <w:rStyle w:val="C2"/>
            <w:rFonts w:ascii="Times New Roman" w:hAnsi="Times New Roman"/>
            <w:sz w:val="26"/>
            <w:szCs w:val="26"/>
          </w:rPr>
          <w:t>https://www.youtube.com/watch?v=5_3PHr0XjSM</w:t>
        </w:r>
      </w:hyperlink>
      <w:r>
        <w:rPr>
          <w:rFonts w:ascii="Times New Roman" w:hAnsi="Times New Roman"/>
          <w:sz w:val="26"/>
          <w:szCs w:val="26"/>
        </w:rPr>
        <w:t>);</w:t>
      </w:r>
    </w:p>
    <w:p>
      <w:pPr>
        <w:spacing w:lineRule="auto" w:line="240" w:after="0" w:beforeAutospacing="0" w:afterAutospacing="0"/>
        <w:ind w:firstLine="567"/>
        <w:jc w:val="both"/>
        <w:rPr>
          <w:rFonts w:ascii="Times New Roman" w:hAnsi="Times New Roman"/>
          <w:sz w:val="26"/>
          <w:szCs w:val="26"/>
        </w:rPr>
      </w:pPr>
      <w:r>
        <w:rPr>
          <w:rFonts w:ascii="Times New Roman" w:hAnsi="Times New Roman"/>
          <w:color w:val="000000"/>
          <w:sz w:val="26"/>
          <w:szCs w:val="26"/>
        </w:rPr>
        <w:t>Реабілітаційні пакети в рамках ПМГ 2023: маршрути, алгоритм внесення в ЕСОЗ, правила кодування (</w:t>
      </w:r>
      <w:hyperlink xmlns:r="http://schemas.openxmlformats.org/officeDocument/2006/relationships" r:id="R4">
        <w:r>
          <w:rPr>
            <w:rStyle w:val="C2"/>
            <w:rFonts w:ascii="Times New Roman" w:hAnsi="Times New Roman"/>
            <w:sz w:val="26"/>
            <w:szCs w:val="26"/>
          </w:rPr>
          <w:t>https://www.youtube.com/watch?v=x0B4IFCnAq4</w:t>
        </w:r>
      </w:hyperlink>
      <w:r>
        <w:rPr>
          <w:rFonts w:ascii="Times New Roman" w:hAnsi="Times New Roman"/>
          <w:sz w:val="26"/>
          <w:szCs w:val="26"/>
        </w:rPr>
        <w:t>).</w:t>
      </w:r>
    </w:p>
    <w:p>
      <w:pPr>
        <w:pStyle w:val="P5"/>
        <w:ind w:firstLine="567"/>
        <w:jc w:val="both"/>
        <w:rPr>
          <w:sz w:val="26"/>
          <w:szCs w:val="26"/>
        </w:rPr>
      </w:pPr>
      <w:r>
        <w:rPr>
          <w:sz w:val="26"/>
          <w:szCs w:val="26"/>
        </w:rPr>
        <w:t>У разі наявності будь-яких питань</w:t>
      </w:r>
      <w:r>
        <w:rPr>
          <w:sz w:val="26"/>
          <w:szCs w:val="26"/>
        </w:rPr>
        <w:t xml:space="preserve"> звертайтеся на безкоштовну гарячу лінію 16-77, а також до міжрегіональних департаментів НСЗУ.</w:t>
      </w:r>
    </w:p>
    <w:p>
      <w:pPr>
        <w:spacing w:lineRule="auto" w:line="240" w:beforeAutospacing="0" w:afterAutospacing="0"/>
        <w:ind w:firstLine="567" w:right="139"/>
        <w:jc w:val="both"/>
        <w:rPr>
          <w:rFonts w:ascii="Times New Roman" w:hAnsi="Times New Roman"/>
          <w:sz w:val="26"/>
          <w:szCs w:val="26"/>
          <w:lang w:eastAsia="uk-UA"/>
        </w:rPr>
      </w:pPr>
      <w:r>
        <w:rPr>
          <w:rFonts w:ascii="Times New Roman" w:hAnsi="Times New Roman"/>
          <w:sz w:val="26"/>
          <w:szCs w:val="26"/>
          <w:lang w:eastAsia="uk-UA"/>
        </w:rPr>
        <w:t>Дякуємо за співпрацю! Вірте в Збройні Сили України та державні інституції!</w:t>
      </w:r>
    </w:p>
    <w:p>
      <w:pPr>
        <w:spacing w:lineRule="auto" w:line="240" w:beforeAutospacing="0" w:afterAutospacing="0"/>
        <w:ind w:firstLine="567" w:right="139"/>
        <w:jc w:val="both"/>
        <w:rPr>
          <w:rFonts w:ascii="Times New Roman" w:hAnsi="Times New Roman"/>
          <w:sz w:val="26"/>
          <w:szCs w:val="26"/>
          <w:lang w:eastAsia="uk-UA"/>
        </w:rPr>
      </w:pPr>
      <w:r>
        <w:rPr>
          <w:rFonts w:ascii="Times New Roman" w:hAnsi="Times New Roman"/>
          <w:sz w:val="26"/>
          <w:szCs w:val="26"/>
          <w:lang w:eastAsia="uk-UA"/>
        </w:rPr>
        <w:t>Україна переможе!</w:t>
      </w:r>
    </w:p>
    <w:p>
      <w:pPr>
        <w:spacing w:lineRule="auto" w:line="240" w:after="0" w:beforeAutospacing="0" w:afterAutospacing="0"/>
        <w:rPr>
          <w:rFonts w:ascii="Times New Roman" w:hAnsi="Times New Roman"/>
          <w:sz w:val="26"/>
          <w:szCs w:val="26"/>
          <w:lang w:eastAsia="uk-UA"/>
        </w:rPr>
      </w:pPr>
    </w:p>
    <w:p>
      <w:pPr>
        <w:spacing w:lineRule="auto" w:line="240" w:after="0" w:beforeAutospacing="0" w:afterAutospacing="0"/>
        <w:rPr>
          <w:rFonts w:ascii="Times New Roman" w:hAnsi="Times New Roman"/>
          <w:sz w:val="26"/>
          <w:szCs w:val="26"/>
          <w:lang w:eastAsia="uk-UA"/>
        </w:rPr>
      </w:pPr>
      <w:r>
        <w:rPr>
          <w:rFonts w:ascii="Times New Roman" w:hAnsi="Times New Roman"/>
          <w:sz w:val="26"/>
          <w:szCs w:val="26"/>
          <w:lang w:eastAsia="uk-UA"/>
        </w:rPr>
        <w:t xml:space="preserve">Голова    </w:t>
        <w:tab/>
        <w:t xml:space="preserve">                 </w:t>
        <w:tab/>
        <w:t xml:space="preserve">                                                                   Наталія ГУСАК</w:t>
      </w:r>
    </w:p>
    <w:p>
      <w:pPr>
        <w:spacing w:lineRule="auto" w:line="240" w:after="0" w:beforeAutospacing="0" w:afterAutospacing="0"/>
        <w:rPr>
          <w:rFonts w:ascii="Times New Roman" w:hAnsi="Times New Roman"/>
          <w:sz w:val="26"/>
          <w:szCs w:val="26"/>
          <w:lang w:eastAsia="uk-UA"/>
        </w:rPr>
      </w:pPr>
    </w:p>
    <w:p>
      <w:pPr>
        <w:spacing w:lineRule="auto" w:line="240" w:after="0" w:beforeAutospacing="0" w:afterAutospacing="0"/>
        <w:rPr>
          <w:rFonts w:ascii="Times New Roman" w:hAnsi="Times New Roman"/>
          <w:sz w:val="26"/>
          <w:szCs w:val="26"/>
          <w:lang w:eastAsia="uk-UA"/>
        </w:rPr>
      </w:pPr>
    </w:p>
    <w:p>
      <w:pPr>
        <w:spacing w:lineRule="auto" w:line="240" w:after="0" w:beforeAutospacing="0" w:afterAutospacing="0"/>
        <w:rPr>
          <w:rFonts w:ascii="Times New Roman" w:hAnsi="Times New Roman"/>
          <w:sz w:val="28"/>
          <w:szCs w:val="28"/>
          <w:lang w:eastAsia="uk-UA"/>
        </w:rPr>
      </w:pPr>
    </w:p>
    <w:p>
      <w:pPr>
        <w:spacing w:lineRule="auto" w:line="240" w:after="0" w:beforeAutospacing="0" w:afterAutospacing="0"/>
        <w:rPr>
          <w:rFonts w:ascii="Times New Roman" w:hAnsi="Times New Roman"/>
          <w:sz w:val="28"/>
          <w:szCs w:val="28"/>
          <w:lang w:eastAsia="uk-UA"/>
        </w:rPr>
      </w:pPr>
    </w:p>
    <w:p>
      <w:pPr>
        <w:spacing w:lineRule="auto" w:line="240" w:after="0" w:beforeAutospacing="0" w:afterAutospacing="0"/>
        <w:rPr>
          <w:rFonts w:ascii="Times New Roman" w:hAnsi="Times New Roman"/>
          <w:sz w:val="28"/>
          <w:szCs w:val="28"/>
          <w:lang w:eastAsia="uk-UA"/>
        </w:rPr>
      </w:pPr>
    </w:p>
    <w:p>
      <w:pPr>
        <w:spacing w:lineRule="auto" w:line="240" w:after="0" w:beforeAutospacing="0" w:afterAutospacing="0"/>
        <w:rPr>
          <w:rFonts w:ascii="Times New Roman" w:hAnsi="Times New Roman"/>
          <w:sz w:val="28"/>
          <w:szCs w:val="28"/>
          <w:lang w:eastAsia="uk-UA"/>
        </w:rPr>
      </w:pPr>
    </w:p>
    <w:p>
      <w:pPr>
        <w:spacing w:lineRule="auto" w:line="240" w:after="0" w:beforeAutospacing="0" w:afterAutospacing="0"/>
        <w:rPr>
          <w:rFonts w:ascii="Times New Roman" w:hAnsi="Times New Roman"/>
          <w:sz w:val="16"/>
          <w:szCs w:val="16"/>
          <w:lang w:eastAsia="uk-UA"/>
        </w:rPr>
      </w:pPr>
      <w:r>
        <w:rPr>
          <w:rFonts w:ascii="Times New Roman" w:hAnsi="Times New Roman"/>
          <w:sz w:val="16"/>
          <w:szCs w:val="16"/>
          <w:lang w:eastAsia="uk-UA"/>
        </w:rPr>
        <w:t xml:space="preserve">Лариса Невечеря  044 426-67-77</w:t>
      </w:r>
    </w:p>
    <w:p>
      <w:pPr>
        <w:spacing w:lineRule="auto" w:line="240" w:after="0" w:beforeAutospacing="0" w:afterAutospacing="0"/>
        <w:ind w:firstLine="567"/>
        <w:jc w:val="both"/>
        <w:rPr>
          <w:rFonts w:ascii="Times New Roman" w:hAnsi="Times New Roman"/>
          <w:sz w:val="16"/>
          <w:szCs w:val="16"/>
          <w:lang w:eastAsia="uk-UA"/>
        </w:rPr>
      </w:pPr>
      <w:permEnd w:id="0"/>
    </w:p>
    <w:sectPr>
      <w:headerReference xmlns:r="http://schemas.openxmlformats.org/officeDocument/2006/relationships" w:type="first" r:id="RelHdr1"/>
      <w:headerReference xmlns:r="http://schemas.openxmlformats.org/officeDocument/2006/relationships" w:type="default" r:id="RelHdr2"/>
      <w:footnotePr/>
      <w:endnotePr/>
      <w:type w:val="nextPage"/>
      <w:pgSz w:w="11906" w:h="16838" w:code="0"/>
      <w:pgMar w:left="1701" w:right="566" w:top="1135" w:bottom="1135" w:header="284" w:footer="708" w:gutter="0"/>
      <w:titlePg w:val="1"/>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p>
  </w:endnote>
  <w:endnote w:type="continuationSeparator" w:id="0">
    <w:p>
      <w:pPr>
        <w:spacing w:lineRule="auto" w:line="240" w:after="0" w:beforeAutospacing="0" w:afterAutospacing="0"/>
      </w:pPr>
    </w:p>
  </w:endnote>
</w:endnotes>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p>
  </w:footnote>
  <w:footnote w:type="continuationSeparator" w:id="0">
    <w:p>
      <w:pPr>
        <w:spacing w:lineRule="auto" w:line="240" w:after="0" w:beforeAutospacing="0" w:afterAutospacing="0"/>
      </w:pP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tabs>
        <w:tab w:val="center" w:pos="4819" w:leader="none"/>
        <w:tab w:val="right" w:pos="9639" w:leader="none"/>
      </w:tabs>
      <w:spacing w:lineRule="auto" w:line="240" w:after="0" w:beforeAutospacing="0" w:afterAutospacing="0"/>
      <w:jc w:val="center"/>
      <w:rPr>
        <w:rFonts w:ascii="Times New Roman" w:hAnsi="Times New Roman"/>
        <w:sz w:val="28"/>
        <w:szCs w:val="24"/>
        <w:lang w:eastAsia="ru-RU"/>
      </w:rPr>
    </w:pPr>
    <w:r>
      <w:rPr>
        <w:rFonts w:ascii="Times New Roman" w:hAnsi="Times New Roman"/>
        <w:noProof w:val="1"/>
        <w:sz w:val="24"/>
        <w:szCs w:val="24"/>
        <w:lang w:eastAsia="uk-UA"/>
      </w:rPr>
      <w:drawing>
        <wp:inline xmlns:wp="http://schemas.openxmlformats.org/drawingml/2006/wordprocessingDrawing" distT="0" distB="0" distL="0" distR="0">
          <wp:extent cx="466725" cy="628650"/>
          <wp:effectExtent l="0" t="0" r="0" b="0"/>
          <wp:docPr id="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dpi="0">
                  <a:blip xmlns:r="http://schemas.openxmlformats.org/officeDocument/2006/relationships" r:embed="Relimage1"/>
                  <a:srcRect/>
                  <a:stretch>
                    <a:fillRect/>
                  </a:stretch>
                </pic:blipFill>
                <pic:spPr bwMode="auto">
                  <a:xfrm>
                    <a:off x="0" y="0"/>
                    <a:ext cx="466725" cy="628650"/>
                  </a:xfrm>
                  <a:prstGeom prst="rect"/>
                  <a:noFill/>
                  <a:ln>
                    <a:noFill/>
                  </a:ln>
                </pic:spPr>
              </pic:pic>
            </a:graphicData>
          </a:graphic>
        </wp:inline>
      </w:drawing>
    </w: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PAGE   \* MERGEFORMAT</w:instrText>
    </w:r>
    <w:r>
      <w:rPr>
        <w:rFonts w:ascii="Times New Roman" w:hAnsi="Times New Roman"/>
        <w:sz w:val="28"/>
        <w:szCs w:val="28"/>
      </w:rPr>
      <w:fldChar w:fldCharType="separate"/>
    </w:r>
    <w:r>
      <w:rPr>
        <w:rFonts w:ascii="Times New Roman" w:hAnsi="Times New Roman"/>
        <w:noProof w:val="1"/>
        <w:sz w:val="28"/>
        <w:szCs w:val="28"/>
      </w:rPr>
      <w:t>#</w:t>
    </w:r>
    <w:r>
      <w:rPr>
        <w:rFonts w:ascii="Times New Roman" w:hAnsi="Times New Roman"/>
        <w:sz w:val="28"/>
        <w:szCs w:val="28"/>
      </w:rPr>
      <w:fldChar w:fldCharType="end"/>
    </w:r>
  </w:p>
</w:hdr>
</file>

<file path=word/numbering.xml><?xml version="1.0" encoding="utf-8"?>
<w:numbering xmlns:w="http://schemas.openxmlformats.org/wordprocessingml/2006/main">
  <w:abstractNum w:abstractNumId="0">
    <w:nsid w:val="14B635C2"/>
    <w:multiLevelType w:val="hybridMultilevel"/>
    <w:lvl w:ilvl="0" w:tplc="E2A0ABC6">
      <w:start w:val="1"/>
      <w:numFmt w:val="bullet"/>
      <w:suff w:val="tab"/>
      <w:lvlText w:val="-"/>
      <w:lvlJc w:val="left"/>
      <w:pPr>
        <w:ind w:hanging="360" w:left="927"/>
      </w:pPr>
      <w:rPr>
        <w:rFonts w:ascii="Times New Roman" w:hAnsi="Times New Roman"/>
      </w:rPr>
    </w:lvl>
    <w:lvl w:ilvl="1" w:tplc="04220003">
      <w:start w:val="1"/>
      <w:numFmt w:val="bullet"/>
      <w:suff w:val="tab"/>
      <w:lvlText w:val="o"/>
      <w:lvlJc w:val="left"/>
      <w:pPr>
        <w:ind w:hanging="360" w:left="1647"/>
      </w:pPr>
      <w:rPr>
        <w:rFonts w:ascii="Courier New" w:hAnsi="Courier New"/>
      </w:rPr>
    </w:lvl>
    <w:lvl w:ilvl="2" w:tplc="04220005">
      <w:start w:val="1"/>
      <w:numFmt w:val="bullet"/>
      <w:suff w:val="tab"/>
      <w:lvlText w:val=""/>
      <w:lvlJc w:val="left"/>
      <w:pPr>
        <w:ind w:hanging="360" w:left="2367"/>
      </w:pPr>
      <w:rPr>
        <w:rFonts w:ascii="Wingdings" w:hAnsi="Wingdings"/>
      </w:rPr>
    </w:lvl>
    <w:lvl w:ilvl="3" w:tplc="04220001">
      <w:start w:val="1"/>
      <w:numFmt w:val="bullet"/>
      <w:suff w:val="tab"/>
      <w:lvlText w:val=""/>
      <w:lvlJc w:val="left"/>
      <w:pPr>
        <w:ind w:hanging="360" w:left="3087"/>
      </w:pPr>
      <w:rPr>
        <w:rFonts w:ascii="Symbol" w:hAnsi="Symbol"/>
      </w:rPr>
    </w:lvl>
    <w:lvl w:ilvl="4" w:tplc="04220003">
      <w:start w:val="1"/>
      <w:numFmt w:val="bullet"/>
      <w:suff w:val="tab"/>
      <w:lvlText w:val="o"/>
      <w:lvlJc w:val="left"/>
      <w:pPr>
        <w:ind w:hanging="360" w:left="3807"/>
      </w:pPr>
      <w:rPr>
        <w:rFonts w:ascii="Courier New" w:hAnsi="Courier New"/>
      </w:rPr>
    </w:lvl>
    <w:lvl w:ilvl="5" w:tplc="04220005">
      <w:start w:val="1"/>
      <w:numFmt w:val="bullet"/>
      <w:suff w:val="tab"/>
      <w:lvlText w:val=""/>
      <w:lvlJc w:val="left"/>
      <w:pPr>
        <w:ind w:hanging="360" w:left="4527"/>
      </w:pPr>
      <w:rPr>
        <w:rFonts w:ascii="Wingdings" w:hAnsi="Wingdings"/>
      </w:rPr>
    </w:lvl>
    <w:lvl w:ilvl="6" w:tplc="04220001">
      <w:start w:val="1"/>
      <w:numFmt w:val="bullet"/>
      <w:suff w:val="tab"/>
      <w:lvlText w:val=""/>
      <w:lvlJc w:val="left"/>
      <w:pPr>
        <w:ind w:hanging="360" w:left="5247"/>
      </w:pPr>
      <w:rPr>
        <w:rFonts w:ascii="Symbol" w:hAnsi="Symbol"/>
      </w:rPr>
    </w:lvl>
    <w:lvl w:ilvl="7" w:tplc="04220003">
      <w:start w:val="1"/>
      <w:numFmt w:val="bullet"/>
      <w:suff w:val="tab"/>
      <w:lvlText w:val="o"/>
      <w:lvlJc w:val="left"/>
      <w:pPr>
        <w:ind w:hanging="360" w:left="5967"/>
      </w:pPr>
      <w:rPr>
        <w:rFonts w:ascii="Courier New" w:hAnsi="Courier New"/>
      </w:rPr>
    </w:lvl>
    <w:lvl w:ilvl="8" w:tplc="04220005">
      <w:start w:val="1"/>
      <w:numFmt w:val="bullet"/>
      <w:suff w:val="tab"/>
      <w:lvlText w:val=""/>
      <w:lvlJc w:val="left"/>
      <w:pPr>
        <w:ind w:hanging="360" w:left="6687"/>
      </w:pPr>
      <w:rPr>
        <w:rFonts w:ascii="Wingdings" w:hAnsi="Wingdings"/>
      </w:rPr>
    </w:lvl>
  </w:abstractNum>
  <w:abstractNum w:abstractNumId="1">
    <w:nsid w:val="1E793D6D"/>
    <w:multiLevelType w:val="hybridMultilevel"/>
    <w:lvl w:ilvl="0" w:tplc="E8186266">
      <w:start w:val="1"/>
      <w:numFmt w:val="bullet"/>
      <w:suff w:val="tab"/>
      <w:lvlText w:val="-"/>
      <w:lvlJc w:val="left"/>
      <w:pPr>
        <w:ind w:hanging="360" w:left="927"/>
      </w:pPr>
      <w:rPr>
        <w:rFonts w:ascii="Times New Roman" w:hAnsi="Times New Roman"/>
      </w:rPr>
    </w:lvl>
    <w:lvl w:ilvl="1" w:tplc="04220003">
      <w:start w:val="1"/>
      <w:numFmt w:val="bullet"/>
      <w:suff w:val="tab"/>
      <w:lvlText w:val="o"/>
      <w:lvlJc w:val="left"/>
      <w:pPr>
        <w:ind w:hanging="360" w:left="1647"/>
      </w:pPr>
      <w:rPr>
        <w:rFonts w:ascii="Courier New" w:hAnsi="Courier New"/>
      </w:rPr>
    </w:lvl>
    <w:lvl w:ilvl="2" w:tplc="04220005">
      <w:start w:val="1"/>
      <w:numFmt w:val="bullet"/>
      <w:suff w:val="tab"/>
      <w:lvlText w:val=""/>
      <w:lvlJc w:val="left"/>
      <w:pPr>
        <w:ind w:hanging="360" w:left="2367"/>
      </w:pPr>
      <w:rPr>
        <w:rFonts w:ascii="Wingdings" w:hAnsi="Wingdings"/>
      </w:rPr>
    </w:lvl>
    <w:lvl w:ilvl="3" w:tplc="04220001">
      <w:start w:val="1"/>
      <w:numFmt w:val="bullet"/>
      <w:suff w:val="tab"/>
      <w:lvlText w:val=""/>
      <w:lvlJc w:val="left"/>
      <w:pPr>
        <w:ind w:hanging="360" w:left="3087"/>
      </w:pPr>
      <w:rPr>
        <w:rFonts w:ascii="Symbol" w:hAnsi="Symbol"/>
      </w:rPr>
    </w:lvl>
    <w:lvl w:ilvl="4" w:tplc="04220003">
      <w:start w:val="1"/>
      <w:numFmt w:val="bullet"/>
      <w:suff w:val="tab"/>
      <w:lvlText w:val="o"/>
      <w:lvlJc w:val="left"/>
      <w:pPr>
        <w:ind w:hanging="360" w:left="3807"/>
      </w:pPr>
      <w:rPr>
        <w:rFonts w:ascii="Courier New" w:hAnsi="Courier New"/>
      </w:rPr>
    </w:lvl>
    <w:lvl w:ilvl="5" w:tplc="04220005">
      <w:start w:val="1"/>
      <w:numFmt w:val="bullet"/>
      <w:suff w:val="tab"/>
      <w:lvlText w:val=""/>
      <w:lvlJc w:val="left"/>
      <w:pPr>
        <w:ind w:hanging="360" w:left="4527"/>
      </w:pPr>
      <w:rPr>
        <w:rFonts w:ascii="Wingdings" w:hAnsi="Wingdings"/>
      </w:rPr>
    </w:lvl>
    <w:lvl w:ilvl="6" w:tplc="04220001">
      <w:start w:val="1"/>
      <w:numFmt w:val="bullet"/>
      <w:suff w:val="tab"/>
      <w:lvlText w:val=""/>
      <w:lvlJc w:val="left"/>
      <w:pPr>
        <w:ind w:hanging="360" w:left="5247"/>
      </w:pPr>
      <w:rPr>
        <w:rFonts w:ascii="Symbol" w:hAnsi="Symbol"/>
      </w:rPr>
    </w:lvl>
    <w:lvl w:ilvl="7" w:tplc="04220003">
      <w:start w:val="1"/>
      <w:numFmt w:val="bullet"/>
      <w:suff w:val="tab"/>
      <w:lvlText w:val="o"/>
      <w:lvlJc w:val="left"/>
      <w:pPr>
        <w:ind w:hanging="360" w:left="5967"/>
      </w:pPr>
      <w:rPr>
        <w:rFonts w:ascii="Courier New" w:hAnsi="Courier New"/>
      </w:rPr>
    </w:lvl>
    <w:lvl w:ilvl="8" w:tplc="04220005">
      <w:start w:val="1"/>
      <w:numFmt w:val="bullet"/>
      <w:suff w:val="tab"/>
      <w:lvlText w:val=""/>
      <w:lvlJc w:val="left"/>
      <w:pPr>
        <w:ind w:hanging="360" w:left="6687"/>
      </w:pPr>
      <w:rPr>
        <w:rFonts w:ascii="Wingdings" w:hAnsi="Wingdings"/>
      </w:rPr>
    </w:lvl>
  </w:abstractNum>
  <w:abstractNum w:abstractNumId="2">
    <w:nsid w:val="31A840E4"/>
    <w:multiLevelType w:val="hybridMultilevel"/>
    <w:lvl w:ilvl="0" w:tplc="A6D833B2">
      <w:start w:val="1"/>
      <w:numFmt w:val="bullet"/>
      <w:suff w:val="tab"/>
      <w:lvlText w:val="-"/>
      <w:lvlJc w:val="left"/>
      <w:pPr>
        <w:ind w:hanging="360" w:left="720"/>
      </w:pPr>
      <w:rPr>
        <w:rFonts w:ascii="Times New Roman" w:hAnsi="Times New Roman"/>
      </w:rPr>
    </w:lvl>
    <w:lvl w:ilvl="1" w:tplc="04220003">
      <w:start w:val="1"/>
      <w:numFmt w:val="bullet"/>
      <w:suff w:val="tab"/>
      <w:lvlText w:val="o"/>
      <w:lvlJc w:val="left"/>
      <w:pPr>
        <w:ind w:hanging="360" w:left="1440"/>
      </w:pPr>
      <w:rPr>
        <w:rFonts w:ascii="Courier New" w:hAnsi="Courier New"/>
      </w:rPr>
    </w:lvl>
    <w:lvl w:ilvl="2" w:tplc="04220005">
      <w:start w:val="1"/>
      <w:numFmt w:val="bullet"/>
      <w:suff w:val="tab"/>
      <w:lvlText w:val=""/>
      <w:lvlJc w:val="left"/>
      <w:pPr>
        <w:ind w:hanging="360" w:left="2160"/>
      </w:pPr>
      <w:rPr>
        <w:rFonts w:ascii="Wingdings" w:hAnsi="Wingdings"/>
      </w:rPr>
    </w:lvl>
    <w:lvl w:ilvl="3" w:tplc="04220001">
      <w:start w:val="1"/>
      <w:numFmt w:val="bullet"/>
      <w:suff w:val="tab"/>
      <w:lvlText w:val=""/>
      <w:lvlJc w:val="left"/>
      <w:pPr>
        <w:ind w:hanging="360" w:left="2880"/>
      </w:pPr>
      <w:rPr>
        <w:rFonts w:ascii="Symbol" w:hAnsi="Symbol"/>
      </w:rPr>
    </w:lvl>
    <w:lvl w:ilvl="4" w:tplc="04220003">
      <w:start w:val="1"/>
      <w:numFmt w:val="bullet"/>
      <w:suff w:val="tab"/>
      <w:lvlText w:val="o"/>
      <w:lvlJc w:val="left"/>
      <w:pPr>
        <w:ind w:hanging="360" w:left="3600"/>
      </w:pPr>
      <w:rPr>
        <w:rFonts w:ascii="Courier New" w:hAnsi="Courier New"/>
      </w:rPr>
    </w:lvl>
    <w:lvl w:ilvl="5" w:tplc="04220005">
      <w:start w:val="1"/>
      <w:numFmt w:val="bullet"/>
      <w:suff w:val="tab"/>
      <w:lvlText w:val=""/>
      <w:lvlJc w:val="left"/>
      <w:pPr>
        <w:ind w:hanging="360" w:left="4320"/>
      </w:pPr>
      <w:rPr>
        <w:rFonts w:ascii="Wingdings" w:hAnsi="Wingdings"/>
      </w:rPr>
    </w:lvl>
    <w:lvl w:ilvl="6" w:tplc="04220001">
      <w:start w:val="1"/>
      <w:numFmt w:val="bullet"/>
      <w:suff w:val="tab"/>
      <w:lvlText w:val=""/>
      <w:lvlJc w:val="left"/>
      <w:pPr>
        <w:ind w:hanging="360" w:left="5040"/>
      </w:pPr>
      <w:rPr>
        <w:rFonts w:ascii="Symbol" w:hAnsi="Symbol"/>
      </w:rPr>
    </w:lvl>
    <w:lvl w:ilvl="7" w:tplc="04220003">
      <w:start w:val="1"/>
      <w:numFmt w:val="bullet"/>
      <w:suff w:val="tab"/>
      <w:lvlText w:val="o"/>
      <w:lvlJc w:val="left"/>
      <w:pPr>
        <w:ind w:hanging="360" w:left="5760"/>
      </w:pPr>
      <w:rPr>
        <w:rFonts w:ascii="Courier New" w:hAnsi="Courier New"/>
      </w:rPr>
    </w:lvl>
    <w:lvl w:ilvl="8" w:tplc="04220005">
      <w:start w:val="1"/>
      <w:numFmt w:val="bullet"/>
      <w:suff w:val="tab"/>
      <w:lvlText w:val=""/>
      <w:lvlJc w:val="left"/>
      <w:pPr>
        <w:ind w:hanging="360" w:left="6480"/>
      </w:pPr>
      <w:rPr>
        <w:rFonts w:ascii="Wingdings" w:hAnsi="Wingdings"/>
      </w:rPr>
    </w:lvl>
  </w:abstractNum>
  <w:abstractNum w:abstractNumId="3">
    <w:nsid w:val="5B035A0E"/>
    <w:multiLevelType w:val="hybridMultilevel"/>
    <w:lvl w:ilvl="0" w:tplc="CC50C046">
      <w:start w:val="1"/>
      <w:numFmt w:val="bullet"/>
      <w:suff w:val="tab"/>
      <w:lvlText w:val="-"/>
      <w:lvlJc w:val="left"/>
      <w:pPr>
        <w:ind w:hanging="360" w:left="927"/>
      </w:pPr>
      <w:rPr>
        <w:rFonts w:ascii="Times New Roman" w:hAnsi="Times New Roman"/>
      </w:rPr>
    </w:lvl>
    <w:lvl w:ilvl="1" w:tplc="04190003">
      <w:start w:val="1"/>
      <w:numFmt w:val="bullet"/>
      <w:suff w:val="tab"/>
      <w:lvlText w:val="o"/>
      <w:lvlJc w:val="left"/>
      <w:pPr>
        <w:ind w:hanging="360" w:left="1647"/>
      </w:pPr>
      <w:rPr>
        <w:rFonts w:ascii="Courier New" w:hAnsi="Courier New"/>
      </w:rPr>
    </w:lvl>
    <w:lvl w:ilvl="2" w:tplc="04190005">
      <w:start w:val="1"/>
      <w:numFmt w:val="bullet"/>
      <w:suff w:val="tab"/>
      <w:lvlText w:val=""/>
      <w:lvlJc w:val="left"/>
      <w:pPr>
        <w:ind w:hanging="360" w:left="2367"/>
      </w:pPr>
      <w:rPr>
        <w:rFonts w:ascii="Wingdings" w:hAnsi="Wingdings"/>
      </w:rPr>
    </w:lvl>
    <w:lvl w:ilvl="3" w:tplc="04190001">
      <w:start w:val="1"/>
      <w:numFmt w:val="bullet"/>
      <w:suff w:val="tab"/>
      <w:lvlText w:val=""/>
      <w:lvlJc w:val="left"/>
      <w:pPr>
        <w:ind w:hanging="360" w:left="3087"/>
      </w:pPr>
      <w:rPr>
        <w:rFonts w:ascii="Symbol" w:hAnsi="Symbol"/>
      </w:rPr>
    </w:lvl>
    <w:lvl w:ilvl="4" w:tplc="04190003">
      <w:start w:val="1"/>
      <w:numFmt w:val="bullet"/>
      <w:suff w:val="tab"/>
      <w:lvlText w:val="o"/>
      <w:lvlJc w:val="left"/>
      <w:pPr>
        <w:ind w:hanging="360" w:left="3807"/>
      </w:pPr>
      <w:rPr>
        <w:rFonts w:ascii="Courier New" w:hAnsi="Courier New"/>
      </w:rPr>
    </w:lvl>
    <w:lvl w:ilvl="5" w:tplc="04190005">
      <w:start w:val="1"/>
      <w:numFmt w:val="bullet"/>
      <w:suff w:val="tab"/>
      <w:lvlText w:val=""/>
      <w:lvlJc w:val="left"/>
      <w:pPr>
        <w:ind w:hanging="360" w:left="4527"/>
      </w:pPr>
      <w:rPr>
        <w:rFonts w:ascii="Wingdings" w:hAnsi="Wingdings"/>
      </w:rPr>
    </w:lvl>
    <w:lvl w:ilvl="6" w:tplc="04190001">
      <w:start w:val="1"/>
      <w:numFmt w:val="bullet"/>
      <w:suff w:val="tab"/>
      <w:lvlText w:val=""/>
      <w:lvlJc w:val="left"/>
      <w:pPr>
        <w:ind w:hanging="360" w:left="5247"/>
      </w:pPr>
      <w:rPr>
        <w:rFonts w:ascii="Symbol" w:hAnsi="Symbol"/>
      </w:rPr>
    </w:lvl>
    <w:lvl w:ilvl="7" w:tplc="04190003">
      <w:start w:val="1"/>
      <w:numFmt w:val="bullet"/>
      <w:suff w:val="tab"/>
      <w:lvlText w:val="o"/>
      <w:lvlJc w:val="left"/>
      <w:pPr>
        <w:ind w:hanging="360" w:left="5967"/>
      </w:pPr>
      <w:rPr>
        <w:rFonts w:ascii="Courier New" w:hAnsi="Courier New"/>
      </w:rPr>
    </w:lvl>
    <w:lvl w:ilvl="8" w:tplc="04190005">
      <w:start w:val="1"/>
      <w:numFmt w:val="bullet"/>
      <w:suff w:val="tab"/>
      <w:lvlText w:val=""/>
      <w:lvlJc w:val="left"/>
      <w:pPr>
        <w:ind w:hanging="360" w:left="6687"/>
      </w:pPr>
      <w:rPr>
        <w:rFonts w:ascii="Wingdings" w:hAnsi="Wingdings"/>
      </w:rPr>
    </w:lvl>
  </w:abstractNum>
  <w:abstractNum w:abstractNumId="4">
    <w:nsid w:val="77682ABA"/>
    <w:multiLevelType w:val="hybridMultilevel"/>
    <w:lvl w:ilvl="0" w:tplc="80967ED2">
      <w:start w:val="1"/>
      <w:numFmt w:val="bullet"/>
      <w:suff w:val="tab"/>
      <w:lvlText w:val="-"/>
      <w:lvlJc w:val="left"/>
      <w:pPr>
        <w:ind w:hanging="360" w:left="927"/>
      </w:pPr>
      <w:rPr>
        <w:rFonts w:ascii="Times New Roman" w:hAnsi="Times New Roman"/>
      </w:rPr>
    </w:lvl>
    <w:lvl w:ilvl="1" w:tplc="04190003">
      <w:start w:val="1"/>
      <w:numFmt w:val="bullet"/>
      <w:suff w:val="tab"/>
      <w:lvlText w:val="o"/>
      <w:lvlJc w:val="left"/>
      <w:pPr>
        <w:ind w:hanging="360" w:left="1647"/>
      </w:pPr>
      <w:rPr>
        <w:rFonts w:ascii="Courier New" w:hAnsi="Courier New"/>
      </w:rPr>
    </w:lvl>
    <w:lvl w:ilvl="2" w:tplc="04190005">
      <w:start w:val="1"/>
      <w:numFmt w:val="bullet"/>
      <w:suff w:val="tab"/>
      <w:lvlText w:val=""/>
      <w:lvlJc w:val="left"/>
      <w:pPr>
        <w:ind w:hanging="360" w:left="2367"/>
      </w:pPr>
      <w:rPr>
        <w:rFonts w:ascii="Wingdings" w:hAnsi="Wingdings"/>
      </w:rPr>
    </w:lvl>
    <w:lvl w:ilvl="3" w:tplc="04190001">
      <w:start w:val="1"/>
      <w:numFmt w:val="bullet"/>
      <w:suff w:val="tab"/>
      <w:lvlText w:val=""/>
      <w:lvlJc w:val="left"/>
      <w:pPr>
        <w:ind w:hanging="360" w:left="3087"/>
      </w:pPr>
      <w:rPr>
        <w:rFonts w:ascii="Symbol" w:hAnsi="Symbol"/>
      </w:rPr>
    </w:lvl>
    <w:lvl w:ilvl="4" w:tplc="04190003">
      <w:start w:val="1"/>
      <w:numFmt w:val="bullet"/>
      <w:suff w:val="tab"/>
      <w:lvlText w:val="o"/>
      <w:lvlJc w:val="left"/>
      <w:pPr>
        <w:ind w:hanging="360" w:left="3807"/>
      </w:pPr>
      <w:rPr>
        <w:rFonts w:ascii="Courier New" w:hAnsi="Courier New"/>
      </w:rPr>
    </w:lvl>
    <w:lvl w:ilvl="5" w:tplc="04190005">
      <w:start w:val="1"/>
      <w:numFmt w:val="bullet"/>
      <w:suff w:val="tab"/>
      <w:lvlText w:val=""/>
      <w:lvlJc w:val="left"/>
      <w:pPr>
        <w:ind w:hanging="360" w:left="4527"/>
      </w:pPr>
      <w:rPr>
        <w:rFonts w:ascii="Wingdings" w:hAnsi="Wingdings"/>
      </w:rPr>
    </w:lvl>
    <w:lvl w:ilvl="6" w:tplc="04190001">
      <w:start w:val="1"/>
      <w:numFmt w:val="bullet"/>
      <w:suff w:val="tab"/>
      <w:lvlText w:val=""/>
      <w:lvlJc w:val="left"/>
      <w:pPr>
        <w:ind w:hanging="360" w:left="5247"/>
      </w:pPr>
      <w:rPr>
        <w:rFonts w:ascii="Symbol" w:hAnsi="Symbol"/>
      </w:rPr>
    </w:lvl>
    <w:lvl w:ilvl="7" w:tplc="04190003">
      <w:start w:val="1"/>
      <w:numFmt w:val="bullet"/>
      <w:suff w:val="tab"/>
      <w:lvlText w:val="o"/>
      <w:lvlJc w:val="left"/>
      <w:pPr>
        <w:ind w:hanging="360" w:left="5967"/>
      </w:pPr>
      <w:rPr>
        <w:rFonts w:ascii="Courier New" w:hAnsi="Courier New"/>
      </w:rPr>
    </w:lvl>
    <w:lvl w:ilvl="8" w:tplc="04190005">
      <w:start w:val="1"/>
      <w:numFmt w:val="bullet"/>
      <w:suff w:val="tab"/>
      <w:lvlText w:val=""/>
      <w:lvlJc w:val="left"/>
      <w:pPr>
        <w:ind w:hanging="360" w:left="6687"/>
      </w:pPr>
      <w:rPr>
        <w:rFonts w:ascii="Wingdings" w:hAnsi="Wingdings"/>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w="http://schemas.openxmlformats.org/wordprocessingml/2006/main">
  <w:displayBackgroundShape w:val="0"/>
  <w:documentProtection w:edit="readOnly" w:enforcement="1" w:cryptProviderType="rsaAES" w:cryptAlgorithmClass="hash" w:cryptAlgorithmType="typeAny" w:cryptAlgorithmSid="14" w:cryptSpinCount="100000" w:hash="Z/GoClw3W364a/ozZujFCT7lXEImCn88Daowjadh2SdvjJQCifEZ6CzwhEWMf/NDHiPzEenJT9JKm9aT7PkYlg==" w:salt="x6Z+4P5tP31d9c6wbtR0zQ=="/>
  <w:defaultTabStop w:val="708"/>
  <w:autoHyphenation w:val="0"/>
  <w:hyphenationZone w:val="425"/>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sz w:val="22"/>
        <w:szCs w:val="22"/>
        <w:lang w:val="uk-UA"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er"/>
    <w:basedOn w:val="P0"/>
    <w:link w:val="C3"/>
    <w:pPr>
      <w:tabs>
        <w:tab w:val="center" w:pos="4819" w:leader="none"/>
        <w:tab w:val="right" w:pos="9639" w:leader="none"/>
      </w:tabs>
      <w:spacing w:lineRule="auto" w:line="240" w:after="0" w:beforeAutospacing="0" w:afterAutospacing="0"/>
    </w:pPr>
    <w:rPr/>
  </w:style>
  <w:style w:type="paragraph" w:styleId="P2">
    <w:name w:val="footer"/>
    <w:basedOn w:val="P0"/>
    <w:link w:val="C4"/>
    <w:pPr>
      <w:tabs>
        <w:tab w:val="center" w:pos="4819" w:leader="none"/>
        <w:tab w:val="right" w:pos="9639" w:leader="none"/>
      </w:tabs>
      <w:spacing w:lineRule="auto" w:line="240" w:after="0" w:beforeAutospacing="0" w:afterAutospacing="0"/>
    </w:pPr>
    <w:rPr/>
  </w:style>
  <w:style w:type="paragraph" w:styleId="P3">
    <w:name w:val="List Paragraph"/>
    <w:basedOn w:val="P0"/>
    <w:qFormat/>
    <w:pPr>
      <w:ind w:left="720"/>
      <w:contextualSpacing w:val="1"/>
    </w:pPr>
    <w:rPr/>
  </w:style>
  <w:style w:type="paragraph" w:styleId="P4">
    <w:name w:val="rvps2"/>
    <w:basedOn w:val="P0"/>
    <w:pPr>
      <w:spacing w:lineRule="auto" w:line="240" w:before="100" w:after="100" w:beforeAutospacing="1" w:afterAutospacing="1"/>
    </w:pPr>
    <w:rPr>
      <w:rFonts w:ascii="Times New Roman" w:hAnsi="Times New Roman"/>
      <w:sz w:val="24"/>
      <w:szCs w:val="24"/>
      <w:lang w:eastAsia="uk-UA"/>
    </w:rPr>
  </w:style>
  <w:style w:type="paragraph" w:styleId="P5">
    <w:name w:val="No Spacing"/>
    <w:qFormat/>
    <w:pPr>
      <w:spacing w:lineRule="auto" w:line="240" w:after="0" w:beforeAutospacing="0" w:afterAutospacing="0"/>
    </w:pPr>
    <w:rPr>
      <w:rFonts w:ascii="Times New Roman" w:hAnsi="Times New Roman"/>
      <w:sz w:val="28"/>
      <w:szCs w:val="24"/>
      <w:lang w:eastAsia="ru-RU"/>
    </w:rPr>
  </w:style>
  <w:style w:type="paragraph" w:styleId="P6">
    <w:name w:val="footnote text"/>
    <w:link w:val="C6"/>
    <w:semiHidden/>
    <w:pPr>
      <w:spacing w:lineRule="auto" w:line="240" w:after="0"/>
    </w:pPr>
    <w:rPr>
      <w:sz w:val="20"/>
      <w:szCs w:val="20"/>
    </w:rPr>
  </w:style>
  <w:style w:type="paragraph" w:styleId="P7">
    <w:name w:val="endnote text"/>
    <w:link w:val="C8"/>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character" w:styleId="C3">
    <w:name w:val="Верхній колонтитул Знак"/>
    <w:basedOn w:val="C0"/>
    <w:link w:val="P1"/>
    <w:rPr/>
  </w:style>
  <w:style w:type="character" w:styleId="C4">
    <w:name w:val="Нижній колонтитул Знак"/>
    <w:basedOn w:val="C0"/>
    <w:link w:val="P2"/>
    <w:rPr/>
  </w:style>
  <w:style w:type="character" w:styleId="C5">
    <w:name w:val="footnote reference"/>
    <w:semiHidden/>
    <w:rPr>
      <w:vertAlign w:val="superscript"/>
    </w:rPr>
  </w:style>
  <w:style w:type="character" w:styleId="C6">
    <w:name w:val="Footnote Text Char"/>
    <w:link w:val="P6"/>
    <w:semiHidden/>
    <w:rPr>
      <w:sz w:val="20"/>
      <w:szCs w:val="20"/>
    </w:rPr>
  </w:style>
  <w:style w:type="character" w:styleId="C7">
    <w:name w:val="endnote reference"/>
    <w:semiHidden/>
    <w:rPr>
      <w:vertAlign w:val="superscript"/>
    </w:rPr>
  </w:style>
  <w:style w:type="character" w:styleId="C8">
    <w:name w:val="Endnote Text Char"/>
    <w:link w:val="P7"/>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http://www.nszu.gov.ua" TargetMode="External" /><Relationship Id="R3" Type="http://schemas.openxmlformats.org/officeDocument/2006/relationships/hyperlink" Target="https://www.youtube.com/watch?v=5_3PHr0XjSM" TargetMode="External" /><Relationship Id="R4" Type="http://schemas.openxmlformats.org/officeDocument/2006/relationships/hyperlink" Target="https://www.youtube.com/watch?v=x0B4IFCnAq4" TargetMode="External" /><Relationship Id="RelHdr1" Type="http://schemas.openxmlformats.org/officeDocument/2006/relationships/header" Target="header1.xml" /><Relationship Id="RelHdr2" Type="http://schemas.openxmlformats.org/officeDocument/2006/relationships/header" Target="head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1" Type="http://schemas.openxmlformats.org/officeDocument/2006/relationships/image" Target="/media/image1.png" /></Relationships>
</file>

<file path=word/_rels/header2.xml.rels>&#65279;<?xml version="1.0" encoding="utf-8"?><Relationships xmlns="http://schemas.openxmlformats.org/package/2006/relationships" />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44c84-e9e0-4fc1-a72a-a0505d724ef4}">
  <ds:schemaRefs>
    <ds:schemaRef ds:uri="http://schemas.microsoft.com/vsto/samples"/>
  </ds:schemaRefs>
</ds:datastoreItem>
</file>

<file path=docProps/app.xml><?xml version="1.0" encoding="utf-8"?>
<Properties xmlns="http://schemas.openxmlformats.org/officeDocument/2006/extended-properties">
  <Application>DevExpress Office File API/21.1.3.0</Application>
  <AppVersion>21.1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SEV Askod</dc:creator>
  <dcterms:created xsi:type="dcterms:W3CDTF">2023-03-10T06:42:00Z</dcterms:created>
  <cp:lastModifiedBy>pool-iis</cp:lastModifiedBy>
  <cp:lastPrinted>2023-02-08T12:46:00Z</cp:lastPrinted>
  <dcterms:modified xsi:type="dcterms:W3CDTF">2023-03-10T10:45:58Z</dcterms:modified>
  <cp:revision>40</cp:revision>
</cp:coreProperties>
</file>