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0" w:beforeAutospacing="0" w:afterAutospacing="0"/>
        <w:jc w:val="right"/>
        <w:rPr>
          <w:rFonts w:ascii="Times New Roman" w:hAnsi="Times New Roman"/>
          <w:lang w:val="uk-UA"/>
        </w:rPr>
      </w:pPr>
      <w:r>
        <w:rPr>
          <w:rFonts w:ascii="Times New Roman" w:hAnsi="Times New Roman"/>
          <w:lang w:val="uk-UA"/>
        </w:rPr>
        <w:t xml:space="preserve"> Додаток  </w:t>
      </w:r>
    </w:p>
    <w:p>
      <w:pPr>
        <w:spacing w:after="0" w:beforeAutospacing="0" w:afterAutospacing="0"/>
        <w:jc w:val="right"/>
        <w:rPr>
          <w:rFonts w:ascii="Times New Roman" w:hAnsi="Times New Roman"/>
          <w:lang w:val="uk-UA"/>
        </w:rPr>
      </w:pPr>
      <w:r>
        <w:rPr>
          <w:rFonts w:ascii="Times New Roman" w:hAnsi="Times New Roman"/>
          <w:lang w:val="uk-UA"/>
        </w:rPr>
        <w:t>до листа НСЗУ від __.___.2023</w:t>
      </w:r>
    </w:p>
    <w:p>
      <w:pPr>
        <w:spacing w:after="0" w:beforeAutospacing="0" w:afterAutospacing="0"/>
        <w:jc w:val="center"/>
        <w:rPr>
          <w:rFonts w:ascii="Times New Roman" w:hAnsi="Times New Roman"/>
          <w:b w:val="1"/>
          <w:sz w:val="28"/>
          <w:szCs w:val="28"/>
          <w:lang w:val="uk-UA"/>
        </w:rPr>
      </w:pPr>
    </w:p>
    <w:p>
      <w:pPr>
        <w:pStyle w:val="P1"/>
        <w:ind w:firstLine="567"/>
        <w:jc w:val="center"/>
        <w:rPr>
          <w:rFonts w:ascii="Times New Roman" w:hAnsi="Times New Roman"/>
          <w:b w:val="1"/>
          <w:sz w:val="28"/>
          <w:szCs w:val="28"/>
          <w:lang w:val="uk-UA"/>
        </w:rPr>
      </w:pPr>
      <w:r>
        <w:rPr>
          <w:rFonts w:ascii="Times New Roman" w:hAnsi="Times New Roman"/>
          <w:b w:val="1"/>
          <w:sz w:val="28"/>
          <w:szCs w:val="28"/>
          <w:lang w:val="uk-UA"/>
        </w:rPr>
        <w:t xml:space="preserve">Інформація щодо заповнення звіту про </w:t>
      </w:r>
      <w:r>
        <w:rPr>
          <w:rFonts w:ascii="Times New Roman" w:hAnsi="Times New Roman"/>
          <w:b w:val="1"/>
          <w:color w:val="203965" w:themeColor="accent1" w:themeShade="80"/>
          <w:sz w:val="28"/>
          <w:szCs w:val="28"/>
        </w:rPr>
        <w:t xml:space="preserve">про оплати та витрати на забезпечення медичного обслуговування за програмою медичних гарантій </w:t>
      </w:r>
      <w:r>
        <w:rPr>
          <w:rFonts w:ascii="Times New Roman" w:hAnsi="Times New Roman"/>
          <w:b w:val="1"/>
          <w:sz w:val="28"/>
          <w:szCs w:val="28"/>
          <w:lang w:val="uk-UA"/>
        </w:rPr>
        <w:t>(місячна)</w:t>
      </w:r>
    </w:p>
    <w:p>
      <w:pPr>
        <w:spacing w:after="0" w:beforeAutospacing="0" w:afterAutospacing="0"/>
        <w:ind w:firstLine="567"/>
        <w:rPr>
          <w:rFonts w:ascii="Times New Roman" w:hAnsi="Times New Roman"/>
          <w:b w:val="1"/>
          <w:sz w:val="28"/>
          <w:szCs w:val="28"/>
          <w:lang w:val="uk-UA"/>
        </w:rPr>
      </w:pPr>
    </w:p>
    <w:p>
      <w:pPr>
        <w:spacing w:after="0" w:beforeAutospacing="0" w:afterAutospacing="0"/>
        <w:ind w:left="927"/>
        <w:jc w:val="center"/>
        <w:rPr>
          <w:rFonts w:ascii="Times New Roman" w:hAnsi="Times New Roman"/>
          <w:b w:val="1"/>
          <w:sz w:val="28"/>
          <w:szCs w:val="28"/>
          <w:lang w:val="uk-UA"/>
        </w:rPr>
      </w:pPr>
      <w:r>
        <w:rPr>
          <w:rFonts w:ascii="Times New Roman" w:hAnsi="Times New Roman"/>
          <w:b w:val="1"/>
          <w:sz w:val="28"/>
          <w:szCs w:val="28"/>
          <w:lang w:val="uk-UA"/>
        </w:rPr>
        <w:t>I. Загальна частина</w:t>
      </w:r>
    </w:p>
    <w:p>
      <w:pPr>
        <w:spacing w:after="0" w:beforeAutospacing="0" w:afterAutospacing="0"/>
        <w:ind w:left="927"/>
        <w:jc w:val="center"/>
        <w:rPr>
          <w:rFonts w:ascii="Times New Roman" w:hAnsi="Times New Roman"/>
          <w:b w:val="1"/>
          <w:sz w:val="16"/>
          <w:szCs w:val="16"/>
          <w:lang w:val="uk-UA"/>
        </w:rPr>
      </w:pPr>
    </w:p>
    <w:p>
      <w:pPr>
        <w:spacing w:after="0" w:beforeAutospacing="0" w:afterAutospacing="0"/>
        <w:ind w:firstLine="567"/>
        <w:jc w:val="both"/>
        <w:rPr>
          <w:rFonts w:ascii="Times New Roman" w:hAnsi="Times New Roman"/>
          <w:sz w:val="28"/>
          <w:szCs w:val="28"/>
          <w:lang w:val="uk-UA"/>
        </w:rPr>
      </w:pPr>
      <w:r>
        <w:rPr>
          <w:rFonts w:ascii="Times New Roman" w:hAnsi="Times New Roman"/>
          <w:sz w:val="28"/>
          <w:szCs w:val="28"/>
          <w:lang w:val="uk-UA"/>
        </w:rPr>
        <w:t xml:space="preserve">Звіт про оплати та витрати </w:t>
      </w:r>
      <w:bookmarkStart w:id="0" w:name="_Hlk119063805"/>
      <w:r>
        <w:rPr>
          <w:rFonts w:ascii="Times New Roman" w:hAnsi="Times New Roman"/>
          <w:sz w:val="28"/>
          <w:szCs w:val="28"/>
          <w:lang w:val="uk-UA"/>
        </w:rPr>
        <w:t>на забезпечення медичного обслуговування за програмою медичних гарантій</w:t>
      </w:r>
      <w:r>
        <w:rPr>
          <w:lang w:val="uk-UA"/>
        </w:rPr>
        <w:t xml:space="preserve"> </w:t>
      </w:r>
      <w:r>
        <w:rPr>
          <w:rFonts w:ascii="Times New Roman" w:hAnsi="Times New Roman"/>
          <w:sz w:val="28"/>
          <w:szCs w:val="28"/>
          <w:lang w:val="uk-UA"/>
        </w:rPr>
        <w:t xml:space="preserve">подається для забезпечення реалізації проєкту Світового банку «Підтримка державних видатків для забезпечення стійкого державного управління в Україні». </w:t>
      </w:r>
      <w:bookmarkEnd w:id="0"/>
    </w:p>
    <w:p>
      <w:pPr>
        <w:spacing w:after="0" w:beforeAutospacing="0" w:afterAutospacing="0"/>
        <w:ind w:firstLine="567"/>
        <w:jc w:val="both"/>
        <w:rPr>
          <w:rFonts w:ascii="Times New Roman" w:hAnsi="Times New Roman"/>
          <w:sz w:val="28"/>
          <w:szCs w:val="28"/>
          <w:lang w:val="uk-UA"/>
        </w:rPr>
      </w:pPr>
      <w:r>
        <w:rPr>
          <w:rFonts w:ascii="Times New Roman" w:hAnsi="Times New Roman"/>
          <w:sz w:val="28"/>
          <w:szCs w:val="28"/>
          <w:lang w:val="uk-UA"/>
        </w:rPr>
        <w:t xml:space="preserve">Ця інструкція встановлює єдині правила складання звіту про </w:t>
      </w:r>
      <w:r>
        <w:rPr>
          <w:rFonts w:ascii="Times New Roman" w:hAnsi="Times New Roman"/>
          <w:sz w:val="28"/>
          <w:szCs w:val="28"/>
        </w:rPr>
        <w:t xml:space="preserve">про оплати та витрати на забезпечення медичного обслуговування за програмою медичних гарантій </w:t>
      </w:r>
      <w:r>
        <w:rPr>
          <w:rFonts w:ascii="Times New Roman" w:hAnsi="Times New Roman"/>
          <w:sz w:val="28"/>
          <w:szCs w:val="28"/>
          <w:lang w:val="uk-UA"/>
        </w:rPr>
        <w:t>(далі – звіт).</w:t>
      </w:r>
    </w:p>
    <w:p>
      <w:pPr>
        <w:spacing w:after="0" w:beforeAutospacing="0" w:afterAutospacing="0"/>
        <w:ind w:firstLine="567"/>
        <w:jc w:val="both"/>
        <w:rPr>
          <w:rFonts w:ascii="Times New Roman" w:hAnsi="Times New Roman"/>
          <w:sz w:val="28"/>
          <w:szCs w:val="28"/>
          <w:lang w:val="uk-UA"/>
        </w:rPr>
      </w:pPr>
      <w:r>
        <w:rPr>
          <w:rFonts w:ascii="Times New Roman" w:hAnsi="Times New Roman"/>
          <w:sz w:val="28"/>
          <w:szCs w:val="28"/>
          <w:lang w:val="uk-UA"/>
        </w:rPr>
        <w:t>Звіт заповнюється згідно даних регламентованого бухгалтерського обліку, результатів господарських операцій, проведень, оборотно-сальдової відомості після закриття періоду. Дані у всіх таблицях звіту заповнюються в гривнях з двома знаками після коми.</w:t>
      </w:r>
    </w:p>
    <w:p>
      <w:pPr>
        <w:spacing w:after="120" w:beforeAutospacing="0" w:afterAutospacing="0"/>
        <w:ind w:firstLine="567"/>
        <w:jc w:val="both"/>
        <w:rPr>
          <w:rFonts w:ascii="Times New Roman" w:hAnsi="Times New Roman"/>
          <w:color w:val="FF0000"/>
          <w:sz w:val="28"/>
          <w:szCs w:val="28"/>
          <w:lang w:val="uk-UA"/>
        </w:rPr>
      </w:pPr>
      <w:r>
        <w:rPr>
          <w:rFonts w:ascii="Times New Roman" w:hAnsi="Times New Roman"/>
          <w:sz w:val="28"/>
          <w:szCs w:val="28"/>
          <w:lang w:val="uk-UA"/>
        </w:rPr>
        <w:t>Форму для складання звіту реалізовано у таблиці EXCEL, вона містить відкриті комірки для внесення даних обліку.</w:t>
      </w:r>
      <w:r>
        <w:rPr>
          <w:rFonts w:ascii="Times New Roman" w:hAnsi="Times New Roman"/>
          <w:color w:val="FF0000"/>
          <w:sz w:val="28"/>
          <w:szCs w:val="28"/>
          <w:lang w:val="uk-UA"/>
        </w:rPr>
        <w:t xml:space="preserve"> </w:t>
      </w:r>
    </w:p>
    <w:p>
      <w:pPr>
        <w:pStyle w:val="P1"/>
        <w:spacing w:after="120" w:beforeAutospacing="0" w:afterAutospacing="0"/>
        <w:ind w:firstLine="567"/>
        <w:jc w:val="center"/>
        <w:rPr>
          <w:rFonts w:ascii="Times New Roman" w:hAnsi="Times New Roman"/>
          <w:b w:val="1"/>
          <w:color w:val="auto"/>
          <w:sz w:val="28"/>
          <w:szCs w:val="28"/>
          <w:lang w:val="uk-UA"/>
        </w:rPr>
      </w:pPr>
      <w:r>
        <w:rPr>
          <w:rFonts w:ascii="Times New Roman" w:hAnsi="Times New Roman"/>
          <w:b w:val="1"/>
          <w:color w:val="auto"/>
          <w:sz w:val="28"/>
          <w:szCs w:val="28"/>
          <w:lang w:val="uk-UA"/>
        </w:rPr>
        <w:t>Структура звіту</w:t>
      </w:r>
    </w:p>
    <w:p>
      <w:pPr>
        <w:spacing w:after="0" w:beforeAutospacing="0" w:afterAutospacing="0"/>
        <w:ind w:firstLine="567"/>
        <w:jc w:val="both"/>
        <w:rPr>
          <w:rFonts w:ascii="Times New Roman" w:hAnsi="Times New Roman"/>
          <w:sz w:val="28"/>
          <w:szCs w:val="28"/>
          <w:lang w:val="uk-UA"/>
        </w:rPr>
      </w:pPr>
      <w:r>
        <w:rPr>
          <w:rFonts w:ascii="Times New Roman" w:hAnsi="Times New Roman"/>
          <w:sz w:val="28"/>
          <w:szCs w:val="28"/>
          <w:lang w:val="uk-UA"/>
        </w:rPr>
        <w:t xml:space="preserve">Звіт містить 1 вкладку. </w:t>
      </w:r>
    </w:p>
    <w:p>
      <w:pPr>
        <w:spacing w:lineRule="auto" w:line="240" w:after="0" w:beforeAutospacing="0" w:afterAutospacing="0"/>
        <w:ind w:firstLine="567"/>
        <w:jc w:val="both"/>
        <w:rPr>
          <w:rFonts w:ascii="Times New Roman" w:hAnsi="Times New Roman"/>
          <w:sz w:val="28"/>
          <w:szCs w:val="28"/>
          <w:lang w:val="uk-UA"/>
        </w:rPr>
      </w:pPr>
      <w:r>
        <w:rPr>
          <w:rFonts w:ascii="Times New Roman" w:hAnsi="Times New Roman"/>
          <w:sz w:val="28"/>
          <w:szCs w:val="28"/>
          <w:lang w:val="uk-UA"/>
        </w:rPr>
        <w:t>Звіт містить дані за звітний період.</w:t>
      </w:r>
    </w:p>
    <w:p>
      <w:pPr>
        <w:spacing w:lineRule="auto" w:line="240" w:after="0" w:beforeAutospacing="0" w:afterAutospacing="0"/>
        <w:ind w:firstLine="567"/>
        <w:jc w:val="both"/>
        <w:rPr>
          <w:rFonts w:ascii="Times New Roman" w:hAnsi="Times New Roman"/>
          <w:sz w:val="28"/>
          <w:szCs w:val="28"/>
          <w:lang w:val="uk-UA"/>
        </w:rPr>
      </w:pPr>
      <w:r>
        <w:rPr>
          <w:rFonts w:ascii="Times New Roman" w:hAnsi="Times New Roman"/>
          <w:sz w:val="28"/>
          <w:szCs w:val="28"/>
          <w:lang w:val="uk-UA"/>
        </w:rPr>
        <w:t xml:space="preserve">Звіт заповнюється закладами охорони здоров’я, які мають організаційно-правову форму «комунальне підприємство», та працюють як комунальне некомерційне підприємство (далі – КНП). </w:t>
      </w:r>
    </w:p>
    <w:p>
      <w:pPr>
        <w:ind w:firstLine="567"/>
        <w:jc w:val="both"/>
        <w:rPr>
          <w:rFonts w:ascii="Times New Roman" w:hAnsi="Times New Roman"/>
          <w:sz w:val="28"/>
          <w:szCs w:val="28"/>
          <w:lang w:val="uk-UA"/>
        </w:rPr>
      </w:pPr>
      <w:r>
        <w:rPr>
          <w:rFonts w:ascii="Times New Roman" w:hAnsi="Times New Roman"/>
          <w:sz w:val="28"/>
          <w:szCs w:val="28"/>
          <w:lang w:val="uk-UA"/>
        </w:rPr>
        <w:t>Кожний заклад отримує персональний ексель-файл для заповнення.</w:t>
      </w:r>
    </w:p>
    <w:p>
      <w:pPr>
        <w:ind w:firstLine="567"/>
        <w:jc w:val="both"/>
        <w:rPr>
          <w:rFonts w:ascii="Times New Roman" w:hAnsi="Times New Roman"/>
          <w:b w:val="1"/>
          <w:sz w:val="28"/>
          <w:szCs w:val="28"/>
          <w:lang w:val="uk-UA"/>
        </w:rPr>
      </w:pPr>
      <w:r>
        <w:rPr>
          <w:rFonts w:ascii="Times New Roman" w:hAnsi="Times New Roman"/>
          <w:b w:val="1"/>
          <w:sz w:val="28"/>
          <w:szCs w:val="28"/>
          <w:lang w:val="uk-UA"/>
        </w:rPr>
        <w:t>НАЗВУ ФАЙЛУ ЗМІНЮВАТИ НЕ МОЖНА</w:t>
      </w:r>
    </w:p>
    <w:p>
      <w:pPr>
        <w:pStyle w:val="P2"/>
        <w:tabs>
          <w:tab w:val="left" w:pos="709" w:leader="none"/>
        </w:tabs>
        <w:ind w:firstLine="567" w:left="567"/>
        <w:jc w:val="center"/>
        <w:rPr>
          <w:rFonts w:ascii="Times New Roman" w:hAnsi="Times New Roman"/>
          <w:b w:val="1"/>
          <w:sz w:val="28"/>
          <w:szCs w:val="28"/>
          <w:lang w:val="uk-UA"/>
        </w:rPr>
      </w:pPr>
      <w:r>
        <w:rPr>
          <w:rFonts w:ascii="Times New Roman" w:hAnsi="Times New Roman"/>
          <w:b w:val="1"/>
          <w:sz w:val="28"/>
          <w:szCs w:val="28"/>
          <w:lang w:val="uk-UA"/>
        </w:rPr>
        <w:t>ІІ. Правила складання звіту</w:t>
      </w:r>
    </w:p>
    <w:p>
      <w:pPr>
        <w:spacing w:after="0" w:beforeAutospacing="0" w:afterAutospacing="0"/>
        <w:ind w:firstLine="567"/>
        <w:jc w:val="both"/>
        <w:rPr>
          <w:rFonts w:ascii="Times New Roman" w:hAnsi="Times New Roman"/>
          <w:sz w:val="28"/>
          <w:szCs w:val="28"/>
          <w:lang w:val="uk-UA"/>
        </w:rPr>
      </w:pPr>
      <w:r>
        <w:rPr>
          <w:rFonts w:ascii="Times New Roman" w:hAnsi="Times New Roman"/>
          <w:sz w:val="28"/>
          <w:szCs w:val="28"/>
          <w:lang w:val="uk-UA"/>
        </w:rPr>
        <w:t xml:space="preserve">Інформація надається в розрізі місяців за поточний рік, без наростаючого підсумку. </w:t>
      </w:r>
    </w:p>
    <w:p>
      <w:pPr>
        <w:spacing w:after="0" w:beforeAutospacing="0" w:afterAutospacing="0"/>
        <w:ind w:firstLine="567"/>
        <w:jc w:val="both"/>
        <w:rPr>
          <w:rFonts w:ascii="Times New Roman" w:hAnsi="Times New Roman"/>
          <w:sz w:val="28"/>
          <w:szCs w:val="28"/>
          <w:lang w:val="uk-UA"/>
        </w:rPr>
      </w:pPr>
      <w:r>
        <w:rPr>
          <w:rFonts w:ascii="Times New Roman" w:hAnsi="Times New Roman"/>
          <w:sz w:val="28"/>
          <w:szCs w:val="28"/>
          <w:lang w:val="uk-UA"/>
        </w:rPr>
        <w:t xml:space="preserve">Звіт подається до 15 числа місяця, наступного за звітним. </w:t>
      </w:r>
    </w:p>
    <w:p>
      <w:pPr>
        <w:spacing w:after="0" w:beforeAutospacing="0" w:afterAutospacing="0"/>
        <w:ind w:firstLine="567"/>
        <w:jc w:val="both"/>
        <w:rPr>
          <w:rFonts w:ascii="Times New Roman" w:hAnsi="Times New Roman"/>
          <w:b w:val="1"/>
          <w:sz w:val="28"/>
          <w:szCs w:val="28"/>
          <w:lang w:val="uk-UA"/>
        </w:rPr>
      </w:pPr>
      <w:r>
        <w:rPr>
          <w:rFonts w:ascii="Times New Roman" w:hAnsi="Times New Roman"/>
          <w:b w:val="1"/>
          <w:sz w:val="28"/>
          <w:szCs w:val="28"/>
          <w:lang w:val="uk-UA"/>
        </w:rPr>
        <w:t>Розділовим знаком</w:t>
      </w:r>
      <w:r>
        <w:rPr>
          <w:rFonts w:ascii="Times New Roman" w:hAnsi="Times New Roman"/>
          <w:sz w:val="28"/>
          <w:szCs w:val="28"/>
          <w:lang w:val="uk-UA"/>
        </w:rPr>
        <w:t xml:space="preserve"> при внесенні числових даних </w:t>
      </w:r>
      <w:r>
        <w:rPr>
          <w:rFonts w:ascii="Times New Roman" w:hAnsi="Times New Roman"/>
          <w:b w:val="1"/>
          <w:sz w:val="28"/>
          <w:szCs w:val="28"/>
          <w:lang w:val="uk-UA"/>
        </w:rPr>
        <w:t>є кома.</w:t>
      </w:r>
    </w:p>
    <w:p>
      <w:pPr>
        <w:spacing w:after="0" w:beforeAutospacing="0" w:afterAutospacing="0"/>
        <w:ind w:firstLine="567"/>
        <w:jc w:val="both"/>
        <w:rPr>
          <w:rFonts w:ascii="Times New Roman" w:hAnsi="Times New Roman"/>
          <w:b w:val="1"/>
          <w:sz w:val="28"/>
          <w:szCs w:val="28"/>
          <w:lang w:val="uk-UA"/>
        </w:rPr>
      </w:pPr>
      <w:r>
        <w:rPr>
          <w:rFonts w:ascii="Times New Roman" w:hAnsi="Times New Roman"/>
          <w:b w:val="1"/>
          <w:sz w:val="28"/>
          <w:szCs w:val="28"/>
          <w:lang w:val="uk-UA"/>
        </w:rPr>
        <w:t>Пусті клітинки не допускаються – якщо значення показника дорівнює нулю, тоді проставляється 0.</w:t>
      </w:r>
    </w:p>
    <w:p>
      <w:pPr>
        <w:spacing w:after="0" w:beforeAutospacing="0" w:afterAutospacing="0"/>
        <w:ind w:firstLine="567"/>
        <w:jc w:val="both"/>
        <w:rPr>
          <w:rFonts w:ascii="Times New Roman" w:hAnsi="Times New Roman"/>
          <w:sz w:val="28"/>
          <w:szCs w:val="28"/>
          <w:lang w:val="uk-UA"/>
        </w:rPr>
      </w:pPr>
      <w:r>
        <w:rPr>
          <w:rFonts w:ascii="Times New Roman" w:hAnsi="Times New Roman"/>
          <w:sz w:val="28"/>
          <w:szCs w:val="28"/>
          <w:lang w:val="uk-UA"/>
        </w:rPr>
        <w:t>Заповнення звіту по стовпцях:</w:t>
      </w:r>
    </w:p>
    <w:p>
      <w:pPr>
        <w:pStyle w:val="P2"/>
        <w:numPr>
          <w:ilvl w:val="0"/>
          <w:numId w:val="1"/>
        </w:numPr>
        <w:spacing w:after="0" w:beforeAutospacing="0" w:afterAutospacing="0"/>
        <w:jc w:val="both"/>
        <w:rPr>
          <w:rFonts w:ascii="Times New Roman" w:hAnsi="Times New Roman"/>
          <w:sz w:val="28"/>
          <w:szCs w:val="28"/>
          <w:lang w:val="uk-UA"/>
        </w:rPr>
      </w:pPr>
      <w:r>
        <w:rPr>
          <w:rFonts w:ascii="Times New Roman" w:hAnsi="Times New Roman"/>
          <w:b w:val="1"/>
          <w:sz w:val="28"/>
          <w:szCs w:val="28"/>
          <w:lang w:val="uk-UA"/>
        </w:rPr>
        <w:t>Назва місяця</w:t>
      </w:r>
      <w:r>
        <w:rPr>
          <w:rFonts w:ascii="Times New Roman" w:hAnsi="Times New Roman"/>
          <w:sz w:val="28"/>
          <w:szCs w:val="28"/>
          <w:lang w:val="uk-UA"/>
        </w:rPr>
        <w:t xml:space="preserve"> – Вказаний місяць, за який вносяться дані у відповідному рядку.</w:t>
      </w:r>
    </w:p>
    <w:p>
      <w:pPr>
        <w:pStyle w:val="P2"/>
        <w:numPr>
          <w:ilvl w:val="0"/>
          <w:numId w:val="1"/>
        </w:numPr>
        <w:spacing w:after="0" w:beforeAutospacing="0" w:afterAutospacing="0"/>
        <w:jc w:val="both"/>
        <w:rPr>
          <w:rFonts w:ascii="Times New Roman" w:hAnsi="Times New Roman"/>
          <w:sz w:val="28"/>
          <w:szCs w:val="28"/>
          <w:lang w:val="uk-UA"/>
        </w:rPr>
      </w:pPr>
      <w:r>
        <w:rPr>
          <w:rFonts w:ascii="Times New Roman" w:hAnsi="Times New Roman"/>
          <w:b w:val="1"/>
          <w:sz w:val="28"/>
          <w:szCs w:val="28"/>
          <w:lang w:val="uk-UA"/>
        </w:rPr>
        <w:t>Назва закладу</w:t>
      </w:r>
      <w:r>
        <w:rPr>
          <w:rFonts w:ascii="Times New Roman" w:hAnsi="Times New Roman"/>
          <w:sz w:val="28"/>
          <w:szCs w:val="28"/>
          <w:lang w:val="uk-UA"/>
        </w:rPr>
        <w:t xml:space="preserve"> – Назва закладу КНП згідно реєстраційних документів.</w:t>
      </w:r>
    </w:p>
    <w:p>
      <w:pPr>
        <w:pStyle w:val="P2"/>
        <w:numPr>
          <w:ilvl w:val="0"/>
          <w:numId w:val="1"/>
        </w:numPr>
        <w:spacing w:after="0" w:beforeAutospacing="0" w:afterAutospacing="0"/>
        <w:jc w:val="both"/>
        <w:rPr>
          <w:rFonts w:ascii="Times New Roman" w:hAnsi="Times New Roman"/>
          <w:sz w:val="28"/>
          <w:szCs w:val="28"/>
          <w:lang w:val="uk-UA"/>
        </w:rPr>
      </w:pPr>
      <w:r>
        <w:rPr>
          <w:rFonts w:ascii="Times New Roman" w:hAnsi="Times New Roman"/>
          <w:b w:val="1"/>
          <w:sz w:val="28"/>
          <w:szCs w:val="28"/>
          <w:lang w:val="uk-UA"/>
        </w:rPr>
        <w:t>ЄДРПОУ</w:t>
      </w:r>
      <w:r>
        <w:rPr>
          <w:rFonts w:ascii="Times New Roman" w:hAnsi="Times New Roman"/>
          <w:sz w:val="28"/>
          <w:szCs w:val="28"/>
          <w:lang w:val="uk-UA"/>
        </w:rPr>
        <w:t xml:space="preserve"> – ЄДРПОУ КНП згідно реєстраційних документів.</w:t>
      </w:r>
    </w:p>
    <w:p>
      <w:pPr>
        <w:pStyle w:val="P2"/>
        <w:numPr>
          <w:ilvl w:val="0"/>
          <w:numId w:val="1"/>
        </w:numPr>
        <w:spacing w:lineRule="auto" w:line="240" w:after="0" w:beforeAutospacing="0" w:afterAutospacing="0"/>
        <w:jc w:val="both"/>
        <w:rPr>
          <w:rFonts w:ascii="Times New Roman" w:hAnsi="Times New Roman"/>
          <w:sz w:val="28"/>
          <w:szCs w:val="28"/>
          <w:lang w:val="uk-UA"/>
        </w:rPr>
      </w:pPr>
      <w:r>
        <w:rPr>
          <w:rFonts w:ascii="Times New Roman" w:hAnsi="Times New Roman"/>
          <w:b w:val="1"/>
          <w:color w:val="000000"/>
          <w:sz w:val="28"/>
          <w:szCs w:val="28"/>
          <w:lang w:val="uk-UA" w:eastAsia="uk-UA"/>
        </w:rPr>
        <w:t>Залишок коштів на</w:t>
      </w:r>
      <w:r>
        <w:rPr>
          <w:rFonts w:ascii="Times New Roman" w:hAnsi="Times New Roman"/>
          <w:b w:val="1"/>
          <w:sz w:val="28"/>
          <w:szCs w:val="28"/>
          <w:lang w:val="uk-UA" w:eastAsia="uk-UA"/>
        </w:rPr>
        <w:t xml:space="preserve"> розрахункових </w:t>
      </w:r>
      <w:r>
        <w:rPr>
          <w:rFonts w:ascii="Times New Roman" w:hAnsi="Times New Roman"/>
          <w:b w:val="1"/>
          <w:color w:val="000000"/>
          <w:sz w:val="28"/>
          <w:szCs w:val="28"/>
          <w:lang w:val="uk-UA" w:eastAsia="uk-UA"/>
        </w:rPr>
        <w:t>рахунках станом</w:t>
      </w:r>
      <w:r>
        <w:rPr>
          <w:rFonts w:ascii="Times New Roman" w:hAnsi="Times New Roman"/>
          <w:b w:val="1"/>
          <w:sz w:val="28"/>
          <w:szCs w:val="28"/>
          <w:lang w:val="uk-UA" w:eastAsia="uk-UA"/>
        </w:rPr>
        <w:t xml:space="preserve"> на 1 число</w:t>
      </w:r>
      <w:r>
        <w:rPr>
          <w:rFonts w:ascii="Times New Roman" w:hAnsi="Times New Roman"/>
          <w:b w:val="1"/>
          <w:color w:val="000000"/>
          <w:sz w:val="28"/>
          <w:szCs w:val="28"/>
          <w:lang w:val="uk-UA" w:eastAsia="uk-UA"/>
        </w:rPr>
        <w:t xml:space="preserve"> звітного місяця</w:t>
      </w:r>
      <w:r>
        <w:rPr>
          <w:rFonts w:ascii="Times New Roman" w:hAnsi="Times New Roman"/>
          <w:color w:val="000000"/>
          <w:sz w:val="28"/>
          <w:szCs w:val="28"/>
          <w:lang w:val="uk-UA" w:eastAsia="uk-UA"/>
        </w:rPr>
        <w:t xml:space="preserve"> (без врахування цільових коштів), грн – вказуються залишки коштів (Дт 31 рахунку бухгалтерського обліку) на 1 число звітного місяця</w:t>
      </w:r>
      <w:r>
        <w:rPr>
          <w:rFonts w:ascii="Times New Roman" w:hAnsi="Times New Roman"/>
          <w:color w:val="2F5496" w:themeColor="accent1" w:themeShade="BF"/>
          <w:sz w:val="28"/>
          <w:szCs w:val="28"/>
          <w:lang w:val="uk-UA" w:eastAsia="uk-UA"/>
        </w:rPr>
        <w:t xml:space="preserve">, </w:t>
      </w:r>
      <w:r>
        <w:rPr>
          <w:rFonts w:ascii="Times New Roman" w:hAnsi="Times New Roman"/>
          <w:b w:val="1"/>
          <w:color w:val="2F5496" w:themeColor="accent1" w:themeShade="BF"/>
          <w:sz w:val="28"/>
          <w:szCs w:val="28"/>
          <w:lang w:val="uk-UA" w:eastAsia="uk-UA"/>
        </w:rPr>
        <w:t>що утворились в результаті господарських операцій виключно по Програмі медичних гарантій (Далі – ПМГ) та платних послуг, які надаються відповідно до Постанови КМУ № 1138</w:t>
      </w:r>
      <w:r>
        <w:rPr>
          <w:rFonts w:ascii="Times New Roman" w:hAnsi="Times New Roman"/>
          <w:color w:val="2F5496" w:themeColor="accent1" w:themeShade="BF"/>
          <w:sz w:val="28"/>
          <w:szCs w:val="28"/>
          <w:lang w:val="uk-UA" w:eastAsia="uk-UA"/>
        </w:rPr>
        <w:t xml:space="preserve"> </w:t>
      </w:r>
      <w:r>
        <w:rPr>
          <w:rFonts w:ascii="Times New Roman" w:hAnsi="Times New Roman"/>
          <w:color w:val="000000"/>
          <w:sz w:val="28"/>
          <w:szCs w:val="28"/>
          <w:lang w:val="uk-UA" w:eastAsia="uk-UA"/>
        </w:rPr>
        <w:t>від 17.09.1996р. зі змінами «</w:t>
      </w:r>
      <w:r>
        <w:rPr>
          <w:rFonts w:ascii="Times New Roman" w:hAnsi="Times New Roman"/>
          <w:bCs w:val="1"/>
          <w:color w:val="333333"/>
          <w:sz w:val="28"/>
          <w:szCs w:val="28"/>
          <w:shd w:val="clear" w:color="auto" w:fill="FFFFFF"/>
          <w:lang w:val="uk-UA"/>
        </w:rPr>
        <w:t>Про затвердження переліку платних послуг, які надаються в державних і комунальних закладах охорони здоров’я та вищих медичних навчальних закладах» (далі – Постанова), без врахування коштів, що надійшли як цільове фінансування (бюджетні асигнування, кошти цільових фондів, благодійні внески і т.д.)</w:t>
      </w:r>
      <w:r>
        <w:rPr>
          <w:rFonts w:ascii="Times New Roman" w:hAnsi="Times New Roman"/>
          <w:color w:val="000000"/>
          <w:sz w:val="28"/>
          <w:szCs w:val="28"/>
          <w:lang w:val="uk-UA" w:eastAsia="uk-UA"/>
        </w:rPr>
        <w:t xml:space="preserve"> </w:t>
      </w:r>
    </w:p>
    <w:p>
      <w:pPr>
        <w:pStyle w:val="P2"/>
        <w:numPr>
          <w:ilvl w:val="0"/>
          <w:numId w:val="1"/>
        </w:numPr>
        <w:spacing w:after="0" w:beforeAutospacing="0" w:afterAutospacing="0"/>
        <w:jc w:val="both"/>
        <w:rPr>
          <w:rFonts w:ascii="Times New Roman" w:hAnsi="Times New Roman"/>
          <w:sz w:val="28"/>
          <w:szCs w:val="28"/>
          <w:lang w:val="uk-UA"/>
        </w:rPr>
      </w:pPr>
      <w:r>
        <w:rPr>
          <w:rFonts w:ascii="Times New Roman" w:hAnsi="Times New Roman"/>
          <w:b w:val="1"/>
          <w:sz w:val="28"/>
          <w:szCs w:val="28"/>
          <w:lang w:val="uk-UA"/>
        </w:rPr>
        <w:t xml:space="preserve">Витрати на оплату праці </w:t>
      </w:r>
      <w:r>
        <w:rPr>
          <w:rFonts w:ascii="Times New Roman" w:hAnsi="Times New Roman"/>
          <w:b w:val="1"/>
          <w:sz w:val="32"/>
          <w:szCs w:val="28"/>
          <w:lang w:val="uk-UA"/>
        </w:rPr>
        <w:t xml:space="preserve">ВИКЛЮЧНО </w:t>
      </w:r>
      <w:r>
        <w:rPr>
          <w:rFonts w:ascii="Times New Roman" w:hAnsi="Times New Roman"/>
          <w:b w:val="1"/>
          <w:sz w:val="28"/>
          <w:szCs w:val="28"/>
          <w:lang w:val="uk-UA"/>
        </w:rPr>
        <w:t xml:space="preserve"> за рахунок програми медичних гарантій</w:t>
      </w:r>
      <w:r>
        <w:rPr>
          <w:rFonts w:ascii="Times New Roman" w:hAnsi="Times New Roman"/>
          <w:sz w:val="28"/>
          <w:szCs w:val="28"/>
          <w:lang w:val="uk-UA"/>
        </w:rPr>
        <w:t xml:space="preserve"> (нарахована заробітна плата за рахунок програми медичних гарантій) за звітний місяць без нарахувань, без врахування працівників, які призвані на військову службу (мобілізовані) або проходять службу у складі Сил територіальної оборони Збройних сил України, та без врахування виплат за договорами цивільно-правового характеру, всього, грн** - відображається </w:t>
      </w:r>
      <w:r>
        <w:rPr>
          <w:rFonts w:ascii="Times New Roman" w:hAnsi="Times New Roman"/>
          <w:b w:val="1"/>
          <w:color w:val="2F5496" w:themeColor="accent1" w:themeShade="BF"/>
          <w:sz w:val="28"/>
          <w:szCs w:val="28"/>
          <w:lang w:val="uk-UA"/>
        </w:rPr>
        <w:t>заробітна плата, яка була нарахована працівникам КНП в межах ПМГ</w:t>
      </w:r>
      <w:r>
        <w:rPr>
          <w:rFonts w:ascii="Times New Roman" w:hAnsi="Times New Roman"/>
          <w:color w:val="2F5496" w:themeColor="accent1" w:themeShade="BF"/>
          <w:sz w:val="28"/>
          <w:szCs w:val="28"/>
          <w:lang w:val="uk-UA"/>
        </w:rPr>
        <w:t xml:space="preserve"> </w:t>
      </w:r>
      <w:r>
        <w:rPr>
          <w:rFonts w:ascii="Times New Roman" w:hAnsi="Times New Roman"/>
          <w:b w:val="1"/>
          <w:color w:val="2F5496" w:themeColor="accent1" w:themeShade="BF"/>
          <w:sz w:val="28"/>
          <w:szCs w:val="28"/>
          <w:lang w:val="uk-UA"/>
        </w:rPr>
        <w:t>(нарахована заробітна плата</w:t>
      </w:r>
      <w:r>
        <w:rPr>
          <w:rFonts w:ascii="Times New Roman" w:hAnsi="Times New Roman"/>
          <w:color w:val="2F5496" w:themeColor="accent1" w:themeShade="BF"/>
          <w:sz w:val="28"/>
          <w:szCs w:val="28"/>
          <w:lang w:val="uk-UA"/>
        </w:rPr>
        <w:t xml:space="preserve"> </w:t>
      </w:r>
      <w:r>
        <w:rPr>
          <w:rFonts w:ascii="Times New Roman" w:hAnsi="Times New Roman"/>
          <w:b w:val="1"/>
          <w:color w:val="2F5496" w:themeColor="accent1" w:themeShade="BF"/>
          <w:sz w:val="28"/>
          <w:szCs w:val="28"/>
          <w:lang w:val="uk-UA"/>
        </w:rPr>
        <w:t xml:space="preserve">за мінусом виплат, які були здійснені за виконання працівниками платних послуг згідно Постанови, за мінусом виплат, які були здійснені за договорами цивільно-правового характеру, за мінусом коштів, що надійшли як цільові надходження  - кошти місцевих бюджетів, цільових фондів, Пенсійного фонду, інших ФСС тощо, та за мінусом резерву відпусток) та за мінусом виплат працівниками, які були призвані на військову службу (мобілізовані) або проходять службу у складі Сил територіальної оборони Збройних сил України. </w:t>
      </w:r>
      <w:r>
        <w:rPr>
          <w:rFonts w:ascii="Times New Roman" w:hAnsi="Times New Roman"/>
          <w:sz w:val="28"/>
          <w:szCs w:val="28"/>
          <w:lang w:val="uk-UA"/>
        </w:rPr>
        <w:t>Сума зазначається в гривнях з копійками.</w:t>
      </w:r>
    </w:p>
    <w:p>
      <w:pPr>
        <w:pStyle w:val="P2"/>
        <w:spacing w:after="0" w:beforeAutospacing="0" w:afterAutospacing="0"/>
        <w:ind w:hanging="360" w:left="927"/>
        <w:jc w:val="both"/>
        <w:rPr>
          <w:rFonts w:ascii="Times New Roman" w:hAnsi="Times New Roman"/>
          <w:sz w:val="28"/>
          <w:szCs w:val="28"/>
          <w:lang w:val="uk-UA"/>
        </w:rPr>
      </w:pPr>
      <w:r>
        <w:rPr>
          <w:rFonts w:ascii="Times New Roman" w:hAnsi="Times New Roman"/>
          <w:b w:val="1"/>
          <w:sz w:val="28"/>
          <w:szCs w:val="28"/>
          <w:lang w:val="uk-UA"/>
        </w:rPr>
        <w:t xml:space="preserve">6-11. </w:t>
      </w:r>
      <w:r>
        <w:rPr>
          <w:rFonts w:ascii="Times New Roman" w:hAnsi="Times New Roman"/>
          <w:sz w:val="28"/>
          <w:szCs w:val="28"/>
          <w:lang w:val="uk-UA"/>
        </w:rPr>
        <w:t>В цих колонках відображається нарахована заробітна плата, зазначена в колонці 5, з розбивкою по відповідних категоріях працівників. Сума зазначається в гривнях з копійками.</w:t>
      </w:r>
    </w:p>
    <w:p>
      <w:pPr>
        <w:pStyle w:val="P2"/>
        <w:spacing w:after="0" w:beforeAutospacing="0" w:afterAutospacing="0"/>
        <w:ind w:hanging="360" w:left="927"/>
        <w:jc w:val="both"/>
        <w:rPr>
          <w:rFonts w:ascii="Times New Roman" w:hAnsi="Times New Roman"/>
          <w:sz w:val="28"/>
          <w:szCs w:val="28"/>
          <w:lang w:val="uk-UA"/>
        </w:rPr>
      </w:pPr>
      <w:r>
        <w:rPr>
          <w:rFonts w:ascii="Times New Roman" w:hAnsi="Times New Roman"/>
          <w:b w:val="1"/>
          <w:sz w:val="28"/>
          <w:szCs w:val="28"/>
          <w:lang w:val="uk-UA"/>
        </w:rPr>
        <w:t xml:space="preserve">12. Нарахування на заробітну плату за звітний місяць (відповідно суми, зазначеної в колонці 5), всього, грн – </w:t>
      </w:r>
      <w:r>
        <w:rPr>
          <w:rFonts w:ascii="Times New Roman" w:hAnsi="Times New Roman"/>
          <w:sz w:val="28"/>
          <w:szCs w:val="28"/>
          <w:lang w:val="uk-UA"/>
        </w:rPr>
        <w:t xml:space="preserve">відображається сума ЄСВ, що була нарахована на суму заробітної плати, без врахування здійснених нарахувань працівникам, які призвані на військову службу (мобілізовані) або проходять службу у складі Сил територіальної оборони Збройних сил України, та без врахування виплат за договорами цивільно-правового характеру. У разі, якщо закладом у звітному періоді були отримані кошти від фондів соціального страхування (Пенсійний фонд тощо), на які були здійснені нарахування за рахунок коштів ПМГ, </w:t>
      </w:r>
      <w:r>
        <w:rPr>
          <w:rFonts w:ascii="Times New Roman" w:hAnsi="Times New Roman"/>
          <w:b w:val="1"/>
          <w:sz w:val="28"/>
          <w:szCs w:val="28"/>
          <w:lang w:val="uk-UA"/>
        </w:rPr>
        <w:t>такі нарахування включаються до розрахунку</w:t>
      </w:r>
      <w:r>
        <w:rPr>
          <w:rFonts w:ascii="Times New Roman" w:hAnsi="Times New Roman"/>
          <w:sz w:val="28"/>
          <w:szCs w:val="28"/>
          <w:lang w:val="uk-UA"/>
        </w:rPr>
        <w:t>. Сума зазначається в гривнях з копійками.</w:t>
      </w:r>
    </w:p>
    <w:p>
      <w:pPr>
        <w:pStyle w:val="P2"/>
        <w:spacing w:after="0" w:beforeAutospacing="0" w:afterAutospacing="0"/>
        <w:ind w:firstLine="425" w:left="142"/>
        <w:jc w:val="both"/>
        <w:rPr>
          <w:rFonts w:ascii="Times New Roman" w:hAnsi="Times New Roman"/>
          <w:sz w:val="28"/>
          <w:szCs w:val="28"/>
          <w:lang w:val="uk-UA"/>
        </w:rPr>
      </w:pPr>
      <w:r>
        <w:rPr>
          <w:rFonts w:ascii="Times New Roman" w:hAnsi="Times New Roman"/>
          <w:b w:val="1"/>
          <w:sz w:val="28"/>
          <w:szCs w:val="28"/>
          <w:lang w:val="uk-UA"/>
        </w:rPr>
        <w:t>ВАЖЛИВО:</w:t>
      </w:r>
      <w:r>
        <w:rPr>
          <w:rFonts w:ascii="Times New Roman" w:hAnsi="Times New Roman"/>
          <w:sz w:val="28"/>
          <w:szCs w:val="28"/>
          <w:lang w:val="uk-UA"/>
        </w:rPr>
        <w:t xml:space="preserve"> Дані про заробітну плату повинні відповідати даним бухгалтерського обліку підприємства! Вказується заробітна плата, нарахована </w:t>
      </w:r>
      <w:r>
        <w:rPr>
          <w:rFonts w:ascii="Times New Roman" w:hAnsi="Times New Roman"/>
          <w:b w:val="1"/>
          <w:sz w:val="28"/>
          <w:szCs w:val="28"/>
          <w:lang w:val="uk-UA"/>
        </w:rPr>
        <w:t xml:space="preserve">ВИКЛЮЧНО </w:t>
      </w:r>
      <w:r>
        <w:rPr>
          <w:rFonts w:ascii="Times New Roman" w:hAnsi="Times New Roman"/>
          <w:sz w:val="28"/>
          <w:szCs w:val="28"/>
          <w:lang w:val="uk-UA"/>
        </w:rPr>
        <w:t xml:space="preserve">за послуги, що надаються в межах ПМГ. </w:t>
      </w:r>
      <w:r>
        <w:rPr>
          <w:rFonts w:ascii="Times New Roman" w:hAnsi="Times New Roman"/>
          <w:b w:val="1"/>
          <w:sz w:val="28"/>
          <w:szCs w:val="28"/>
          <w:lang w:val="uk-UA"/>
        </w:rPr>
        <w:t>Відображення нарахувань, які були здійснені за надані платні послуги, або за кошти цільового фінансування, грантів тощо, не допускається</w:t>
      </w:r>
      <w:r>
        <w:rPr>
          <w:rFonts w:ascii="Times New Roman" w:hAnsi="Times New Roman"/>
          <w:sz w:val="28"/>
          <w:szCs w:val="28"/>
          <w:lang w:val="uk-UA"/>
        </w:rPr>
        <w:t>.</w:t>
      </w:r>
    </w:p>
    <w:p>
      <w:pPr>
        <w:pStyle w:val="P2"/>
        <w:spacing w:after="0" w:beforeAutospacing="0" w:afterAutospacing="0"/>
        <w:ind w:firstLine="425" w:left="142"/>
        <w:jc w:val="both"/>
        <w:rPr>
          <w:rFonts w:ascii="Times New Roman" w:hAnsi="Times New Roman"/>
          <w:sz w:val="28"/>
          <w:szCs w:val="28"/>
          <w:lang w:val="uk-UA"/>
        </w:rPr>
      </w:pPr>
      <w:r>
        <w:rPr>
          <w:rFonts w:ascii="Times New Roman" w:hAnsi="Times New Roman"/>
          <w:sz w:val="28"/>
          <w:szCs w:val="28"/>
          <w:lang w:val="uk-UA"/>
        </w:rPr>
        <w:t>Для повноти та правильності відображення зазначених сум, рекомендуємо звірити наступні показники:</w:t>
      </w:r>
    </w:p>
    <w:p>
      <w:pPr>
        <w:pStyle w:val="P2"/>
        <w:numPr>
          <w:ilvl w:val="0"/>
          <w:numId w:val="2"/>
        </w:numPr>
        <w:spacing w:after="0" w:beforeAutospacing="0" w:afterAutospacing="0"/>
        <w:jc w:val="both"/>
        <w:rPr>
          <w:rFonts w:ascii="Times New Roman" w:hAnsi="Times New Roman"/>
          <w:sz w:val="28"/>
          <w:szCs w:val="28"/>
          <w:lang w:val="uk-UA"/>
        </w:rPr>
      </w:pPr>
      <w:r>
        <w:rPr>
          <w:rFonts w:ascii="Times New Roman" w:hAnsi="Times New Roman"/>
          <w:sz w:val="28"/>
          <w:szCs w:val="28"/>
          <w:lang w:val="uk-UA"/>
        </w:rPr>
        <w:t>Суми заробітної плати, що були нараховані за час, який працівники відпрацювали в звітному періоді при наданні платних послуг – у відповідності до табеля обліку робочого часу, штатного розпису та кількості наданих послуг (в залежності від облікової політики закладу та умов колективного договору);</w:t>
      </w:r>
    </w:p>
    <w:p>
      <w:pPr>
        <w:pStyle w:val="P2"/>
        <w:numPr>
          <w:ilvl w:val="0"/>
          <w:numId w:val="2"/>
        </w:numPr>
        <w:spacing w:after="0" w:beforeAutospacing="0" w:afterAutospacing="0"/>
        <w:jc w:val="both"/>
        <w:rPr>
          <w:rFonts w:ascii="Times New Roman" w:hAnsi="Times New Roman"/>
          <w:sz w:val="28"/>
          <w:szCs w:val="28"/>
          <w:lang w:val="uk-UA"/>
        </w:rPr>
      </w:pPr>
      <w:r>
        <w:rPr>
          <w:rFonts w:ascii="Times New Roman" w:hAnsi="Times New Roman"/>
          <w:sz w:val="28"/>
          <w:szCs w:val="28"/>
          <w:lang w:val="uk-UA"/>
        </w:rPr>
        <w:t>Суми премій, що були нараховані працівникам, які надавали платні послуги в закладі протягом звітного періоду;</w:t>
      </w:r>
    </w:p>
    <w:p>
      <w:pPr>
        <w:pStyle w:val="P2"/>
        <w:numPr>
          <w:ilvl w:val="0"/>
          <w:numId w:val="2"/>
        </w:numPr>
        <w:spacing w:after="0" w:beforeAutospacing="0" w:afterAutospacing="0"/>
        <w:ind w:left="927"/>
        <w:jc w:val="both"/>
        <w:rPr>
          <w:rFonts w:ascii="Times New Roman" w:hAnsi="Times New Roman"/>
          <w:sz w:val="28"/>
          <w:szCs w:val="28"/>
          <w:lang w:val="uk-UA"/>
        </w:rPr>
      </w:pPr>
      <w:r>
        <w:rPr>
          <w:rFonts w:ascii="Times New Roman" w:hAnsi="Times New Roman"/>
          <w:sz w:val="28"/>
          <w:szCs w:val="28"/>
          <w:lang w:val="uk-UA"/>
        </w:rPr>
        <w:t xml:space="preserve"> Перевірити калькуляції платних послуг, затверджені у закладі. При розрахунку собівартості платних послуг закладаються витрати закладу на оплату праці категорій працівників, які надають такі послуги. Відповідно, співставивши кількість наданих послуг (по видах послуг) та зазначені закладені витрати, можна розрахувати, скільки коштів надійшло в межах оплати за платні послуги як оплата робочого часу працівників. Відтак, віднявши розраховану суму від суми загальної нарахованої заробітної плати, отримаємо в залишку суму нарахованої заробітної плати за ПМГ.</w:t>
      </w:r>
    </w:p>
    <w:p>
      <w:pPr>
        <w:pStyle w:val="P2"/>
        <w:spacing w:after="0" w:beforeAutospacing="0" w:afterAutospacing="0"/>
        <w:ind w:left="284"/>
        <w:jc w:val="both"/>
        <w:rPr>
          <w:rFonts w:ascii="Times New Roman" w:hAnsi="Times New Roman"/>
          <w:b w:val="1"/>
          <w:sz w:val="28"/>
          <w:szCs w:val="28"/>
          <w:lang w:val="uk-UA"/>
        </w:rPr>
      </w:pPr>
      <w:r>
        <w:rPr>
          <w:rFonts w:ascii="Times New Roman" w:hAnsi="Times New Roman"/>
          <w:sz w:val="28"/>
          <w:szCs w:val="28"/>
          <w:lang w:val="uk-UA"/>
        </w:rPr>
        <w:t xml:space="preserve">Додатково наголошуємо – окрім заробітної плати, нарахованої за рахунок платних послуг,  </w:t>
      </w:r>
      <w:r>
        <w:rPr>
          <w:rFonts w:ascii="Times New Roman" w:hAnsi="Times New Roman"/>
          <w:b w:val="1"/>
          <w:sz w:val="28"/>
          <w:szCs w:val="28"/>
          <w:lang w:val="uk-UA"/>
        </w:rPr>
        <w:t>не включаються також виплати за цивільно-правовими договорами, за кошти місцевих бюджетів та інших цільових фондів.</w:t>
      </w:r>
    </w:p>
    <w:p>
      <w:pPr>
        <w:pStyle w:val="P2"/>
        <w:spacing w:after="0" w:beforeAutospacing="0" w:afterAutospacing="0"/>
        <w:ind w:left="567"/>
        <w:jc w:val="both"/>
        <w:rPr>
          <w:rFonts w:ascii="Times New Roman" w:hAnsi="Times New Roman"/>
          <w:sz w:val="28"/>
          <w:szCs w:val="28"/>
          <w:lang w:val="uk-UA"/>
        </w:rPr>
      </w:pPr>
      <w:r>
        <w:rPr>
          <w:rFonts w:ascii="Times New Roman" w:hAnsi="Times New Roman"/>
          <w:b w:val="1"/>
          <w:sz w:val="28"/>
          <w:szCs w:val="28"/>
          <w:lang w:val="uk-UA"/>
        </w:rPr>
        <w:t xml:space="preserve">13. Співвідношення обсягу нарахувань на оплату праці із обсягом витрат на оплату праці, % (якщо значення цього показника більше 26% або менше 18%, необхідно надати відповідні пояснення в графі 23) – </w:t>
      </w:r>
      <w:r>
        <w:rPr>
          <w:rFonts w:ascii="Times New Roman" w:hAnsi="Times New Roman"/>
          <w:sz w:val="28"/>
          <w:szCs w:val="28"/>
          <w:lang w:val="uk-UA"/>
        </w:rPr>
        <w:t>у випадку, якщо відображені витрати в частині здійснених нарахувань на заробітну плату (ЄСВ) відрізняються від нормативно-розрахункового показника (22%) і становлять більше 26% або менше 18%, необхідно вказати причину такого відхилення в графі 23.</w:t>
      </w:r>
    </w:p>
    <w:p>
      <w:pPr>
        <w:pStyle w:val="P2"/>
        <w:spacing w:after="0" w:beforeAutospacing="0" w:afterAutospacing="0"/>
        <w:ind w:hanging="360" w:left="927"/>
        <w:jc w:val="both"/>
        <w:rPr>
          <w:rFonts w:ascii="Times New Roman" w:hAnsi="Times New Roman"/>
          <w:b w:val="1"/>
          <w:color w:val="2F5496" w:themeColor="accent1" w:themeShade="BF"/>
          <w:sz w:val="28"/>
          <w:szCs w:val="28"/>
          <w:lang w:val="uk-UA"/>
        </w:rPr>
      </w:pPr>
      <w:r>
        <w:rPr>
          <w:rFonts w:ascii="Times New Roman" w:hAnsi="Times New Roman"/>
          <w:b w:val="1"/>
          <w:sz w:val="28"/>
          <w:szCs w:val="28"/>
          <w:lang w:val="uk-UA"/>
        </w:rPr>
        <w:t>14.</w:t>
      </w:r>
      <w:r>
        <w:rPr>
          <w:rFonts w:ascii="Times New Roman" w:hAnsi="Times New Roman"/>
          <w:sz w:val="28"/>
          <w:szCs w:val="28"/>
          <w:lang w:val="uk-UA"/>
        </w:rPr>
        <w:t xml:space="preserve"> </w:t>
      </w:r>
      <w:r>
        <w:rPr>
          <w:rFonts w:ascii="Times New Roman" w:hAnsi="Times New Roman"/>
          <w:b w:val="1"/>
          <w:sz w:val="28"/>
          <w:szCs w:val="28"/>
          <w:lang w:val="uk-UA"/>
        </w:rPr>
        <w:t xml:space="preserve">Кількість фактично зайнятих штатних одиниць за основним місцем роботи  та за сумісництвом (в т.ч. зовнішнім), яким нарахована заробітна плата за рахунок коштів програми медичних гарантій, за звітний місяць без врахування працівників, які призвані на військову службу (мобілізовані) або проходять службу у складі Сил територіальної оборони Збройних сил України, фактично зайнятих штатних одиниць – </w:t>
      </w:r>
      <w:r>
        <w:rPr>
          <w:rFonts w:ascii="Times New Roman" w:hAnsi="Times New Roman"/>
          <w:sz w:val="28"/>
          <w:szCs w:val="28"/>
          <w:lang w:val="uk-UA"/>
        </w:rPr>
        <w:t xml:space="preserve">зазначається </w:t>
      </w:r>
      <w:r>
        <w:rPr>
          <w:rFonts w:ascii="Times New Roman" w:hAnsi="Times New Roman"/>
          <w:b w:val="1"/>
          <w:color w:val="2F5496" w:themeColor="accent1" w:themeShade="BF"/>
          <w:sz w:val="28"/>
          <w:szCs w:val="28"/>
          <w:lang w:val="uk-UA"/>
        </w:rPr>
        <w:t>кількість зайнятих штатних одиниць відповідно до штатного розпису, яким нараховувалась заробітна плата у звітному місяці, без врахування працівників, які призвані на військову службу (мобілізовані) або проходять службу у складі Сил територіальної оборони Збройних сил України.</w:t>
      </w:r>
    </w:p>
    <w:p>
      <w:pPr>
        <w:pStyle w:val="P2"/>
        <w:spacing w:after="0" w:beforeAutospacing="0" w:afterAutospacing="0"/>
        <w:ind w:firstLine="66" w:left="927"/>
        <w:jc w:val="both"/>
        <w:rPr>
          <w:rFonts w:ascii="Times New Roman" w:hAnsi="Times New Roman"/>
          <w:sz w:val="28"/>
          <w:szCs w:val="28"/>
          <w:lang w:val="uk-UA"/>
        </w:rPr>
      </w:pPr>
      <w:r>
        <w:rPr>
          <w:rFonts w:ascii="Times New Roman" w:hAnsi="Times New Roman"/>
          <w:sz w:val="28"/>
          <w:szCs w:val="28"/>
          <w:lang w:val="uk-UA"/>
        </w:rPr>
        <w:t>Тобто, якщо працівник працював на ставку та додатково працював на 0,5 ставки як внутрішній сумісник, його потрібно відображати як 1,5 ставки.</w:t>
      </w:r>
    </w:p>
    <w:p>
      <w:pPr>
        <w:pStyle w:val="P2"/>
        <w:spacing w:after="0" w:beforeAutospacing="0" w:afterAutospacing="0"/>
        <w:ind w:hanging="360" w:left="927"/>
        <w:jc w:val="both"/>
        <w:rPr>
          <w:rFonts w:ascii="Times New Roman" w:hAnsi="Times New Roman"/>
          <w:sz w:val="28"/>
          <w:szCs w:val="28"/>
          <w:lang w:val="uk-UA"/>
        </w:rPr>
      </w:pPr>
      <w:r>
        <w:rPr>
          <w:rFonts w:ascii="Times New Roman" w:hAnsi="Times New Roman"/>
          <w:b w:val="1"/>
          <w:sz w:val="28"/>
          <w:szCs w:val="28"/>
          <w:lang w:val="uk-UA"/>
        </w:rPr>
        <w:t xml:space="preserve">15-20. </w:t>
      </w:r>
      <w:r>
        <w:rPr>
          <w:rFonts w:ascii="Times New Roman" w:hAnsi="Times New Roman"/>
          <w:sz w:val="28"/>
          <w:szCs w:val="28"/>
          <w:lang w:val="uk-UA"/>
        </w:rPr>
        <w:t>В цих колонках відображається кількість зайнятих штатних одиниць, зазначених в колонці 13, з розбивкою по відповідних категоріях працівників.</w:t>
      </w:r>
    </w:p>
    <w:p>
      <w:pPr>
        <w:pStyle w:val="P2"/>
        <w:spacing w:after="0" w:beforeAutospacing="0" w:afterAutospacing="0"/>
        <w:ind w:hanging="360" w:left="927"/>
        <w:jc w:val="both"/>
        <w:rPr>
          <w:rFonts w:ascii="Times New Roman" w:hAnsi="Times New Roman"/>
          <w:sz w:val="28"/>
          <w:szCs w:val="28"/>
          <w:lang w:val="uk-UA"/>
        </w:rPr>
      </w:pPr>
      <w:r>
        <w:rPr>
          <w:rFonts w:ascii="Times New Roman" w:hAnsi="Times New Roman"/>
          <w:b w:val="1"/>
          <w:sz w:val="28"/>
          <w:szCs w:val="28"/>
          <w:lang w:val="uk-UA"/>
        </w:rPr>
        <w:t>21.</w:t>
      </w:r>
      <w:r>
        <w:rPr>
          <w:rFonts w:ascii="Times New Roman" w:hAnsi="Times New Roman"/>
          <w:sz w:val="28"/>
          <w:szCs w:val="28"/>
          <w:lang w:val="uk-UA"/>
        </w:rPr>
        <w:t xml:space="preserve"> </w:t>
      </w:r>
      <w:r>
        <w:rPr>
          <w:rFonts w:ascii="Times New Roman" w:hAnsi="Times New Roman"/>
          <w:b w:val="1"/>
          <w:sz w:val="28"/>
          <w:szCs w:val="28"/>
          <w:lang w:val="uk-UA"/>
        </w:rPr>
        <w:t xml:space="preserve">Інформація про стан розрахунків із заробітної плати (в межах ПМГ) на момент звітування (% виплати заробітної плати за звітний місяць) – </w:t>
      </w:r>
      <w:r>
        <w:rPr>
          <w:rFonts w:ascii="Times New Roman" w:hAnsi="Times New Roman"/>
          <w:sz w:val="28"/>
          <w:szCs w:val="28"/>
          <w:lang w:val="uk-UA"/>
        </w:rPr>
        <w:t xml:space="preserve">зазначається </w:t>
      </w:r>
      <w:r>
        <w:rPr>
          <w:rFonts w:ascii="Times New Roman" w:hAnsi="Times New Roman"/>
          <w:b w:val="1"/>
          <w:color w:val="2F5496" w:themeColor="accent1" w:themeShade="BF"/>
          <w:sz w:val="28"/>
          <w:szCs w:val="28"/>
          <w:lang w:val="uk-UA"/>
        </w:rPr>
        <w:t>відсоток</w:t>
      </w:r>
      <w:r>
        <w:rPr>
          <w:rFonts w:ascii="Times New Roman" w:hAnsi="Times New Roman"/>
          <w:sz w:val="28"/>
          <w:szCs w:val="28"/>
          <w:lang w:val="uk-UA"/>
        </w:rPr>
        <w:t xml:space="preserve"> </w:t>
      </w:r>
      <w:r>
        <w:rPr>
          <w:rFonts w:ascii="Times New Roman" w:hAnsi="Times New Roman"/>
          <w:b w:val="1"/>
          <w:color w:val="2F5496" w:themeColor="accent1" w:themeShade="BF"/>
          <w:sz w:val="28"/>
          <w:szCs w:val="28"/>
          <w:lang w:val="uk-UA"/>
        </w:rPr>
        <w:t xml:space="preserve">нарахованої у звітному місяці заробітної плати, який був виплачений </w:t>
      </w:r>
      <w:r>
        <w:rPr>
          <w:rFonts w:ascii="Times New Roman" w:hAnsi="Times New Roman"/>
          <w:sz w:val="28"/>
          <w:szCs w:val="28"/>
          <w:lang w:val="uk-UA"/>
        </w:rPr>
        <w:t>на момент звітування.</w:t>
      </w:r>
    </w:p>
    <w:p>
      <w:pPr>
        <w:pStyle w:val="P2"/>
        <w:spacing w:after="0" w:beforeAutospacing="0" w:afterAutospacing="0"/>
        <w:ind w:hanging="76" w:left="709"/>
        <w:jc w:val="both"/>
        <w:rPr>
          <w:rFonts w:ascii="Times New Roman" w:hAnsi="Times New Roman"/>
          <w:sz w:val="28"/>
          <w:szCs w:val="28"/>
          <w:lang w:val="uk-UA"/>
        </w:rPr>
      </w:pPr>
      <w:r>
        <w:rPr>
          <w:rFonts w:ascii="Times New Roman" w:hAnsi="Times New Roman"/>
          <w:sz w:val="28"/>
          <w:szCs w:val="28"/>
          <w:lang w:val="uk-UA"/>
        </w:rPr>
        <w:t xml:space="preserve">Показник зазначається числом, без застосування знака «відсоток»  - %.</w:t>
      </w:r>
    </w:p>
    <w:p>
      <w:pPr>
        <w:pStyle w:val="P2"/>
        <w:spacing w:after="0" w:beforeAutospacing="0" w:afterAutospacing="0"/>
        <w:ind w:hanging="76" w:left="709"/>
        <w:jc w:val="both"/>
        <w:rPr>
          <w:rFonts w:ascii="Times New Roman" w:hAnsi="Times New Roman"/>
          <w:sz w:val="28"/>
          <w:szCs w:val="28"/>
          <w:lang w:val="uk-UA"/>
        </w:rPr>
      </w:pPr>
      <w:bookmarkStart w:id="1" w:name="_GoBack"/>
      <w:r>
        <w:rPr>
          <w:rFonts w:ascii="Times New Roman" w:hAnsi="Times New Roman"/>
          <w:b w:val="1"/>
          <w:sz w:val="28"/>
          <w:szCs w:val="28"/>
          <w:lang w:val="uk-UA"/>
        </w:rPr>
        <w:t xml:space="preserve">Тобто, якщо заклад повністю виплатив заробітну плату працівникам,  зазначається 100.</w:t>
      </w:r>
      <w:r>
        <w:rPr>
          <w:rFonts w:ascii="Times New Roman" w:hAnsi="Times New Roman"/>
          <w:sz w:val="28"/>
          <w:szCs w:val="28"/>
          <w:lang w:val="uk-UA"/>
        </w:rPr>
        <w:t xml:space="preserve"> </w:t>
      </w:r>
      <w:bookmarkEnd w:id="1"/>
      <w:r>
        <w:rPr>
          <w:rFonts w:ascii="Times New Roman" w:hAnsi="Times New Roman"/>
          <w:sz w:val="28"/>
          <w:szCs w:val="28"/>
          <w:lang w:val="uk-UA"/>
        </w:rPr>
        <w:t>Якщо нараховано умовно 100 000 грн, а виплачено 80 000 грн – відповідно, відсоток виплати складе 80.</w:t>
      </w:r>
    </w:p>
    <w:p>
      <w:pPr>
        <w:pStyle w:val="P2"/>
        <w:spacing w:after="0" w:beforeAutospacing="0" w:afterAutospacing="0"/>
        <w:ind w:hanging="360" w:left="927"/>
        <w:jc w:val="both"/>
        <w:rPr>
          <w:rFonts w:ascii="Times New Roman" w:hAnsi="Times New Roman"/>
          <w:b w:val="1"/>
          <w:sz w:val="28"/>
          <w:szCs w:val="28"/>
          <w:lang w:val="uk-UA"/>
        </w:rPr>
      </w:pPr>
      <w:r>
        <w:rPr>
          <w:rFonts w:ascii="Times New Roman" w:hAnsi="Times New Roman"/>
          <w:b w:val="1"/>
          <w:sz w:val="28"/>
          <w:szCs w:val="28"/>
          <w:lang w:val="uk-UA"/>
        </w:rPr>
        <w:t>22.</w:t>
      </w:r>
      <w:r>
        <w:rPr>
          <w:rFonts w:ascii="Times New Roman" w:hAnsi="Times New Roman"/>
          <w:sz w:val="28"/>
          <w:szCs w:val="28"/>
          <w:lang w:val="uk-UA"/>
        </w:rPr>
        <w:t xml:space="preserve"> </w:t>
      </w:r>
      <w:r>
        <w:rPr>
          <w:rFonts w:ascii="Times New Roman" w:hAnsi="Times New Roman"/>
          <w:b w:val="1"/>
          <w:sz w:val="28"/>
          <w:szCs w:val="28"/>
          <w:lang w:val="uk-UA"/>
        </w:rPr>
        <w:t xml:space="preserve">Інформація про  орієнтовний термін виплати заробітної плати в повному обсязі (з к. 5 та 12) – </w:t>
      </w:r>
      <w:r>
        <w:rPr>
          <w:rFonts w:ascii="Times New Roman" w:hAnsi="Times New Roman"/>
          <w:sz w:val="28"/>
          <w:szCs w:val="28"/>
          <w:lang w:val="uk-UA"/>
        </w:rPr>
        <w:t xml:space="preserve">якщо заробітна плата, нарахована за звітний місяць в межах ПМГ, інформація про яку була відображена в колонках 5 та 12, була виплачена не в повному обсязі, про що було зазначено у колонці 20 – необхідно вказати термін, протягом якого планується зробити таку виплату (протягом місяця, двох місяців,…). </w:t>
      </w:r>
      <w:r>
        <w:rPr>
          <w:rFonts w:ascii="Times New Roman" w:hAnsi="Times New Roman"/>
          <w:b w:val="1"/>
          <w:sz w:val="28"/>
          <w:szCs w:val="28"/>
          <w:u w:val="single"/>
          <w:lang w:val="uk-UA"/>
        </w:rPr>
        <w:t>Якщо заборгованість відсутня, тоді необхідно поставити 0</w:t>
      </w:r>
      <w:r>
        <w:rPr>
          <w:rFonts w:ascii="Times New Roman" w:hAnsi="Times New Roman"/>
          <w:b w:val="1"/>
          <w:sz w:val="28"/>
          <w:szCs w:val="28"/>
          <w:lang w:val="uk-UA"/>
        </w:rPr>
        <w:t>.</w:t>
      </w:r>
    </w:p>
    <w:p>
      <w:pPr>
        <w:pStyle w:val="P2"/>
        <w:spacing w:after="0" w:beforeAutospacing="0" w:afterAutospacing="0"/>
        <w:ind w:hanging="360" w:left="927"/>
        <w:jc w:val="both"/>
        <w:rPr>
          <w:rFonts w:ascii="Times New Roman" w:hAnsi="Times New Roman"/>
          <w:bCs w:val="1"/>
          <w:sz w:val="28"/>
          <w:szCs w:val="28"/>
          <w:lang w:val="uk-UA"/>
        </w:rPr>
      </w:pPr>
      <w:r>
        <w:rPr>
          <w:rFonts w:ascii="Times New Roman" w:hAnsi="Times New Roman"/>
          <w:b w:val="1"/>
          <w:sz w:val="28"/>
          <w:szCs w:val="28"/>
          <w:lang w:val="uk-UA"/>
        </w:rPr>
        <w:t xml:space="preserve">23. Коментар до показника к.13: у випадку, якщо співвідношення витрат на оплату праці (к.5) та нарахувань на заробітну плату (к.12) більше 26% або менше 18% - </w:t>
      </w:r>
      <w:r>
        <w:rPr>
          <w:rFonts w:ascii="Times New Roman" w:hAnsi="Times New Roman"/>
          <w:bCs w:val="1"/>
          <w:sz w:val="28"/>
          <w:szCs w:val="28"/>
          <w:lang w:val="uk-UA"/>
        </w:rPr>
        <w:t>якщо співвідношення обсягу нарахувань на оплату праці із обсягом витрат на оплату праці (показник, що розраховується в к.13) більше 26% або менше 18%, в к.23 необхідно надати відповідні пояснення щодо причин відхилення такого співвідношення від нормативно-розрахункового значення 22%</w:t>
      </w:r>
    </w:p>
    <w:p>
      <w:pPr>
        <w:pStyle w:val="P2"/>
        <w:spacing w:after="0" w:beforeAutospacing="0" w:afterAutospacing="0"/>
        <w:ind w:hanging="360" w:left="927"/>
        <w:jc w:val="both"/>
        <w:rPr>
          <w:rFonts w:ascii="Times New Roman" w:hAnsi="Times New Roman"/>
          <w:b w:val="1"/>
          <w:sz w:val="28"/>
          <w:szCs w:val="28"/>
        </w:rPr>
      </w:pPr>
      <w:r>
        <w:rPr>
          <w:rFonts w:ascii="Times New Roman" w:hAnsi="Times New Roman"/>
          <w:b w:val="1"/>
          <w:sz w:val="28"/>
          <w:szCs w:val="28"/>
          <w:lang w:val="uk-UA"/>
        </w:rPr>
        <w:t xml:space="preserve"> 24. Дата складання звіту — </w:t>
      </w:r>
      <w:r>
        <w:rPr>
          <w:rFonts w:ascii="Times New Roman" w:hAnsi="Times New Roman"/>
          <w:bCs w:val="1"/>
          <w:sz w:val="28"/>
          <w:szCs w:val="28"/>
          <w:lang w:val="uk-UA"/>
        </w:rPr>
        <w:t xml:space="preserve">дата вводиться </w:t>
      </w:r>
      <w:r>
        <w:rPr>
          <w:rFonts w:ascii="Times New Roman" w:hAnsi="Times New Roman"/>
          <w:b w:val="1"/>
          <w:bCs w:val="1"/>
          <w:sz w:val="28"/>
          <w:szCs w:val="28"/>
          <w:lang w:val="uk-UA"/>
        </w:rPr>
        <w:t>у форматі «дд.мм.рррр»</w:t>
      </w:r>
      <w:r>
        <w:rPr>
          <w:rFonts w:ascii="Times New Roman" w:hAnsi="Times New Roman"/>
          <w:bCs w:val="1"/>
          <w:sz w:val="28"/>
          <w:szCs w:val="28"/>
          <w:lang w:val="uk-UA"/>
        </w:rPr>
        <w:t>, тобто якщо необхідно ввести дату «15 листопада 202</w:t>
      </w:r>
      <w:r>
        <w:rPr>
          <w:rFonts w:ascii="Times New Roman" w:hAnsi="Times New Roman"/>
          <w:bCs w:val="0"/>
          <w:smallCaps w:val="0"/>
          <w:sz w:val="28"/>
          <w:szCs w:val="22"/>
          <w:cs w:val="0"/>
          <w:spacing w:val="0"/>
          <w:w w:val="100"/>
          <w:position w:val="0"/>
          <w:snapToGrid w:val="1"/>
          <w:lang w:val="uk-UA"/>
        </w:rPr>
        <w:t>3</w:t>
      </w:r>
      <w:r>
        <w:rPr>
          <w:rFonts w:ascii="Times New Roman" w:hAnsi="Times New Roman"/>
          <w:bCs w:val="1"/>
          <w:sz w:val="28"/>
          <w:szCs w:val="28"/>
          <w:lang w:val="uk-UA"/>
        </w:rPr>
        <w:t xml:space="preserve"> року», в клітинку необхідно ввести </w:t>
      </w:r>
      <w:r>
        <w:rPr>
          <w:rFonts w:ascii="Times New Roman" w:hAnsi="Times New Roman"/>
          <w:b w:val="1"/>
          <w:bCs w:val="1"/>
          <w:sz w:val="28"/>
          <w:szCs w:val="28"/>
          <w:lang w:val="uk-UA"/>
        </w:rPr>
        <w:t>15.11.202</w:t>
      </w:r>
      <w:r>
        <w:rPr>
          <w:rFonts w:ascii="Times New Roman" w:hAnsi="Times New Roman"/>
          <w:b w:val="1"/>
          <w:bCs w:val="0"/>
          <w:smallCaps w:val="0"/>
          <w:sz w:val="28"/>
          <w:szCs w:val="22"/>
          <w:cs w:val="0"/>
          <w:spacing w:val="0"/>
          <w:w w:val="100"/>
          <w:position w:val="0"/>
          <w:snapToGrid w:val="1"/>
          <w:lang w:val="uk-UA"/>
        </w:rPr>
        <w:t>3</w:t>
      </w:r>
      <w:r>
        <w:rPr>
          <w:rFonts w:ascii="Times New Roman" w:hAnsi="Times New Roman"/>
          <w:b w:val="1"/>
          <w:bCs w:val="1"/>
          <w:sz w:val="28"/>
          <w:szCs w:val="28"/>
          <w:lang w:val="uk-UA"/>
        </w:rPr>
        <w:t>.</w:t>
      </w:r>
    </w:p>
    <w:p>
      <w:pPr>
        <w:pStyle w:val="P2"/>
        <w:spacing w:after="0" w:beforeAutospacing="0" w:afterAutospacing="0"/>
        <w:ind w:hanging="76" w:left="709"/>
        <w:jc w:val="both"/>
        <w:rPr>
          <w:rFonts w:ascii="Times New Roman" w:hAnsi="Times New Roman"/>
          <w:b w:val="1"/>
          <w:sz w:val="28"/>
          <w:szCs w:val="28"/>
          <w:lang w:val="uk-UA"/>
        </w:rPr>
      </w:pPr>
      <w:r>
        <w:rPr>
          <w:rFonts w:ascii="Times New Roman" w:hAnsi="Times New Roman"/>
          <w:b w:val="1"/>
          <w:sz w:val="28"/>
          <w:szCs w:val="28"/>
          <w:lang w:val="uk-UA"/>
        </w:rPr>
        <w:t xml:space="preserve"> </w:t>
      </w:r>
    </w:p>
    <w:sectPr>
      <w:type w:val="nextPage"/>
      <w:pgSz w:w="11906" w:h="16838" w:code="0"/>
      <w:pgMar w:left="1417" w:right="850" w:top="850" w:bottom="850" w:header="708" w:footer="708" w:gutter="0"/>
    </w:sectPr>
  </w:body>
</w:document>
</file>

<file path=word/numbering.xml><?xml version="1.0" encoding="utf-8"?>
<w:numbering xmlns:w="http://schemas.openxmlformats.org/wordprocessingml/2006/main">
  <w:abstractNum w:abstractNumId="0">
    <w:nsid w:val="0D8842D5"/>
    <w:multiLevelType w:val="hybridMultilevel"/>
    <w:lvl w:ilvl="0" w:tplc="1130AFB2">
      <w:start w:val="1"/>
      <w:numFmt w:val="decimal"/>
      <w:suff w:val="tab"/>
      <w:lvlText w:val="%1."/>
      <w:lvlJc w:val="left"/>
      <w:pPr>
        <w:ind w:hanging="360" w:left="927"/>
      </w:pPr>
      <w:rPr>
        <w:b w:val="1"/>
        <w:color w:val="auto"/>
      </w:rPr>
    </w:lvl>
    <w:lvl w:ilvl="1" w:tplc="04220019">
      <w:start w:val="1"/>
      <w:numFmt w:val="lowerLetter"/>
      <w:suff w:val="tab"/>
      <w:lvlText w:val="%2."/>
      <w:lvlJc w:val="left"/>
      <w:pPr>
        <w:ind w:hanging="360" w:left="1647"/>
      </w:pPr>
      <w:rPr/>
    </w:lvl>
    <w:lvl w:ilvl="2" w:tplc="0422001B">
      <w:start w:val="1"/>
      <w:numFmt w:val="lowerRoman"/>
      <w:suff w:val="tab"/>
      <w:lvlText w:val="%3."/>
      <w:lvlJc w:val="right"/>
      <w:pPr>
        <w:ind w:hanging="180" w:left="2367"/>
      </w:pPr>
      <w:rPr/>
    </w:lvl>
    <w:lvl w:ilvl="3" w:tplc="0422000F">
      <w:start w:val="1"/>
      <w:numFmt w:val="decimal"/>
      <w:suff w:val="tab"/>
      <w:lvlText w:val="%4."/>
      <w:lvlJc w:val="left"/>
      <w:pPr>
        <w:ind w:hanging="360" w:left="3087"/>
      </w:pPr>
      <w:rPr/>
    </w:lvl>
    <w:lvl w:ilvl="4" w:tplc="04220019">
      <w:start w:val="1"/>
      <w:numFmt w:val="lowerLetter"/>
      <w:suff w:val="tab"/>
      <w:lvlText w:val="%5."/>
      <w:lvlJc w:val="left"/>
      <w:pPr>
        <w:ind w:hanging="360" w:left="3807"/>
      </w:pPr>
      <w:rPr/>
    </w:lvl>
    <w:lvl w:ilvl="5" w:tplc="0422001B">
      <w:start w:val="1"/>
      <w:numFmt w:val="lowerRoman"/>
      <w:suff w:val="tab"/>
      <w:lvlText w:val="%6."/>
      <w:lvlJc w:val="right"/>
      <w:pPr>
        <w:ind w:hanging="180" w:left="4527"/>
      </w:pPr>
      <w:rPr/>
    </w:lvl>
    <w:lvl w:ilvl="6" w:tplc="0422000F">
      <w:start w:val="1"/>
      <w:numFmt w:val="decimal"/>
      <w:suff w:val="tab"/>
      <w:lvlText w:val="%7."/>
      <w:lvlJc w:val="left"/>
      <w:pPr>
        <w:ind w:hanging="360" w:left="5247"/>
      </w:pPr>
      <w:rPr/>
    </w:lvl>
    <w:lvl w:ilvl="7" w:tplc="04220019">
      <w:start w:val="1"/>
      <w:numFmt w:val="lowerLetter"/>
      <w:suff w:val="tab"/>
      <w:lvlText w:val="%8."/>
      <w:lvlJc w:val="left"/>
      <w:pPr>
        <w:ind w:hanging="360" w:left="5967"/>
      </w:pPr>
      <w:rPr/>
    </w:lvl>
    <w:lvl w:ilvl="8" w:tplc="0422001B">
      <w:start w:val="1"/>
      <w:numFmt w:val="lowerRoman"/>
      <w:suff w:val="tab"/>
      <w:lvlText w:val="%9."/>
      <w:lvlJc w:val="right"/>
      <w:pPr>
        <w:ind w:hanging="180" w:left="6687"/>
      </w:pPr>
      <w:rPr/>
    </w:lvl>
  </w:abstractNum>
  <w:abstractNum w:abstractNumId="1">
    <w:nsid w:val="465D1A87"/>
    <w:multiLevelType w:val="hybridMultilevel"/>
    <w:lvl w:ilvl="0" w:tplc="04220001">
      <w:start w:val="1"/>
      <w:numFmt w:val="bullet"/>
      <w:suff w:val="tab"/>
      <w:lvlText w:val=""/>
      <w:lvlJc w:val="left"/>
      <w:pPr>
        <w:ind w:hanging="360" w:left="1287"/>
      </w:pPr>
      <w:rPr>
        <w:rFonts w:ascii="Symbol" w:hAnsi="Symbol"/>
      </w:rPr>
    </w:lvl>
    <w:lvl w:ilvl="1" w:tplc="04220003">
      <w:start w:val="1"/>
      <w:numFmt w:val="bullet"/>
      <w:suff w:val="tab"/>
      <w:lvlText w:val="o"/>
      <w:lvlJc w:val="left"/>
      <w:pPr>
        <w:ind w:hanging="360" w:left="2007"/>
      </w:pPr>
      <w:rPr>
        <w:rFonts w:ascii="Courier New" w:hAnsi="Courier New"/>
      </w:rPr>
    </w:lvl>
    <w:lvl w:ilvl="2" w:tplc="04220005">
      <w:start w:val="1"/>
      <w:numFmt w:val="bullet"/>
      <w:suff w:val="tab"/>
      <w:lvlText w:val=""/>
      <w:lvlJc w:val="left"/>
      <w:pPr>
        <w:ind w:hanging="360" w:left="2727"/>
      </w:pPr>
      <w:rPr>
        <w:rFonts w:ascii="Wingdings" w:hAnsi="Wingdings"/>
      </w:rPr>
    </w:lvl>
    <w:lvl w:ilvl="3" w:tplc="04220001">
      <w:start w:val="1"/>
      <w:numFmt w:val="bullet"/>
      <w:suff w:val="tab"/>
      <w:lvlText w:val=""/>
      <w:lvlJc w:val="left"/>
      <w:pPr>
        <w:ind w:hanging="360" w:left="3447"/>
      </w:pPr>
      <w:rPr>
        <w:rFonts w:ascii="Symbol" w:hAnsi="Symbol"/>
      </w:rPr>
    </w:lvl>
    <w:lvl w:ilvl="4" w:tplc="04220003">
      <w:start w:val="1"/>
      <w:numFmt w:val="bullet"/>
      <w:suff w:val="tab"/>
      <w:lvlText w:val="o"/>
      <w:lvlJc w:val="left"/>
      <w:pPr>
        <w:ind w:hanging="360" w:left="4167"/>
      </w:pPr>
      <w:rPr>
        <w:rFonts w:ascii="Courier New" w:hAnsi="Courier New"/>
      </w:rPr>
    </w:lvl>
    <w:lvl w:ilvl="5" w:tplc="04220005">
      <w:start w:val="1"/>
      <w:numFmt w:val="bullet"/>
      <w:suff w:val="tab"/>
      <w:lvlText w:val=""/>
      <w:lvlJc w:val="left"/>
      <w:pPr>
        <w:ind w:hanging="360" w:left="4887"/>
      </w:pPr>
      <w:rPr>
        <w:rFonts w:ascii="Wingdings" w:hAnsi="Wingdings"/>
      </w:rPr>
    </w:lvl>
    <w:lvl w:ilvl="6" w:tplc="04220001">
      <w:start w:val="1"/>
      <w:numFmt w:val="bullet"/>
      <w:suff w:val="tab"/>
      <w:lvlText w:val=""/>
      <w:lvlJc w:val="left"/>
      <w:pPr>
        <w:ind w:hanging="360" w:left="5607"/>
      </w:pPr>
      <w:rPr>
        <w:rFonts w:ascii="Symbol" w:hAnsi="Symbol"/>
      </w:rPr>
    </w:lvl>
    <w:lvl w:ilvl="7" w:tplc="04220003">
      <w:start w:val="1"/>
      <w:numFmt w:val="bullet"/>
      <w:suff w:val="tab"/>
      <w:lvlText w:val="o"/>
      <w:lvlJc w:val="left"/>
      <w:pPr>
        <w:ind w:hanging="360" w:left="6327"/>
      </w:pPr>
      <w:rPr>
        <w:rFonts w:ascii="Courier New" w:hAnsi="Courier New"/>
      </w:rPr>
    </w:lvl>
    <w:lvl w:ilvl="8" w:tplc="04220005">
      <w:start w:val="1"/>
      <w:numFmt w:val="bullet"/>
      <w:suff w:val="tab"/>
      <w:lvlText w:val=""/>
      <w:lvlJc w:val="left"/>
      <w:pPr>
        <w:ind w:hanging="360" w:left="7047"/>
      </w:pPr>
      <w:rPr>
        <w:rFonts w:ascii="Wingdings" w:hAnsi="Wingdings"/>
      </w:rPr>
    </w:lvl>
  </w:abstractNum>
  <w:num w:numId="1">
    <w:abstractNumId w:val="0"/>
  </w:num>
  <w:num w:numId="2">
    <w:abstractNumId w:val="1"/>
  </w:num>
</w:numbering>
</file>

<file path=word/settings.xml><?xml version="1.0" encoding="utf-8"?>
<w:settings xmlns:w="http://schemas.openxmlformats.org/wordprocessingml/2006/main">
  <w:displayBackgroundShape w:val="0"/>
  <w:defaultTabStop w:val="708"/>
  <w:autoHyphenation w:val="0"/>
  <w:hyphenationZone w:val="425"/>
  <w:evenAndOddHeaders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sz w:val="22"/>
        <w:szCs w:val="22"/>
        <w:lang w:val="uk-UA"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lang w:val="ru-RU"/>
    </w:rPr>
  </w:style>
  <w:style w:type="paragraph" w:styleId="P1">
    <w:name w:val="heading 3"/>
    <w:basedOn w:val="P0"/>
    <w:next w:val="P0"/>
    <w:link w:val="C3"/>
    <w:qFormat/>
    <w:pPr>
      <w:keepNext w:val="1"/>
      <w:keepLines w:val="1"/>
      <w:spacing w:before="40" w:after="0" w:beforeAutospacing="0" w:afterAutospacing="0"/>
      <w:outlineLvl w:val="2"/>
    </w:pPr>
    <w:rPr>
      <w:color w:val="203864" w:themeColor="accent1" w:themeShade="7F"/>
      <w:sz w:val="24"/>
      <w:szCs w:val="24"/>
    </w:rPr>
  </w:style>
  <w:style w:type="paragraph" w:styleId="P2">
    <w:name w:val="List Paragraph"/>
    <w:basedOn w:val="P0"/>
    <w:qFormat/>
    <w:pPr>
      <w:ind w:left="720"/>
      <w:contextualSpacing w:val="1"/>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Заголовок 3 Знак"/>
    <w:basedOn w:val="C0"/>
    <w:link w:val="P1"/>
    <w:rPr>
      <w:color w:val="203864" w:themeColor="accent1" w:themeShade="7F"/>
      <w:sz w:val="24"/>
      <w:szCs w:val="24"/>
      <w:lang w:val="ru-RU"/>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API/21.1.3.0</Application>
  <AppVersion>21.1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1</dc:creator>
  <dcterms:created xsi:type="dcterms:W3CDTF">2023-07-05T18:05:00Z</dcterms:created>
  <cp:lastModifiedBy>pool-iis</cp:lastModifiedBy>
  <dcterms:modified xsi:type="dcterms:W3CDTF">2023-12-05T06:55:27Z</dcterms:modified>
  <cp:revision>6</cp:revision>
</cp:coreProperties>
</file>