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widowControl w:val="0"/>
        <w:tabs>
          <w:tab w:val="left" w:pos="4554" w:leader="none"/>
          <w:tab w:val="left" w:pos="5103" w:leader="none"/>
        </w:tabs>
        <w:jc w:val="center"/>
        <w:rPr>
          <w:lang w:eastAsia="uk-UA"/>
        </w:rPr>
      </w:pPr>
      <w:r>
        <w:rPr>
          <w:lang w:eastAsia="uk-UA"/>
        </w:rPr>
        <w:t>НАЦІОНАЛЬНА СЛУЖБА ЗДОРОВ’Я УКРАЇНИ</w:t>
      </w:r>
    </w:p>
    <w:p>
      <w:pPr>
        <w:widowControl w:val="0"/>
        <w:jc w:val="center"/>
        <w:rPr>
          <w:lang w:eastAsia="uk-UA"/>
        </w:rPr>
      </w:pPr>
      <w:r>
        <w:rPr>
          <w:lang w:eastAsia="uk-UA"/>
        </w:rPr>
        <w:t>(НСЗУ)</w:t>
      </w:r>
    </w:p>
    <w:p>
      <w:pPr>
        <w:widowControl w:val="0"/>
        <w:spacing w:after="120" w:beforeAutospacing="0" w:afterAutospacing="0"/>
        <w:jc w:val="center"/>
        <w:rPr>
          <w:sz w:val="22"/>
          <w:szCs w:val="22"/>
          <w:lang w:eastAsia="uk-UA"/>
        </w:rPr>
      </w:pPr>
      <w:r>
        <w:rPr>
          <w:sz w:val="22"/>
          <w:szCs w:val="22"/>
          <w:lang w:eastAsia="uk-UA"/>
        </w:rPr>
        <w:t>просп. Степана Бандери, 19, м. Київ, 04073, тел.: (044) 426-67-77, (044) 290-06-91</w:t>
      </w:r>
    </w:p>
    <w:p>
      <w:pPr>
        <w:widowControl w:val="0"/>
        <w:jc w:val="center"/>
        <w:rPr>
          <w:sz w:val="22"/>
          <w:szCs w:val="22"/>
          <w:lang w:eastAsia="uk-UA"/>
        </w:rPr>
      </w:pPr>
      <w:r>
        <w:rPr>
          <w:sz w:val="22"/>
          <w:szCs w:val="22"/>
          <w:lang w:eastAsia="uk-UA"/>
        </w:rPr>
        <w:t>E-mail: info@nszu.gov.ua, сайт: www.nszu.gov.ua, код згідно з ЄДРПОУ 42032422</w:t>
      </w:r>
    </w:p>
    <w:p>
      <w:pPr>
        <w:widowControl w:val="0"/>
        <w:jc w:val="center"/>
        <w:rPr>
          <w:noProof w:val="1"/>
          <w:sz w:val="20"/>
          <w:szCs w:val="20"/>
        </w:rPr>
      </w:pPr>
      <w:r>
        <w:rPr>
          <w:noProof w:val="1"/>
          <w:sz w:val="20"/>
          <w:szCs w:val="20"/>
        </w:rPr>
        <w:t>_______________________________________________________________________________________________</w:t>
      </w:r>
    </w:p>
    <w:p>
      <w:pPr>
        <w:spacing w:before="120" w:beforeAutospacing="0" w:afterAutospacing="0"/>
        <w:rPr>
          <w:noProof w:val="1"/>
          <w:sz w:val="20"/>
          <w:szCs w:val="20"/>
        </w:rPr>
      </w:pPr>
      <w:r>
        <w:rPr>
          <w:noProof w:val="1"/>
          <w:sz w:val="20"/>
          <w:szCs w:val="20"/>
        </w:rPr>
        <w:t>від ___________ 20__ р. № __________________</w:t>
        <w:tab/>
        <w:tab/>
        <w:tab/>
        <w:t>На № _____________ від ___________ 20__ р.</w:t>
      </w:r>
    </w:p>
    <w:p>
      <w:pPr>
        <w:pStyle w:val="P7"/>
        <w:rPr>
          <w:szCs w:val="28"/>
        </w:rPr>
      </w:pPr>
    </w:p>
    <w:p>
      <w:pPr>
        <w:ind w:left="5102" w:right="-40"/>
        <w:jc w:val="both"/>
        <w:rPr>
          <w:szCs w:val="28"/>
          <w:highlight w:val="white"/>
        </w:rPr>
      </w:pPr>
      <w:r>
        <w:rPr>
          <w:szCs w:val="28"/>
          <w:highlight w:val="white"/>
        </w:rPr>
        <w:t xml:space="preserve">Надавачам медичних послуг </w:t>
      </w:r>
    </w:p>
    <w:p>
      <w:pPr>
        <w:ind w:left="5102" w:right="-40"/>
        <w:jc w:val="both"/>
        <w:rPr>
          <w:szCs w:val="28"/>
          <w:highlight w:val="white"/>
          <w:lang w:eastAsia="uk-UA"/>
        </w:rPr>
      </w:pPr>
      <w:r>
        <w:rPr>
          <w:szCs w:val="28"/>
          <w:highlight w:val="white"/>
        </w:rPr>
        <w:t>(за списком)</w:t>
      </w:r>
    </w:p>
    <w:p>
      <w:pPr>
        <w:spacing w:before="240" w:after="240" w:beforeAutospacing="0" w:afterAutospacing="0"/>
        <w:ind w:left="5100"/>
        <w:jc w:val="both"/>
        <w:rPr>
          <w:szCs w:val="28"/>
          <w:highlight w:val="white"/>
        </w:rPr>
      </w:pPr>
      <w:r>
        <w:rPr>
          <w:szCs w:val="28"/>
          <w:highlight w:val="white"/>
        </w:rPr>
        <w:t>Структурним підрозділам з питань охорони здоров’я відповідних держадміністрацій/військових адміністрацій/цивільно-військових адміністрацій (в областях, мм. Києві та Севастополі)</w:t>
      </w:r>
    </w:p>
    <w:p>
      <w:pPr>
        <w:ind w:right="4817"/>
        <w:jc w:val="both"/>
        <w:rPr>
          <w:i w:val="1"/>
          <w:iCs w:val="1"/>
          <w:sz w:val="24"/>
        </w:rPr>
      </w:pPr>
      <w:r>
        <w:rPr>
          <w:i w:val="1"/>
          <w:iCs w:val="1"/>
          <w:sz w:val="24"/>
        </w:rPr>
        <w:t>Про здійснення заходів щодо забезпечення відповідності надавачів медичних послуг вимогам умов закупівель</w:t>
      </w:r>
    </w:p>
    <w:p>
      <w:pPr>
        <w:ind w:firstLine="579"/>
        <w:jc w:val="both"/>
        <w:rPr>
          <w:rFonts w:ascii="Segoe UI" w:hAnsi="Segoe UI"/>
          <w:color w:val="000000"/>
          <w:szCs w:val="28"/>
          <w:shd w:val="clear" w:color="auto" w:fill="FFFFFF"/>
        </w:rPr>
      </w:pPr>
    </w:p>
    <w:p>
      <w:pPr>
        <w:ind w:firstLine="579"/>
        <w:jc w:val="both"/>
        <w:rPr>
          <w:szCs w:val="28"/>
        </w:rPr>
      </w:pPr>
    </w:p>
    <w:p>
      <w:pPr>
        <w:ind w:firstLine="579"/>
        <w:jc w:val="both"/>
        <w:rPr>
          <w:szCs w:val="28"/>
        </w:rPr>
      </w:pPr>
      <w:r>
        <w:rPr>
          <w:szCs w:val="28"/>
        </w:rPr>
        <w:t xml:space="preserve">Національна служба здоров’я України інформує про зміни вимог до перевірки відповідності надавачів медичних послуг в частині наявності ліцензії на провадження господарської діяльності, пов’язаної з обігом наркотичних засобів, психотропних речовин і прекурсорів (далі – нарколіцензія), починаючи </w:t>
        <w:br w:type="textWrapping"/>
        <w:t>з 2025 року.</w:t>
      </w:r>
    </w:p>
    <w:p>
      <w:pPr>
        <w:ind w:firstLine="579"/>
        <w:jc w:val="both"/>
      </w:pPr>
      <w:r>
        <w:t>Ліцензійні умови провадження господарської діяльності з культивування рослин, включених до таблиці I переліку наркотичних засобів, психотропних речовин і прекурсорів, затвердженого Кабінетом Міністрів України, розроблення, виробництва, виготовлення, зберігання, перевезення, придбання, реалізації (відпуску), ввезення на територію України, вивезення з території України, використання, знищення наркотичних засобів, психотропних речовин і прекурсорів, включених до зазначеного переліку затверджені постановою Кабінету Міністрів України від 06.04.2016 № 282 (далі – Ліцензійні умови).</w:t>
      </w:r>
    </w:p>
    <w:p>
      <w:pPr>
        <w:ind w:firstLine="579"/>
        <w:jc w:val="both"/>
      </w:pPr>
      <w:r>
        <w:t>Відповідно до пункту 14 Ліцензійних умов ліцензіат провадить господарську діяльність з обігу наркотичних засобів, психотропних речовин і прекурсорів виключно в межах місць провадження господарської діяльності, які зазначені у відомостях про них та відомості про які внесено до Єдиного державного реєстру юридичних осіб, фізичних осіб - підприємців та громадських формувань (далі – ЄДР).</w:t>
      </w:r>
    </w:p>
    <w:p>
      <w:pPr>
        <w:ind w:firstLine="579"/>
        <w:jc w:val="both"/>
      </w:pPr>
      <w:r>
        <w:t xml:space="preserve">Відповідно до статті 1 Закону України «Про ліцензування видів господарської діяльності» місце провадження виду господарської діяльності - місце (об’єкт, приміщення, будівля, земельна ділянка та/або територія), на якому (у межах якого) суб’єкт господарювання провадить господарську діяльність або яке використовується в його провадженні (може збігатися з місцезнаходженням суб’єкта господарювання). </w:t>
      </w:r>
    </w:p>
    <w:p>
      <w:pPr>
        <w:ind w:firstLine="579"/>
        <w:jc w:val="both"/>
      </w:pPr>
      <w:r>
        <w:t>При цьому¸ пунктом 45 частини другої статті 9 Закону України «Про державну реєстрацію юридичних осіб, фізичних осіб - підприємців та громадських формувань» визначено, що в ЄДР містяться, окрім іншого, відомості про ліцензування виду господарської діяльності суб’єкта господарювання та, зокрема, відомості про місця провадження ліцензіатом виду господарської діяльності, що підлягає ліцензуванню (у тому числі дата внесення відомостей про місця провадження виду господарської діяльності).</w:t>
      </w:r>
    </w:p>
    <w:p>
      <w:pPr>
        <w:ind w:firstLine="579"/>
        <w:jc w:val="both"/>
        <w:rPr>
          <w:szCs w:val="28"/>
        </w:rPr>
      </w:pPr>
      <w:r>
        <w:rPr>
          <w:szCs w:val="28"/>
        </w:rPr>
        <w:t xml:space="preserve">Починаючи з </w:t>
      </w:r>
      <w:r>
        <w:rPr>
          <w:szCs w:val="28"/>
        </w:rPr>
        <w:t xml:space="preserve">2025 </w:t>
      </w:r>
      <w:r>
        <w:rPr>
          <w:smallCaps w:val="0"/>
          <w:szCs w:val="22"/>
          <w:cs w:val="0"/>
          <w:spacing w:val="0"/>
          <w:w w:val="100"/>
          <w:position w:val="0"/>
          <w:snapToGrid w:val="1"/>
        </w:rPr>
        <w:t>року</w:t>
      </w:r>
      <w:r>
        <w:rPr>
          <w:szCs w:val="28"/>
        </w:rPr>
        <w:t xml:space="preserve"> під час перевірки</w:t>
      </w:r>
      <w:r>
        <w:rPr>
          <w:smallCaps w:val="0"/>
          <w:szCs w:val="22"/>
          <w:cs w:val="0"/>
          <w:spacing w:val="0"/>
          <w:w w:val="100"/>
          <w:position w:val="0"/>
          <w:snapToGrid w:val="1"/>
        </w:rPr>
        <w:t xml:space="preserve"> </w:t>
      </w:r>
      <w:r>
        <w:rPr>
          <w:smallCaps w:val="0"/>
          <w:szCs w:val="22"/>
          <w:cs w:val="0"/>
          <w:spacing w:val="0"/>
          <w:w w:val="100"/>
          <w:position w:val="0"/>
          <w:snapToGrid w:val="1"/>
        </w:rPr>
        <w:t>НСЗУ</w:t>
      </w:r>
      <w:r>
        <w:rPr>
          <w:szCs w:val="28"/>
        </w:rPr>
        <w:t xml:space="preserve"> пропозицій </w:t>
      </w:r>
      <w:r>
        <w:rPr>
          <w:smallCaps w:val="0"/>
          <w:szCs w:val="22"/>
          <w:cs w:val="0"/>
          <w:spacing w:val="0"/>
          <w:w w:val="100"/>
          <w:position w:val="0"/>
          <w:snapToGrid w:val="1"/>
        </w:rPr>
        <w:t xml:space="preserve"> про укладення договору про медичне обслуговування населення за програмою ме</w:t>
      </w:r>
      <w:r>
        <w:rPr>
          <w:smallCaps w:val="0"/>
          <w:szCs w:val="22"/>
          <w:cs w:val="0"/>
          <w:spacing w:val="0"/>
          <w:w w:val="100"/>
          <w:position w:val="0"/>
          <w:snapToGrid w:val="1"/>
        </w:rPr>
        <w:t>дичних гарантій</w:t>
      </w:r>
      <w:r>
        <w:rPr>
          <w:smallCaps w:val="0"/>
          <w:szCs w:val="22"/>
          <w:cs w:val="0"/>
          <w:spacing w:val="0"/>
          <w:w w:val="100"/>
          <w:position w:val="0"/>
          <w:snapToGrid w:val="1"/>
        </w:rPr>
        <w:t xml:space="preserve"> </w:t>
      </w:r>
      <w:r>
        <w:rPr>
          <w:szCs w:val="28"/>
        </w:rPr>
        <w:t>за пакетами</w:t>
      </w:r>
      <w:r>
        <w:rPr>
          <w:smallCaps w:val="0"/>
          <w:szCs w:val="22"/>
          <w:cs w:val="0"/>
          <w:spacing w:val="0"/>
          <w:w w:val="100"/>
          <w:position w:val="0"/>
          <w:snapToGrid w:val="1"/>
        </w:rPr>
        <w:t xml:space="preserve"> медичних послуг</w:t>
      </w:r>
      <w:r>
        <w:rPr>
          <w:szCs w:val="28"/>
        </w:rPr>
        <w:t>, у вимогах до яких є обов’язкова наявність нарколіцензії, НСЗУ буде визначати відповідність умовам закупівлі для кожного місця надання послуг надавача медичних послуг, що зазначене у пропозиції. У разі відсутності місця надання послуг у нарколіцензії, буде вважатись, що таке місце надання послуг не відповідає вимогам, а отже не може бути включене до договору про медичне обслуговування населення за програмою медичних гарантій.</w:t>
      </w:r>
    </w:p>
    <w:p>
      <w:pPr>
        <w:ind w:firstLine="579"/>
        <w:jc w:val="both"/>
        <w:rPr>
          <w:szCs w:val="28"/>
          <w:highlight w:val="white"/>
        </w:rPr>
      </w:pPr>
      <w:r>
        <w:rPr>
          <w:szCs w:val="28"/>
          <w:highlight w:val="white"/>
        </w:rPr>
        <w:t>Враховуючи викладене, просимо забезпечити здійснення до кінця поточного року заходів щодо забезпечення відповідності надавачів медичних послуг вимогам умов закупівель в частині нарколіцензій.</w:t>
      </w:r>
    </w:p>
    <w:p>
      <w:pPr>
        <w:ind w:firstLine="579"/>
        <w:jc w:val="both"/>
        <w:rPr>
          <w:szCs w:val="28"/>
          <w:highlight w:val="white"/>
        </w:rPr>
      </w:pPr>
      <w:r>
        <w:rPr>
          <w:szCs w:val="28"/>
          <w:highlight w:val="white"/>
        </w:rPr>
        <w:t xml:space="preserve">Додатково, надаємо перелік пакетів медичних послуг, у яких умовами закупівлі на 2024 рік передбачена наявність нарколіцензії. </w:t>
      </w:r>
    </w:p>
    <w:p>
      <w:pPr>
        <w:ind w:firstLine="579"/>
        <w:jc w:val="both"/>
        <w:rPr>
          <w:szCs w:val="28"/>
        </w:rPr>
      </w:pPr>
      <w:r>
        <w:rPr>
          <w:szCs w:val="28"/>
          <w:highlight w:val="white"/>
        </w:rPr>
        <w:t>За додатковою інформацією щодо порушеного питання просимо звертатися до міжрегіональних департаментів НСЗУ.</w:t>
      </w:r>
    </w:p>
    <w:p>
      <w:pPr>
        <w:ind w:firstLine="579"/>
        <w:jc w:val="both"/>
        <w:rPr>
          <w:szCs w:val="28"/>
          <w:highlight w:val="white"/>
        </w:rPr>
      </w:pPr>
      <w:r>
        <w:rPr>
          <w:szCs w:val="28"/>
          <w:highlight w:val="white"/>
        </w:rPr>
        <w:t>Дякуємо за співпрацю!</w:t>
      </w:r>
    </w:p>
    <w:p>
      <w:pPr>
        <w:jc w:val="both"/>
        <w:rPr>
          <w:szCs w:val="28"/>
          <w:highlight w:val="white"/>
        </w:rPr>
      </w:pPr>
    </w:p>
    <w:p>
      <w:pPr>
        <w:jc w:val="both"/>
        <w:rPr>
          <w:szCs w:val="28"/>
          <w:highlight w:val="white"/>
        </w:rPr>
      </w:pPr>
      <w:r>
        <w:rPr>
          <w:szCs w:val="28"/>
          <w:highlight w:val="white"/>
        </w:rPr>
        <w:t>Додаток: на 1 арк. у 1 прим.</w:t>
      </w:r>
    </w:p>
    <w:p>
      <w:pPr>
        <w:ind w:firstLine="567"/>
        <w:jc w:val="both"/>
        <w:rPr>
          <w:szCs w:val="28"/>
          <w:highlight w:val="white"/>
        </w:rPr>
      </w:pPr>
    </w:p>
    <w:p>
      <w:pPr>
        <w:tabs>
          <w:tab w:val="left" w:pos="7088" w:leader="none"/>
        </w:tabs>
        <w:rPr>
          <w:szCs w:val="28"/>
        </w:rPr>
      </w:pPr>
      <w:r>
        <w:rPr>
          <w:szCs w:val="28"/>
        </w:rPr>
        <w:t>Голова</w:t>
        <w:tab/>
        <w:t>Наталія ГУСАК</w:t>
      </w: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Cs w:val="28"/>
        </w:rPr>
      </w:pPr>
    </w:p>
    <w:p>
      <w:pPr>
        <w:tabs>
          <w:tab w:val="left" w:pos="7088" w:leader="none"/>
        </w:tabs>
        <w:rPr>
          <w:sz w:val="20"/>
          <w:szCs w:val="20"/>
        </w:rPr>
      </w:pPr>
      <w:r>
        <w:rPr>
          <w:sz w:val="20"/>
          <w:szCs w:val="20"/>
        </w:rPr>
        <w:t xml:space="preserve">Юрій Габідулін  </w:t>
      </w:r>
    </w:p>
    <w:p>
      <w:pPr>
        <w:tabs>
          <w:tab w:val="left" w:pos="7088" w:leader="none"/>
        </w:tabs>
        <w:rPr>
          <w:sz w:val="20"/>
          <w:szCs w:val="20"/>
        </w:rPr>
      </w:pPr>
    </w:p>
    <w:p>
      <w:pPr>
        <w:tabs>
          <w:tab w:val="left" w:pos="7088" w:leader="none"/>
        </w:tabs>
        <w:rPr>
          <w:sz w:val="20"/>
          <w:szCs w:val="20"/>
        </w:rPr>
      </w:pPr>
    </w:p>
    <w:p>
      <w:pPr>
        <w:tabs>
          <w:tab w:val="left" w:pos="7088" w:leader="none"/>
        </w:tabs>
        <w:rPr>
          <w:sz w:val="20"/>
          <w:szCs w:val="20"/>
        </w:rPr>
      </w:pPr>
      <w:bookmarkStart w:id="0" w:name="_GoBack"/>
      <w:bookmarkEnd w:id="0"/>
    </w:p>
    <w:sectPr>
      <w:headerReference xmlns:r="http://schemas.openxmlformats.org/officeDocument/2006/relationships" w:type="first" r:id="RelHdr1"/>
      <w:headerReference xmlns:r="http://schemas.openxmlformats.org/officeDocument/2006/relationships" w:type="default" r:id="RelHdr2"/>
      <w:footnotePr/>
      <w:endnotePr/>
      <w:type w:val="nextPage"/>
      <w:pgSz w:w="11905" w:h="16837" w:code="0"/>
      <w:pgMar w:left="1701" w:right="567" w:top="1134" w:bottom="1134" w:header="284" w:footer="1134" w:gutter="0"/>
      <w:cols w:equalWidth="1" w:space="720"/>
      <w:titlePg w:val="1"/>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endnote>
  <w:endnote w:type="continuationSeparator" w:id="0">
    <w:p/>
  </w:endnote>
</w:endnotes>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footnote>
  <w:footnote w:type="continuationSeparator" w:id="0">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center"/>
    </w:pPr>
    <w:r>
      <w:rPr>
        <w:noProof w:val="1"/>
        <w:sz w:val="24"/>
        <w:lang w:eastAsia="uk-UA"/>
      </w:rPr>
      <w:drawing>
        <wp:inline xmlns:wp="http://schemas.openxmlformats.org/drawingml/2006/wordprocessingDrawing" distT="0" distB="0" distL="0" distR="0">
          <wp:extent cx="464185" cy="640715"/>
          <wp:effectExtent l="0" t="0" r="0"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dpi="0">
                  <a:blip xmlns:r="http://schemas.openxmlformats.org/officeDocument/2006/relationships" r:embed="Relimage1"/>
                  <a:srcRect/>
                  <a:stretch>
                    <a:fillRect/>
                  </a:stretch>
                </pic:blipFill>
                <pic:spPr bwMode="auto">
                  <a:xfrm>
                    <a:off x="0" y="0"/>
                    <a:ext cx="472388" cy="652051"/>
                  </a:xfrm>
                  <a:prstGeom prst="rect"/>
                  <a:noFill/>
                  <a:ln>
                    <a:noFill/>
                  </a:ln>
                </pic:spPr>
              </pic:pic>
            </a:graphicData>
          </a:graphic>
        </wp:inline>
      </w:drawing>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1"/>
      <w:jc w:val="center"/>
    </w:pPr>
    <w:r>
      <w:fldChar w:fldCharType="begin"/>
    </w:r>
    <w:r>
      <w:instrText xml:space="preserve">PAGE   \* MERGEFORMAT</w:instrText>
    </w:r>
    <w:r>
      <w:fldChar w:fldCharType="separate"/>
    </w:r>
    <w:r>
      <w:rPr>
        <w:noProof w:val="1"/>
        <w:lang w:val="ru-RU"/>
      </w:rPr>
      <w:t>#</w:t>
    </w:r>
    <w:r>
      <w:fldChar w:fldCharType="end"/>
    </w:r>
  </w:p>
  <w:p>
    <w:pPr>
      <w:pStyle w:val="P1"/>
    </w:pPr>
  </w:p>
</w:hdr>
</file>

<file path=word/numbering.xml><?xml version="1.0" encoding="utf-8"?>
<w:numbering xmlns:w="http://schemas.openxmlformats.org/wordprocessingml/2006/main">
  <w:abstractNum w:abstractNumId="0">
    <w:nsid w:val="74FA5C40"/>
    <w:multiLevelType w:val="hybridMultilevel"/>
    <w:lvl w:ilvl="0" w:tplc="038EA54A">
      <w:start w:val="1"/>
      <w:numFmt w:val="decimal"/>
      <w:suff w:val="tab"/>
      <w:lvlText w:val="%1."/>
      <w:lvlJc w:val="left"/>
      <w:pPr>
        <w:ind w:hanging="360" w:left="1068"/>
      </w:pPr>
      <w:rPr/>
    </w:lvl>
    <w:lvl w:ilvl="1" w:tplc="04220019">
      <w:start w:val="1"/>
      <w:numFmt w:val="lowerLetter"/>
      <w:suff w:val="tab"/>
      <w:lvlText w:val="%2."/>
      <w:lvlJc w:val="left"/>
      <w:pPr>
        <w:ind w:hanging="360" w:left="1788"/>
      </w:pPr>
      <w:rPr/>
    </w:lvl>
    <w:lvl w:ilvl="2" w:tplc="0422001B">
      <w:start w:val="1"/>
      <w:numFmt w:val="lowerRoman"/>
      <w:suff w:val="tab"/>
      <w:lvlText w:val="%3."/>
      <w:lvlJc w:val="right"/>
      <w:pPr>
        <w:ind w:hanging="180" w:left="2508"/>
      </w:pPr>
      <w:rPr/>
    </w:lvl>
    <w:lvl w:ilvl="3" w:tplc="0422000F">
      <w:start w:val="1"/>
      <w:numFmt w:val="decimal"/>
      <w:suff w:val="tab"/>
      <w:lvlText w:val="%4."/>
      <w:lvlJc w:val="left"/>
      <w:pPr>
        <w:ind w:hanging="360" w:left="3228"/>
      </w:pPr>
      <w:rPr/>
    </w:lvl>
    <w:lvl w:ilvl="4" w:tplc="04220019">
      <w:start w:val="1"/>
      <w:numFmt w:val="lowerLetter"/>
      <w:suff w:val="tab"/>
      <w:lvlText w:val="%5."/>
      <w:lvlJc w:val="left"/>
      <w:pPr>
        <w:ind w:hanging="360" w:left="3948"/>
      </w:pPr>
      <w:rPr/>
    </w:lvl>
    <w:lvl w:ilvl="5" w:tplc="0422001B">
      <w:start w:val="1"/>
      <w:numFmt w:val="lowerRoman"/>
      <w:suff w:val="tab"/>
      <w:lvlText w:val="%6."/>
      <w:lvlJc w:val="right"/>
      <w:pPr>
        <w:ind w:hanging="180" w:left="4668"/>
      </w:pPr>
      <w:rPr/>
    </w:lvl>
    <w:lvl w:ilvl="6" w:tplc="0422000F">
      <w:start w:val="1"/>
      <w:numFmt w:val="decimal"/>
      <w:suff w:val="tab"/>
      <w:lvlText w:val="%7."/>
      <w:lvlJc w:val="left"/>
      <w:pPr>
        <w:ind w:hanging="360" w:left="5388"/>
      </w:pPr>
      <w:rPr/>
    </w:lvl>
    <w:lvl w:ilvl="7" w:tplc="04220019">
      <w:start w:val="1"/>
      <w:numFmt w:val="lowerLetter"/>
      <w:suff w:val="tab"/>
      <w:lvlText w:val="%8."/>
      <w:lvlJc w:val="left"/>
      <w:pPr>
        <w:ind w:hanging="360" w:left="6108"/>
      </w:pPr>
      <w:rPr/>
    </w:lvl>
    <w:lvl w:ilvl="8" w:tplc="0422001B">
      <w:start w:val="1"/>
      <w:numFmt w:val="lowerRoman"/>
      <w:suff w:val="tab"/>
      <w:lvlText w:val="%9."/>
      <w:lvlJc w:val="right"/>
      <w:pPr>
        <w:ind w:hanging="180" w:left="6828"/>
      </w:pPr>
      <w:rPr/>
    </w:lvl>
  </w:abstractNum>
  <w:abstractNum w:abstractNumId="1">
    <w:nsid w:val="75267CA2"/>
    <w:multiLevelType w:val="hybridMultilevel"/>
    <w:lvl w:ilvl="0" w:tplc="282205A2">
      <w:start w:val="1"/>
      <w:numFmt w:val="decimal"/>
      <w:suff w:val="tab"/>
      <w:lvlText w:val="%1."/>
      <w:lvlJc w:val="left"/>
      <w:pPr>
        <w:ind w:hanging="360" w:left="927"/>
      </w:pPr>
      <w:rPr/>
    </w:lvl>
    <w:lvl w:ilvl="1" w:tplc="04220019">
      <w:start w:val="1"/>
      <w:numFmt w:val="lowerLetter"/>
      <w:suff w:val="tab"/>
      <w:lvlText w:val="%2."/>
      <w:lvlJc w:val="left"/>
      <w:pPr>
        <w:ind w:hanging="360" w:left="1647"/>
      </w:pPr>
      <w:rPr/>
    </w:lvl>
    <w:lvl w:ilvl="2" w:tplc="0422001B">
      <w:start w:val="1"/>
      <w:numFmt w:val="lowerRoman"/>
      <w:suff w:val="tab"/>
      <w:lvlText w:val="%3."/>
      <w:lvlJc w:val="right"/>
      <w:pPr>
        <w:ind w:hanging="180" w:left="2367"/>
      </w:pPr>
      <w:rPr/>
    </w:lvl>
    <w:lvl w:ilvl="3" w:tplc="0422000F">
      <w:start w:val="1"/>
      <w:numFmt w:val="decimal"/>
      <w:suff w:val="tab"/>
      <w:lvlText w:val="%4."/>
      <w:lvlJc w:val="left"/>
      <w:pPr>
        <w:ind w:hanging="360" w:left="3087"/>
      </w:pPr>
      <w:rPr/>
    </w:lvl>
    <w:lvl w:ilvl="4" w:tplc="04220019">
      <w:start w:val="1"/>
      <w:numFmt w:val="lowerLetter"/>
      <w:suff w:val="tab"/>
      <w:lvlText w:val="%5."/>
      <w:lvlJc w:val="left"/>
      <w:pPr>
        <w:ind w:hanging="360" w:left="3807"/>
      </w:pPr>
      <w:rPr/>
    </w:lvl>
    <w:lvl w:ilvl="5" w:tplc="0422001B">
      <w:start w:val="1"/>
      <w:numFmt w:val="lowerRoman"/>
      <w:suff w:val="tab"/>
      <w:lvlText w:val="%6."/>
      <w:lvlJc w:val="right"/>
      <w:pPr>
        <w:ind w:hanging="180" w:left="4527"/>
      </w:pPr>
      <w:rPr/>
    </w:lvl>
    <w:lvl w:ilvl="6" w:tplc="0422000F">
      <w:start w:val="1"/>
      <w:numFmt w:val="decimal"/>
      <w:suff w:val="tab"/>
      <w:lvlText w:val="%7."/>
      <w:lvlJc w:val="left"/>
      <w:pPr>
        <w:ind w:hanging="360" w:left="5247"/>
      </w:pPr>
      <w:rPr/>
    </w:lvl>
    <w:lvl w:ilvl="7" w:tplc="04220019">
      <w:start w:val="1"/>
      <w:numFmt w:val="lowerLetter"/>
      <w:suff w:val="tab"/>
      <w:lvlText w:val="%8."/>
      <w:lvlJc w:val="left"/>
      <w:pPr>
        <w:ind w:hanging="360" w:left="5967"/>
      </w:pPr>
      <w:rPr/>
    </w:lvl>
    <w:lvl w:ilvl="8" w:tplc="0422001B">
      <w:start w:val="1"/>
      <w:numFmt w:val="lowerRoman"/>
      <w:suff w:val="tab"/>
      <w:lvlText w:val="%9."/>
      <w:lvlJc w:val="right"/>
      <w:pPr>
        <w:ind w:hanging="180" w:left="6687"/>
      </w:pPr>
      <w:rPr/>
    </w:lvl>
  </w:abstractNum>
  <w:abstractNum w:abstractNumId="2">
    <w:nsid w:val="7A9A3E1A"/>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abstractNum w:abstractNumId="3">
    <w:nsid w:val="7AA309DC"/>
    <w:multiLevelType w:val="multilevel"/>
    <w:lvl w:ilvl="0">
      <w:start w:val="1"/>
      <w:numFmt w:val="bullet"/>
      <w:suff w:val="tab"/>
      <w:lvlText w:val="-"/>
      <w:lvlJc w:val="left"/>
      <w:pPr>
        <w:ind w:hanging="360" w:left="720"/>
      </w:pPr>
      <w:rPr>
        <w:u w:val="none"/>
      </w:rPr>
    </w:lvl>
    <w:lvl w:ilvl="1">
      <w:start w:val="1"/>
      <w:numFmt w:val="bullet"/>
      <w:suff w:val="tab"/>
      <w:lvlText w:val="-"/>
      <w:lvlJc w:val="left"/>
      <w:pPr>
        <w:ind w:hanging="360" w:left="1440"/>
      </w:pPr>
      <w:rPr>
        <w:u w:val="none"/>
      </w:rPr>
    </w:lvl>
    <w:lvl w:ilvl="2">
      <w:start w:val="1"/>
      <w:numFmt w:val="bullet"/>
      <w:suff w:val="tab"/>
      <w:lvlText w:val="-"/>
      <w:lvlJc w:val="left"/>
      <w:pPr>
        <w:ind w:hanging="360" w:left="2160"/>
      </w:pPr>
      <w:rPr>
        <w:u w:val="none"/>
      </w:rPr>
    </w:lvl>
    <w:lvl w:ilvl="3">
      <w:start w:val="1"/>
      <w:numFmt w:val="bullet"/>
      <w:suff w:val="tab"/>
      <w:lvlText w:val="-"/>
      <w:lvlJc w:val="left"/>
      <w:pPr>
        <w:ind w:hanging="360" w:left="2880"/>
      </w:pPr>
      <w:rPr>
        <w:u w:val="none"/>
      </w:rPr>
    </w:lvl>
    <w:lvl w:ilvl="4">
      <w:start w:val="1"/>
      <w:numFmt w:val="bullet"/>
      <w:suff w:val="tab"/>
      <w:lvlText w:val="-"/>
      <w:lvlJc w:val="left"/>
      <w:pPr>
        <w:ind w:hanging="360" w:left="3600"/>
      </w:pPr>
      <w:rPr>
        <w:u w:val="none"/>
      </w:rPr>
    </w:lvl>
    <w:lvl w:ilvl="5">
      <w:start w:val="1"/>
      <w:numFmt w:val="bullet"/>
      <w:suff w:val="tab"/>
      <w:lvlText w:val="-"/>
      <w:lvlJc w:val="left"/>
      <w:pPr>
        <w:ind w:hanging="360" w:left="4320"/>
      </w:pPr>
      <w:rPr>
        <w:u w:val="none"/>
      </w:rPr>
    </w:lvl>
    <w:lvl w:ilvl="6">
      <w:start w:val="1"/>
      <w:numFmt w:val="bullet"/>
      <w:suff w:val="tab"/>
      <w:lvlText w:val="-"/>
      <w:lvlJc w:val="left"/>
      <w:pPr>
        <w:ind w:hanging="360" w:left="5040"/>
      </w:pPr>
      <w:rPr>
        <w:u w:val="none"/>
      </w:rPr>
    </w:lvl>
    <w:lvl w:ilvl="7">
      <w:start w:val="1"/>
      <w:numFmt w:val="bullet"/>
      <w:suff w:val="tab"/>
      <w:lvlText w:val="-"/>
      <w:lvlJc w:val="left"/>
      <w:pPr>
        <w:ind w:hanging="360" w:left="5760"/>
      </w:pPr>
      <w:rPr>
        <w:u w:val="none"/>
      </w:rPr>
    </w:lvl>
    <w:lvl w:ilvl="8">
      <w:start w:val="1"/>
      <w:numFmt w:val="bullet"/>
      <w:suff w:val="tab"/>
      <w:lvlText w:val="-"/>
      <w:lvlJc w:val="left"/>
      <w:pPr>
        <w:ind w:hanging="360" w:left="6480"/>
      </w:pPr>
      <w:rPr>
        <w:u w:val="none"/>
      </w:rPr>
    </w:lvl>
  </w:abstractNum>
  <w:num w:numId="1">
    <w:abstractNumId w:val="1"/>
  </w:num>
  <w:num w:numId="2">
    <w:abstractNumId w:val="0"/>
  </w:num>
  <w:num w:numId="3">
    <w:abstractNumId w:val="3"/>
  </w:num>
  <w:num w:numId="4">
    <w:abstractNumId w:val="2"/>
  </w:num>
</w:numbering>
</file>

<file path=word/settings.xml><?xml version="1.0" encoding="utf-8"?>
<w:settings xmlns:w="http://schemas.openxmlformats.org/wordprocessingml/2006/main">
  <w:displayBackgroundShape w:val="0"/>
  <w:defaultTabStop w:val="708"/>
  <w:autoHyphenation w:val="0"/>
  <w:hyphenationZone w:val="425"/>
  <w:evenAndOddHeaders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sz w:val="28"/>
        <w:szCs w:val="22"/>
        <w:lang w:val="uk-UA" w:bidi="ar-SA" w:eastAsia="en-US"/>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qFormat/>
    <w:pPr/>
    <w:rPr>
      <w:szCs w:val="24"/>
      <w:lang w:eastAsia="ru-RU"/>
    </w:rPr>
  </w:style>
  <w:style w:type="paragraph" w:styleId="P1">
    <w:name w:val="header"/>
    <w:basedOn w:val="P0"/>
    <w:link w:val="C4"/>
    <w:pPr>
      <w:tabs>
        <w:tab w:val="center" w:pos="4819" w:leader="none"/>
        <w:tab w:val="right" w:pos="9639" w:leader="none"/>
      </w:tabs>
    </w:pPr>
    <w:rPr/>
  </w:style>
  <w:style w:type="paragraph" w:styleId="P2">
    <w:name w:val="footer"/>
    <w:basedOn w:val="P0"/>
    <w:link w:val="C5"/>
    <w:pPr>
      <w:tabs>
        <w:tab w:val="center" w:pos="4819" w:leader="none"/>
        <w:tab w:val="right" w:pos="9639" w:leader="none"/>
      </w:tabs>
    </w:pPr>
    <w:rPr/>
  </w:style>
  <w:style w:type="paragraph" w:styleId="P3">
    <w:name w:val="Balloon Text"/>
    <w:basedOn w:val="P0"/>
    <w:link w:val="C6"/>
    <w:semiHidden/>
    <w:pPr/>
    <w:rPr>
      <w:rFonts w:ascii="Segoe UI" w:hAnsi="Segoe UI"/>
      <w:sz w:val="18"/>
      <w:szCs w:val="18"/>
    </w:rPr>
  </w:style>
  <w:style w:type="paragraph" w:styleId="P4">
    <w:name w:val="Normal (Web)"/>
    <w:basedOn w:val="P0"/>
    <w:pPr>
      <w:spacing w:before="100" w:after="100" w:beforeAutospacing="1" w:afterAutospacing="1"/>
    </w:pPr>
    <w:rPr>
      <w:sz w:val="24"/>
      <w:lang w:eastAsia="uk-UA"/>
    </w:rPr>
  </w:style>
  <w:style w:type="paragraph" w:styleId="P5">
    <w:name w:val="Default"/>
    <w:pPr/>
    <w:rPr>
      <w:color w:val="000000"/>
      <w:sz w:val="24"/>
      <w:szCs w:val="24"/>
    </w:rPr>
  </w:style>
  <w:style w:type="paragraph" w:styleId="P6">
    <w:name w:val="List Paragraph"/>
    <w:basedOn w:val="P0"/>
    <w:qFormat/>
    <w:pPr>
      <w:ind w:left="720"/>
      <w:contextualSpacing w:val="1"/>
    </w:pPr>
    <w:rPr/>
  </w:style>
  <w:style w:type="paragraph" w:styleId="P7">
    <w:name w:val="No Spacing"/>
    <w:qFormat/>
    <w:pPr/>
    <w:rPr>
      <w:szCs w:val="24"/>
      <w:lang w:eastAsia="ru-RU"/>
    </w:rPr>
  </w:style>
  <w:style w:type="paragraph" w:styleId="P8">
    <w:name w:val="annotation text"/>
    <w:basedOn w:val="P0"/>
    <w:link w:val="C9"/>
    <w:semiHidden/>
    <w:pPr/>
    <w:rPr>
      <w:sz w:val="20"/>
      <w:szCs w:val="20"/>
    </w:rPr>
  </w:style>
  <w:style w:type="paragraph" w:styleId="P9">
    <w:name w:val="annotation subject"/>
    <w:basedOn w:val="P8"/>
    <w:next w:val="P8"/>
    <w:link w:val="C10"/>
    <w:semiHidden/>
    <w:pPr/>
    <w:rPr>
      <w:b w:val="1"/>
      <w:bCs w:val="1"/>
    </w:rPr>
  </w:style>
  <w:style w:type="paragraph" w:styleId="P10">
    <w:name w:val="footnote text"/>
    <w:link w:val="C12"/>
    <w:semiHidden/>
    <w:pPr/>
    <w:rPr>
      <w:sz w:val="20"/>
      <w:szCs w:val="20"/>
    </w:rPr>
  </w:style>
  <w:style w:type="paragraph" w:styleId="P11">
    <w:name w:val="endnote text"/>
    <w:link w:val="C14"/>
    <w:semiHidden/>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line number"/>
    <w:basedOn w:val="C0"/>
    <w:semiHidden/>
    <w:rPr/>
  </w:style>
  <w:style w:type="character" w:styleId="C4">
    <w:name w:val="Верхній колонтитул Знак"/>
    <w:basedOn w:val="C0"/>
    <w:link w:val="P1"/>
    <w:rPr>
      <w:szCs w:val="24"/>
      <w:lang w:eastAsia="ru-RU"/>
    </w:rPr>
  </w:style>
  <w:style w:type="character" w:styleId="C5">
    <w:name w:val="Нижній колонтитул Знак"/>
    <w:basedOn w:val="C0"/>
    <w:link w:val="P2"/>
    <w:rPr>
      <w:szCs w:val="24"/>
      <w:lang w:eastAsia="ru-RU"/>
    </w:rPr>
  </w:style>
  <w:style w:type="character" w:styleId="C6">
    <w:name w:val="Текст у виносці Знак"/>
    <w:basedOn w:val="C0"/>
    <w:link w:val="P3"/>
    <w:semiHidden/>
    <w:rPr>
      <w:rFonts w:ascii="Segoe UI" w:hAnsi="Segoe UI"/>
      <w:sz w:val="18"/>
      <w:szCs w:val="18"/>
      <w:lang w:eastAsia="ru-RU"/>
    </w:rPr>
  </w:style>
  <w:style w:type="character" w:styleId="C7">
    <w:name w:val="Strong"/>
    <w:basedOn w:val="C0"/>
    <w:qFormat/>
    <w:rPr>
      <w:b w:val="1"/>
      <w:bCs w:val="1"/>
    </w:rPr>
  </w:style>
  <w:style w:type="character" w:styleId="C8">
    <w:name w:val="annotation reference"/>
    <w:basedOn w:val="C0"/>
    <w:semiHidden/>
    <w:rPr>
      <w:sz w:val="16"/>
      <w:szCs w:val="16"/>
    </w:rPr>
  </w:style>
  <w:style w:type="character" w:styleId="C9">
    <w:name w:val="Текст примітки Знак"/>
    <w:basedOn w:val="C0"/>
    <w:link w:val="P8"/>
    <w:semiHidden/>
    <w:rPr>
      <w:sz w:val="20"/>
      <w:szCs w:val="20"/>
      <w:lang w:eastAsia="ru-RU"/>
    </w:rPr>
  </w:style>
  <w:style w:type="character" w:styleId="C10">
    <w:name w:val="Тема примітки Знак"/>
    <w:basedOn w:val="C9"/>
    <w:link w:val="P9"/>
    <w:semiHidden/>
    <w:rPr>
      <w:b w:val="1"/>
      <w:bCs w:val="1"/>
      <w:sz w:val="20"/>
      <w:szCs w:val="20"/>
      <w:lang w:eastAsia="ru-RU"/>
    </w:rPr>
  </w:style>
  <w:style w:type="character" w:styleId="C11">
    <w:name w:val="footnote reference"/>
    <w:semiHidden/>
    <w:rPr>
      <w:vertAlign w:val="superscript"/>
    </w:rPr>
  </w:style>
  <w:style w:type="character" w:styleId="C12">
    <w:name w:val="Текст виноски Знак"/>
    <w:link w:val="P10"/>
    <w:semiHidden/>
    <w:rPr>
      <w:sz w:val="20"/>
      <w:szCs w:val="20"/>
    </w:rPr>
  </w:style>
  <w:style w:type="character" w:styleId="C13">
    <w:name w:val="endnote reference"/>
    <w:semiHidden/>
    <w:rPr>
      <w:vertAlign w:val="superscript"/>
    </w:rPr>
  </w:style>
  <w:style w:type="character" w:styleId="C14">
    <w:name w:val="Текст кінцевої виноски Знак"/>
    <w:link w:val="P11"/>
    <w:semiHidden/>
    <w:rPr>
      <w:sz w:val="20"/>
      <w:szCs w:val="20"/>
    </w:rPr>
  </w:style>
  <w:style w:type="character" w:styleId="C15">
    <w:name w:val="Footnote Text Char"/>
    <w:semiHidden/>
    <w:rPr>
      <w:sz w:val="20"/>
      <w:szCs w:val="20"/>
    </w:rPr>
  </w:style>
  <w:style w:type="character" w:styleId="C16">
    <w:name w:val="Endnote Text Char"/>
    <w:semiHidden/>
    <w:rPr>
      <w:sz w:val="20"/>
      <w:szCs w:val="20"/>
    </w:rPr>
  </w:style>
  <w:style w:type="character" w:styleId="C17">
    <w:name w:val="rvts9"/>
    <w:basedOn w:val="C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Pr>
    <w:trPr/>
    <w:tcPr/>
  </w:style>
  <w:style w:type="table" w:styleId="T2">
    <w:name w:val="Table Grid"/>
    <w:basedOn w:val="T0"/>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Hdr2" Type="http://schemas.openxmlformats.org/officeDocument/2006/relationships/header" Target="header2.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png" /></Relationships>
</file>

<file path=word/_rels/header2.xml.rels>&#65279;<?xml version="1.0" encoding="utf-8"?><Relationships xmlns="http://schemas.openxmlformats.org/package/2006/relationships" />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4b1de-a9c3-49bf-8bc0-e5b85374bcab}">
  <ds:schemaRefs>
    <ds:schemaRef ds:uri="http://schemas.microsoft.com/vsto/samples"/>
  </ds:schemaRefs>
</ds:datastoreItem>
</file>

<file path=docProps/app.xml><?xml version="1.0" encoding="utf-8"?>
<Properties xmlns="http://schemas.openxmlformats.org/officeDocument/2006/extended-properties">
  <Application>DevExpress Office File API/21.1.3.0</Application>
  <AppVersion>21.1</AppVersion>
  <Company>NHSU</Company>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user</dc:creator>
  <dcterms:created xsi:type="dcterms:W3CDTF">2024-03-19T12:26:00Z</dcterms:created>
  <cp:lastModifiedBy>pool-iis</cp:lastModifiedBy>
  <cp:lastPrinted>2019-12-27T15:41:00Z</cp:lastPrinted>
  <dcterms:modified xsi:type="dcterms:W3CDTF">2024-04-01T13:29:01Z</dcterms:modified>
  <cp:revision>10</cp:revision>
</cp:coreProperties>
</file>