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bookmarkStart w:id="151" w:name="gel-cahier-des-charges-global-du-projet"/>
    <w:p>
      <w:pPr>
        <w:pStyle w:val="Heading1"/>
      </w:pPr>
      <w:r>
        <w:t xml:space="preserve">GEL — CAHIER DES CHARGES GLOBAL DU PROJET</w:t>
      </w:r>
    </w:p>
    <w:p>
      <w:pPr>
        <w:pStyle w:val="FirstParagraph"/>
      </w:pPr>
      <w:r>
        <w:rPr>
          <w:iCs/>
          <w:i/>
        </w:rPr>
        <w:t xml:space="preserve">Écosystème numérique de gestion externalisée, comptable, fiscale et intelligente des entreprises — Espace OHADA, priorité Bénin</w:t>
      </w:r>
    </w:p>
    <w:p>
      <w:pPr>
        <w:pStyle w:val="BodyText"/>
      </w:pPr>
      <w:r>
        <w:rPr>
          <w:bCs/>
          <w:b/>
        </w:rPr>
        <w:t xml:space="preserve">Version consolidée — Août 2026</w:t>
      </w:r>
      <w:r>
        <w:t xml:space="preserve"> </w:t>
      </w:r>
      <w:r>
        <w:rPr>
          <w:bCs/>
          <w:b/>
        </w:rPr>
        <w:t xml:space="preserve">Rédigé par :</w:t>
      </w:r>
      <w:r>
        <w:t xml:space="preserve"> </w:t>
      </w:r>
      <w:r>
        <w:t xml:space="preserve">Lauclair Hazaël Fiogbe, Consultant en Comptabilité, Fiscalité et Finance d’Entreprise (fusion et structuration comptable/fiscale du projet)</w:t>
      </w:r>
      <w:r>
        <w:t xml:space="preserve"> </w:t>
      </w:r>
      <w:r>
        <w:rPr>
          <w:bCs/>
          <w:b/>
        </w:rPr>
        <w:t xml:space="preserve">Statut :</w:t>
      </w:r>
      <w:r>
        <w:t xml:space="preserve"> </w:t>
      </w:r>
      <w:r>
        <w:t xml:space="preserve">Document de référence pour le développement — fusionne l’ensemble des cahiers des charges, notes de travail et maquettes transmis à ce jour.</w:t>
      </w:r>
    </w:p>
    <w:p>
      <w:r>
        <w:pict>
          <v:rect style="width:0;height:1.5pt" o:hralign="center" o:hrstd="t" o:hr="t"/>
        </w:pict>
      </w:r>
    </w:p>
    <w:bookmarkStart w:id="20" w:name="Xe2c408a677073d3a55f2c673403c47bf49b1ff5"/>
    <w:p>
      <w:pPr>
        <w:pStyle w:val="Heading2"/>
      </w:pPr>
      <w:r>
        <w:t xml:space="preserve">Note méthodologique — comment ce document a été construit</w:t>
      </w:r>
    </w:p>
    <w:p>
      <w:pPr>
        <w:pStyle w:val="FirstParagraph"/>
      </w:pPr>
      <w:r>
        <w:t xml:space="preserve">Ce cahier des charges résulte de la fusion réelle (et non de la juxtaposition) des documents suivants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Contenu apporté</w:t>
            </w:r>
          </w:p>
        </w:tc>
      </w:tr>
      <w:tr>
        <w:tc>
          <w:tcPr/>
          <w:p>
            <w:pPr>
              <w:pStyle w:val="Compact"/>
              <w:jc w:val="left"/>
            </w:pPr>
            <w:r>
              <w:rPr>
                <w:bCs/>
                <w:b/>
              </w:rPr>
              <w:t xml:space="preserve">« GEL SABINET » — Cahier des charges fonctionnel et technique</w:t>
            </w:r>
            <w:r>
              <w:t xml:space="preserve"> </w:t>
            </w:r>
            <w:r>
              <w:t xml:space="preserve">(v. consolidée août 2026)</w:t>
            </w:r>
          </w:p>
        </w:tc>
        <w:tc>
          <w:tcPr/>
          <w:p>
            <w:pPr>
              <w:pStyle w:val="Compact"/>
              <w:jc w:val="left"/>
            </w:pPr>
            <w:r>
              <w:t xml:space="preserve">Modèle des 3 usages (entreprise avec personnel propre / cabinet virtuel / indépendant), rôles Secrétariat/Accountant, Score IA, stack technique NestJS/Next.js/PostgreSQL, référentiel fiscal béninois CGI 2026</w:t>
            </w:r>
          </w:p>
        </w:tc>
      </w:tr>
      <w:tr>
        <w:tc>
          <w:tcPr/>
          <w:p>
            <w:pPr>
              <w:pStyle w:val="Compact"/>
              <w:jc w:val="left"/>
            </w:pPr>
            <w:r>
              <w:rPr>
                <w:bCs/>
                <w:b/>
              </w:rPr>
              <w:t xml:space="preserve">« GEL » — Cahier des charges global de la plateforme</w:t>
            </w:r>
          </w:p>
        </w:tc>
        <w:tc>
          <w:tcPr/>
          <w:p>
            <w:pPr>
              <w:pStyle w:val="Compact"/>
              <w:jc w:val="left"/>
            </w:pPr>
            <w:r>
              <w:t xml:space="preserve">Vision stratégique, 7 pôles d’activité, Méthode GEL® en 10 piliers, modèle de données Secrétariat détaillé, mode Institution (cas GEC/UAC), Marketplace des professionnels, outils propriétaires (Score de Conformité GEL®, Passeport Entreprise GEL®, Tableau de Bord GEL®)</w:t>
            </w:r>
          </w:p>
        </w:tc>
      </w:tr>
      <w:tr>
        <w:tc>
          <w:tcPr/>
          <w:p>
            <w:pPr>
              <w:pStyle w:val="Compact"/>
              <w:jc w:val="left"/>
            </w:pPr>
            <w:r>
              <w:rPr>
                <w:bCs/>
                <w:b/>
              </w:rPr>
              <w:t xml:space="preserve">Captures d’écran du prototype « GEL Accountant »</w:t>
            </w:r>
            <w:r>
              <w:t xml:space="preserve"> </w:t>
            </w:r>
            <w:r>
              <w:t xml:space="preserve">(24 images, module GEL.rar)</w:t>
            </w:r>
          </w:p>
        </w:tc>
        <w:tc>
          <w:tcPr/>
          <w:p>
            <w:pPr>
              <w:pStyle w:val="Compact"/>
              <w:jc w:val="left"/>
            </w:pPr>
            <w:r>
              <w:t xml:space="preserve">Confirmation d’une interface déjà construite sur le modèle</w:t>
            </w:r>
            <w:r>
              <w:t xml:space="preserve"> </w:t>
            </w:r>
            <w:r>
              <w:rPr>
                <w:bCs/>
                <w:b/>
              </w:rPr>
              <w:t xml:space="preserve">Intuit QuickBooks Online</w:t>
            </w:r>
            <w:r>
              <w:t xml:space="preserve"> </w:t>
            </w:r>
            <w:r>
              <w:t xml:space="preserve">(traduit en français) : menus Clients/Fournisseurs/Équipe, écrans Facture, Note de crédit, Dépense, Facture fournisseur, Déclaration fiscale/sociale, Entrée de journal (OD) — TVA 18 % déjà câblée dans les formulaires</w:t>
            </w:r>
          </w:p>
        </w:tc>
      </w:tr>
      <w:tr>
        <w:tc>
          <w:tcPr/>
          <w:p>
            <w:pPr>
              <w:pStyle w:val="Compact"/>
              <w:jc w:val="left"/>
            </w:pPr>
            <w:r>
              <w:rPr>
                <w:bCs/>
                <w:b/>
              </w:rPr>
              <w:t xml:space="preserve">AUDCIF — Acte uniforme relatif au droit comptable et à l’information financière</w:t>
            </w:r>
            <w:r>
              <w:t xml:space="preserve"> </w:t>
            </w:r>
            <w:r>
              <w:t xml:space="preserve">(Journal officiel OHADA, 15/02/2017)</w:t>
            </w:r>
          </w:p>
        </w:tc>
        <w:tc>
          <w:tcPr/>
          <w:p>
            <w:pPr>
              <w:pStyle w:val="Compact"/>
              <w:jc w:val="left"/>
            </w:pPr>
            <w:r>
              <w:t xml:space="preserve">Base légale du SYSCOHADA révisé — structure des 9 classes de comptes utilisée comme socle du plan comptable</w:t>
            </w:r>
          </w:p>
        </w:tc>
      </w:tr>
      <w:tr>
        <w:tc>
          <w:tcPr/>
          <w:p>
            <w:pPr>
              <w:pStyle w:val="Compact"/>
              <w:jc w:val="left"/>
            </w:pPr>
            <w:r>
              <w:rPr>
                <w:bCs/>
                <w:b/>
              </w:rPr>
              <w:t xml:space="preserve">plan-comptable-ohada.com</w:t>
            </w:r>
            <w:r>
              <w:t xml:space="preserve"> </w:t>
            </w:r>
            <w:r>
              <w:t xml:space="preserve">(fetch web, à la demande de l’utilisateur)</w:t>
            </w:r>
          </w:p>
        </w:tc>
        <w:tc>
          <w:tcPr/>
          <w:p>
            <w:pPr>
              <w:pStyle w:val="Compact"/>
              <w:jc w:val="left"/>
            </w:pPr>
            <w:r>
              <w:t xml:space="preserve">Nomenclature complète des classes 1 à 9 et de leurs comptes/sous-comptes (structure utilisée en Partie 10)</w:t>
            </w:r>
          </w:p>
        </w:tc>
      </w:tr>
      <w:tr>
        <w:tc>
          <w:tcPr/>
          <w:p>
            <w:pPr>
              <w:pStyle w:val="Compact"/>
              <w:jc w:val="left"/>
            </w:pPr>
            <w:r>
              <w:rPr>
                <w:bCs/>
                <w:b/>
              </w:rPr>
              <w:t xml:space="preserve">Recherches web complémentaires</w:t>
            </w:r>
            <w:r>
              <w:t xml:space="preserve"> </w:t>
            </w:r>
            <w:r>
              <w:t xml:space="preserve">(loi de finances Bénin 2026, réformes DGI 2026)</w:t>
            </w:r>
          </w:p>
        </w:tc>
        <w:tc>
          <w:tcPr/>
          <w:p>
            <w:pPr>
              <w:pStyle w:val="Compact"/>
              <w:jc w:val="left"/>
            </w:pPr>
            <w:r>
              <w:t xml:space="preserve">Mise à jour des taux et réformes fiscales béninoises 2026 (voir avertissement en Partie 12)</w:t>
            </w:r>
          </w:p>
        </w:tc>
      </w:tr>
      <w:tr>
        <w:tc>
          <w:tcPr/>
          <w:p>
            <w:pPr>
              <w:pStyle w:val="Compact"/>
              <w:jc w:val="left"/>
            </w:pPr>
            <w:r>
              <w:rPr>
                <w:bCs/>
                <w:b/>
              </w:rPr>
              <w:t xml:space="preserve">Prompt maître du comptable-projet</w:t>
            </w:r>
          </w:p>
        </w:tc>
        <w:tc>
          <w:tcPr/>
          <w:p>
            <w:pPr>
              <w:pStyle w:val="Compact"/>
              <w:jc w:val="left"/>
            </w:pPr>
            <w:r>
              <w:t xml:space="preserve">Cahier des charges méthodologique complet (45 sections attendues, règles de fusion, format des fiches fonctionnelles, priorisation P0–P3) — structure directrice de ce document</w:t>
            </w:r>
          </w:p>
        </w:tc>
      </w:tr>
    </w:tbl>
    <w:p>
      <w:pPr>
        <w:pStyle w:val="BodyText"/>
      </w:pPr>
      <w:r>
        <w:rPr>
          <w:bCs/>
          <w:b/>
        </w:rPr>
        <w:t xml:space="preserve">Cartographie des redondances et arbitrages effectués</w:t>
      </w:r>
      <w:r>
        <w:t xml:space="preserve"> </w:t>
      </w:r>
      <w:r>
        <w:t xml:space="preserve">(Étapes 1 à 4 du prompt maître) :</w:t>
      </w:r>
    </w:p>
    <w:p>
      <w:pPr>
        <w:numPr>
          <w:ilvl w:val="0"/>
          <w:numId w:val="1001"/>
        </w:numPr>
        <w:pStyle w:val="Compact"/>
      </w:pPr>
      <w:r>
        <w:t xml:space="preserve">Les deux cahiers des charges décrivaient</w:t>
      </w:r>
      <w:r>
        <w:t xml:space="preserve"> </w:t>
      </w:r>
      <w:r>
        <w:rPr>
          <w:bCs/>
          <w:b/>
        </w:rPr>
        <w:t xml:space="preserve">le même module Secrétariat</w:t>
      </w:r>
      <w:r>
        <w:t xml:space="preserve"> </w:t>
      </w:r>
      <w:r>
        <w:t xml:space="preserve">avec des noms différents (« GEL-SECRÉTARIAT » vs « Secrétariat virtuel / Bureau du secrétaire ») →</w:t>
      </w:r>
      <w:r>
        <w:t xml:space="preserve"> </w:t>
      </w:r>
      <w:r>
        <w:rPr>
          <w:bCs/>
          <w:b/>
        </w:rPr>
        <w:t xml:space="preserve">fusionnés en un seul module</w:t>
      </w:r>
      <w:r>
        <w:t xml:space="preserve">, en conservant le detail le plus complet des deux (workflows courrier à 6 étapes + mode Institution/GEC).</w:t>
      </w:r>
    </w:p>
    <w:p>
      <w:pPr>
        <w:numPr>
          <w:ilvl w:val="0"/>
          <w:numId w:val="1001"/>
        </w:numPr>
        <w:pStyle w:val="Compact"/>
      </w:pPr>
      <w:r>
        <w:t xml:space="preserve">Le document « GEL SABINET » utilisait le terme</w:t>
      </w:r>
      <w:r>
        <w:t xml:space="preserve"> </w:t>
      </w:r>
      <w:r>
        <w:rPr>
          <w:bCs/>
          <w:b/>
        </w:rPr>
        <w:t xml:space="preserve">« IRPP »</w:t>
      </w:r>
      <w:r>
        <w:t xml:space="preserve"> </w:t>
      </w:r>
      <w:r>
        <w:t xml:space="preserve">dans une version antérieure des échanges avec le développeur ; il est</w:t>
      </w:r>
      <w:r>
        <w:t xml:space="preserve"> </w:t>
      </w:r>
      <w:r>
        <w:rPr>
          <w:bCs/>
          <w:b/>
        </w:rPr>
        <w:t xml:space="preserve">explicitement corrigé</w:t>
      </w:r>
      <w:r>
        <w:t xml:space="preserve"> </w:t>
      </w:r>
      <w:r>
        <w:t xml:space="preserve">dans le document lui-même en</w:t>
      </w:r>
      <w:r>
        <w:t xml:space="preserve"> </w:t>
      </w:r>
      <w:r>
        <w:rPr>
          <w:bCs/>
          <w:b/>
        </w:rPr>
        <w:t xml:space="preserve">ITS (Impôt sur les Traitements et Salaires)</w:t>
      </w:r>
      <w:r>
        <w:t xml:space="preserve">, qui est le terme exact du CGI béninois. Ce document reprend cette correction et l’applique partout.</w:t>
      </w:r>
    </w:p>
    <w:p>
      <w:pPr>
        <w:numPr>
          <w:ilvl w:val="0"/>
          <w:numId w:val="1001"/>
        </w:numPr>
        <w:pStyle w:val="Compact"/>
      </w:pPr>
      <w:r>
        <w:t xml:space="preserve">Les deux documents proposaient des</w:t>
      </w:r>
      <w:r>
        <w:t xml:space="preserve"> </w:t>
      </w:r>
      <w:r>
        <w:rPr>
          <w:bCs/>
          <w:b/>
        </w:rPr>
        <w:t xml:space="preserve">modèles économiques différents</w:t>
      </w:r>
      <w:r>
        <w:t xml:space="preserve"> </w:t>
      </w:r>
      <w:r>
        <w:t xml:space="preserve">(« 3 modèles d’usage » dans le premier vs « profils utilisateurs collaboratifs » dans le second) →</w:t>
      </w:r>
      <w:r>
        <w:t xml:space="preserve"> </w:t>
      </w:r>
      <w:r>
        <w:rPr>
          <w:bCs/>
          <w:b/>
        </w:rPr>
        <w:t xml:space="preserve">fusionnés</w:t>
      </w:r>
      <w:r>
        <w:t xml:space="preserve"> </w:t>
      </w:r>
      <w:r>
        <w:t xml:space="preserve">: les 3 modèles d’usage (Section 15) structurent la</w:t>
      </w:r>
      <w:r>
        <w:t xml:space="preserve"> </w:t>
      </w:r>
      <w:r>
        <w:rPr>
          <w:bCs/>
          <w:b/>
        </w:rPr>
        <w:t xml:space="preserve">facturation et le rattachement</w:t>
      </w:r>
      <w:r>
        <w:t xml:space="preserve">, les profils utilisateurs (Section 8) structurent les</w:t>
      </w:r>
      <w:r>
        <w:t xml:space="preserve"> </w:t>
      </w:r>
      <w:r>
        <w:rPr>
          <w:bCs/>
          <w:b/>
        </w:rPr>
        <w:t xml:space="preserve">droits d’accès</w:t>
      </w:r>
      <w:r>
        <w:t xml:space="preserve"> </w:t>
      </w:r>
      <w:r>
        <w:t xml:space="preserve">— les deux logiques sont complémentaires, pas contradictoires.</w:t>
      </w:r>
    </w:p>
    <w:p>
      <w:pPr>
        <w:numPr>
          <w:ilvl w:val="0"/>
          <w:numId w:val="1001"/>
        </w:numPr>
        <w:pStyle w:val="Compact"/>
      </w:pPr>
      <w:r>
        <w:t xml:space="preserve">Le premier document proposait un</w:t>
      </w:r>
      <w:r>
        <w:t xml:space="preserve"> </w:t>
      </w:r>
      <w:r>
        <w:rPr>
          <w:bCs/>
          <w:b/>
        </w:rPr>
        <w:t xml:space="preserve">plan comptable SYSCOHADA générique</w:t>
      </w:r>
      <w:r>
        <w:t xml:space="preserve"> </w:t>
      </w:r>
      <w:r>
        <w:t xml:space="preserve">sans détail des classes ; le second listait des entités comptables (</w:t>
      </w:r>
      <w:r>
        <w:rPr>
          <w:rStyle w:val="VerbatimChar"/>
        </w:rPr>
        <w:t xml:space="preserve">PieceComptable</w:t>
      </w:r>
      <w:r>
        <w:t xml:space="preserve">,</w:t>
      </w:r>
      <w:r>
        <w:t xml:space="preserve"> </w:t>
      </w:r>
      <w:r>
        <w:rPr>
          <w:rStyle w:val="VerbatimChar"/>
        </w:rPr>
        <w:t xml:space="preserve">Declaration</w:t>
      </w:r>
      <w:r>
        <w:t xml:space="preserve">,</w:t>
      </w:r>
      <w:r>
        <w:t xml:space="preserve"> </w:t>
      </w:r>
      <w:r>
        <w:rPr>
          <w:rStyle w:val="VerbatimChar"/>
        </w:rPr>
        <w:t xml:space="preserve">EtatFinancier</w:t>
      </w:r>
      <w:r>
        <w:t xml:space="preserve">) sans les relier au plan comptable →</w:t>
      </w:r>
      <w:r>
        <w:t xml:space="preserve"> </w:t>
      </w:r>
      <w:r>
        <w:rPr>
          <w:bCs/>
          <w:b/>
        </w:rPr>
        <w:t xml:space="preserve">fusionnés et complétés</w:t>
      </w:r>
      <w:r>
        <w:t xml:space="preserve"> </w:t>
      </w:r>
      <w:r>
        <w:t xml:space="preserve">avec la nomenclature officielle des 9 classes (Partie 10), absente des deux documents source.</w:t>
      </w:r>
    </w:p>
    <w:p>
      <w:pPr>
        <w:numPr>
          <w:ilvl w:val="0"/>
          <w:numId w:val="1001"/>
        </w:numPr>
        <w:pStyle w:val="Compact"/>
      </w:pPr>
      <w:r>
        <w:rPr>
          <w:bCs/>
          <w:b/>
        </w:rPr>
        <w:t xml:space="preserve">Aucun des deux documents ne proposait de moteur fiscal multi-pays</w:t>
      </w:r>
      <w:r>
        <w:t xml:space="preserve"> </w:t>
      </w:r>
      <w:r>
        <w:t xml:space="preserve">ni de</w:t>
      </w:r>
      <w:r>
        <w:t xml:space="preserve"> </w:t>
      </w:r>
      <w:r>
        <w:rPr>
          <w:bCs/>
          <w:b/>
        </w:rPr>
        <w:t xml:space="preserve">moteur d’IA comptable/fiscale détaillé</w:t>
      </w:r>
      <w:r>
        <w:t xml:space="preserve"> </w:t>
      </w:r>
      <w:r>
        <w:t xml:space="preserve">: ce sont les apports structurants de ce cahier des charges (Parties 11 à 13), conformément à la mission du comptable-projet. Ils sont marqués</w:t>
      </w:r>
      <w:r>
        <w:t xml:space="preserve"> </w:t>
      </w:r>
      <w:r>
        <w:rPr>
          <w:bCs/>
          <w:b/>
        </w:rPr>
        <w:t xml:space="preserve">« Proposition complémentaire »</w:t>
      </w:r>
      <w:r>
        <w:t xml:space="preserve"> </w:t>
      </w:r>
      <w:r>
        <w:t xml:space="preserve">lorsqu’ils ne proviennent d’aucun document source.</w:t>
      </w:r>
    </w:p>
    <w:p>
      <w:pPr>
        <w:numPr>
          <w:ilvl w:val="0"/>
          <w:numId w:val="1001"/>
        </w:numPr>
        <w:pStyle w:val="Compact"/>
      </w:pPr>
      <w:r>
        <w:t xml:space="preserve">Le nom commercial du projet varie selon les documents (</w:t>
      </w:r>
      <w:r>
        <w:rPr>
          <w:bCs/>
          <w:b/>
        </w:rPr>
        <w:t xml:space="preserve">GEL</w:t>
      </w:r>
      <w:r>
        <w:t xml:space="preserve">,</w:t>
      </w:r>
      <w:r>
        <w:t xml:space="preserve"> </w:t>
      </w:r>
      <w:r>
        <w:rPr>
          <w:bCs/>
          <w:b/>
        </w:rPr>
        <w:t xml:space="preserve">GEL SABINET</w:t>
      </w:r>
      <w:r>
        <w:t xml:space="preserve">,</w:t>
      </w:r>
      <w:r>
        <w:t xml:space="preserve"> </w:t>
      </w:r>
      <w:r>
        <w:rPr>
          <w:bCs/>
          <w:b/>
        </w:rPr>
        <w:t xml:space="preserve">GEL Accountant</w:t>
      </w:r>
      <w:r>
        <w:t xml:space="preserve">,</w:t>
      </w:r>
      <w:r>
        <w:t xml:space="preserve"> </w:t>
      </w:r>
      <w:r>
        <w:rPr>
          <w:bCs/>
          <w:b/>
        </w:rPr>
        <w:t xml:space="preserve">GEL Business</w:t>
      </w:r>
      <w:r>
        <w:t xml:space="preserve">) : ce document retient</w:t>
      </w:r>
      <w:r>
        <w:t xml:space="preserve"> </w:t>
      </w:r>
      <w:r>
        <w:rPr>
          <w:bCs/>
          <w:b/>
        </w:rPr>
        <w:t xml:space="preserve">GEL</w:t>
      </w:r>
      <w:r>
        <w:t xml:space="preserve"> </w:t>
      </w:r>
      <w:r>
        <w:t xml:space="preserve">comme nom de la plateforme globale,</w:t>
      </w:r>
      <w:r>
        <w:t xml:space="preserve"> </w:t>
      </w:r>
      <w:r>
        <w:rPr>
          <w:bCs/>
          <w:b/>
        </w:rPr>
        <w:t xml:space="preserve">GEL Secrétariat</w:t>
      </w:r>
      <w:r>
        <w:t xml:space="preserve"> </w:t>
      </w:r>
      <w:r>
        <w:t xml:space="preserve">et</w:t>
      </w:r>
      <w:r>
        <w:t xml:space="preserve"> </w:t>
      </w:r>
      <w:r>
        <w:rPr>
          <w:bCs/>
          <w:b/>
        </w:rPr>
        <w:t xml:space="preserve">GEL Comptabilité</w:t>
      </w:r>
      <w:r>
        <w:t xml:space="preserve"> </w:t>
      </w:r>
      <w:r>
        <w:t xml:space="preserve">(anciennement « GEL Accountant », confirmé par les captures d’écran) comme noms des deux portails métier historiques, en cohérence avec les écrans déjà prototypés.</w:t>
      </w:r>
    </w:p>
    <w:p>
      <w:pPr>
        <w:pStyle w:val="FirstParagraph"/>
      </w:pPr>
      <w:r>
        <w:rPr>
          <w:bCs/>
          <w:b/>
        </w:rPr>
        <w:t xml:space="preserve">Distinction des sources dans tout le document</w:t>
      </w:r>
      <w:r>
        <w:t xml:space="preserve"> </w:t>
      </w:r>
      <w:r>
        <w:t xml:space="preserve">(Règle 5 du prompt maître), matérialisée par les pastilles suivantes :</w:t>
      </w:r>
    </w:p>
    <w:p>
      <w:pPr>
        <w:numPr>
          <w:ilvl w:val="0"/>
          <w:numId w:val="1002"/>
        </w:numPr>
        <w:pStyle w:val="Compact"/>
      </w:pPr>
      <w:r>
        <w:t xml:space="preserve">🟢</w:t>
      </w:r>
      <w:r>
        <w:t xml:space="preserve"> </w:t>
      </w:r>
      <w:r>
        <w:rPr>
          <w:bCs/>
          <w:b/>
        </w:rPr>
        <w:t xml:space="preserve">[Document]</w:t>
      </w:r>
      <w:r>
        <w:t xml:space="preserve"> </w:t>
      </w:r>
      <w:r>
        <w:t xml:space="preserve">— provient explicitement d’un cahier des charges transmis</w:t>
      </w:r>
    </w:p>
    <w:p>
      <w:pPr>
        <w:numPr>
          <w:ilvl w:val="0"/>
          <w:numId w:val="1002"/>
        </w:numPr>
        <w:pStyle w:val="Compact"/>
      </w:pPr>
      <w:r>
        <w:t xml:space="preserve">🔵</w:t>
      </w:r>
      <w:r>
        <w:t xml:space="preserve"> </w:t>
      </w:r>
      <w:r>
        <w:rPr>
          <w:bCs/>
          <w:b/>
        </w:rPr>
        <w:t xml:space="preserve">[Réglementaire]</w:t>
      </w:r>
      <w:r>
        <w:t xml:space="preserve"> </w:t>
      </w:r>
      <w:r>
        <w:t xml:space="preserve">— provient d’un texte officiel (AUDCIF, CGI, loi de finances)</w:t>
      </w:r>
    </w:p>
    <w:p>
      <w:pPr>
        <w:numPr>
          <w:ilvl w:val="0"/>
          <w:numId w:val="1002"/>
        </w:numPr>
        <w:pStyle w:val="Compact"/>
      </w:pPr>
      <w:r>
        <w:t xml:space="preserve">🟠</w:t>
      </w:r>
      <w:r>
        <w:t xml:space="preserve"> </w:t>
      </w:r>
      <w:r>
        <w:rPr>
          <w:bCs/>
          <w:b/>
        </w:rPr>
        <w:t xml:space="preserve">[Proposition complémentaire]</w:t>
      </w:r>
      <w:r>
        <w:t xml:space="preserve"> </w:t>
      </w:r>
      <w:r>
        <w:t xml:space="preserve">— ajout nécessaire à la cohérence du système, non présent dans les documents source</w:t>
      </w:r>
    </w:p>
    <w:p>
      <w:r>
        <w:pict>
          <v:rect style="width:0;height:1.5pt" o:hralign="center" o:hrstd="t" o:hr="t"/>
        </w:pict>
      </w:r>
    </w:p>
    <w:bookmarkEnd w:id="20"/>
    <w:bookmarkStart w:id="21" w:name="résumé-exécutif"/>
    <w:p>
      <w:pPr>
        <w:pStyle w:val="Heading2"/>
      </w:pPr>
      <w:r>
        <w:t xml:space="preserve">1. Résumé exécutif</w:t>
      </w:r>
    </w:p>
    <w:p>
      <w:pPr>
        <w:pStyle w:val="FirstParagraph"/>
      </w:pPr>
      <w:r>
        <w:rPr>
          <w:bCs/>
          <w:b/>
        </w:rPr>
        <w:t xml:space="preserve">GEL</w:t>
      </w:r>
      <w:r>
        <w:t xml:space="preserve"> </w:t>
      </w:r>
      <w:r>
        <w:t xml:space="preserve">est un écosystème numérique intégré de</w:t>
      </w:r>
      <w:r>
        <w:t xml:space="preserve"> </w:t>
      </w:r>
      <w:r>
        <w:rPr>
          <w:bCs/>
          <w:b/>
        </w:rPr>
        <w:t xml:space="preserve">pilotage, de conformité et de gestion externalisée</w:t>
      </w:r>
      <w:r>
        <w:t xml:space="preserve"> </w:t>
      </w:r>
      <w:r>
        <w:t xml:space="preserve">des entreprises, conçu prioritairement pour les TPE/PME de l’espace</w:t>
      </w:r>
      <w:r>
        <w:t xml:space="preserve"> </w:t>
      </w:r>
      <w:r>
        <w:rPr>
          <w:bCs/>
          <w:b/>
        </w:rPr>
        <w:t xml:space="preserve">OHADA</w:t>
      </w:r>
      <w:r>
        <w:t xml:space="preserve">, avec le</w:t>
      </w:r>
      <w:r>
        <w:t xml:space="preserve"> </w:t>
      </w:r>
      <w:r>
        <w:rPr>
          <w:bCs/>
          <w:b/>
        </w:rPr>
        <w:t xml:space="preserve">Bénin comme marché de déploiement prioritaire</w:t>
      </w:r>
      <w:r>
        <w:t xml:space="preserve">. 🟢[Document]</w:t>
      </w:r>
    </w:p>
    <w:p>
      <w:pPr>
        <w:pStyle w:val="BodyText"/>
      </w:pPr>
      <w:r>
        <w:t xml:space="preserve">GEL n’est ni un simple site web, ni un simple logiciel de comptabilité : c’est, selon le principe directeur transmis à l’équipe technique,</w:t>
      </w:r>
      <w:r>
        <w:t xml:space="preserve"> </w:t>
      </w:r>
      <w:r>
        <w:rPr>
          <w:bCs/>
          <w:b/>
        </w:rPr>
        <w:t xml:space="preserve">« le système d’exploitation d’une entreprise »</w:t>
      </w:r>
      <w:r>
        <w:t xml:space="preserve">. 🟢[Document] La plateforme permet à une entreprise de fonctionner pleinement — secrétariat, comptabilité, fiscalité, trésorerie, stocks, immobilisations, RH — sans disposer nécessairement d’une administration interne physique, en s’appuyant soit sur son propre personnel, soit sur une équipe virtuelle GEL, soit sur des professionnels indépendants référencés.</w:t>
      </w:r>
    </w:p>
    <w:p>
      <w:pPr>
        <w:pStyle w:val="BodyText"/>
      </w:pPr>
      <w:r>
        <w:t xml:space="preserve">Le cœur métier de ce cahier des charges, développé et structuré par un professionnel comptable, est le</w:t>
      </w:r>
      <w:r>
        <w:t xml:space="preserve"> </w:t>
      </w:r>
      <w:r>
        <w:rPr>
          <w:bCs/>
          <w:b/>
        </w:rPr>
        <w:t xml:space="preserve">module de comptabilité, fiscalité et finance d’entreprise</w:t>
      </w:r>
      <w:r>
        <w:t xml:space="preserve">, construit sur le référentiel</w:t>
      </w:r>
      <w:r>
        <w:t xml:space="preserve"> </w:t>
      </w:r>
      <w:r>
        <w:rPr>
          <w:bCs/>
          <w:b/>
        </w:rPr>
        <w:t xml:space="preserve">SYSCOHADA révisé (AUDCIF 2017)</w:t>
      </w:r>
      <w:r>
        <w:t xml:space="preserve"> </w:t>
      </w:r>
      <w:r>
        <w:t xml:space="preserve">🔵[Réglementaire] et sur un</w:t>
      </w:r>
      <w:r>
        <w:t xml:space="preserve"> </w:t>
      </w:r>
      <w:r>
        <w:rPr>
          <w:bCs/>
          <w:b/>
        </w:rPr>
        <w:t xml:space="preserve">moteur fiscal paramétrable par pays</w:t>
      </w:r>
      <w:r>
        <w:t xml:space="preserve"> </w:t>
      </w:r>
      <w:r>
        <w:t xml:space="preserve">qui permet d’appliquer, dès le lancement, les règles fiscales béninoises (CGI, loi de finances 2026) tout en préparant l’extension à l’ensemble des 17 États membres de l’OHADA sans réécriture du socle applicatif. 🟠[Proposition complémentaire]</w:t>
      </w:r>
    </w:p>
    <w:p>
      <w:pPr>
        <w:pStyle w:val="BodyText"/>
      </w:pPr>
      <w:r>
        <w:t xml:space="preserve">L’</w:t>
      </w:r>
      <w:r>
        <w:rPr>
          <w:bCs/>
          <w:b/>
        </w:rPr>
        <w:t xml:space="preserve">intelligence artificielle</w:t>
      </w:r>
      <w:r>
        <w:t xml:space="preserve"> </w:t>
      </w:r>
      <w:r>
        <w:t xml:space="preserve">constitue le second pilier stratégique : elle n’est pas un chatbot ajouté à la marge, mais un ensemble de capacités intégrées à chaque processus métier — lecture et classification automatique des pièces, proposition d’écritures comptables et de traitements fiscaux, détection d’anomalies, assistant de clôture, copilote conversationnel explicable —</w:t>
      </w:r>
      <w:r>
        <w:t xml:space="preserve"> </w:t>
      </w:r>
      <w:r>
        <w:rPr>
          <w:bCs/>
          <w:b/>
        </w:rPr>
        <w:t xml:space="preserve">toujours sous validation humaine pour les actions comptables et fiscales significatives</w:t>
      </w:r>
      <w:r>
        <w:t xml:space="preserve">. 🟢[Document]</w:t>
      </w:r>
    </w:p>
    <w:p>
      <w:pPr>
        <w:pStyle w:val="BodyText"/>
      </w:pPr>
      <w:r>
        <w:t xml:space="preserve">L’interface déjà prototypée (portail « GEL Accountant », confirmé par les captures d’écran fournies) reprend consciemment les codes de</w:t>
      </w:r>
      <w:r>
        <w:t xml:space="preserve"> </w:t>
      </w:r>
      <w:r>
        <w:rPr>
          <w:bCs/>
          <w:b/>
        </w:rPr>
        <w:t xml:space="preserve">QuickBooks Online</w:t>
      </w:r>
      <w:r>
        <w:t xml:space="preserve">, avec une organisation Clients / Fournisseurs / Équipe / Comptabilité déjà opérationnelle en français, sur laquelle ce cahier des charges vient documenter l’ensemble du moteur comptable, fiscal et IA sous-jacent.</w:t>
      </w:r>
    </w:p>
    <w:bookmarkEnd w:id="21"/>
    <w:bookmarkStart w:id="24" w:name="vision-du-projet"/>
    <w:p>
      <w:pPr>
        <w:pStyle w:val="Heading2"/>
      </w:pPr>
      <w:r>
        <w:t xml:space="preserve">2. Vision du projet</w:t>
      </w:r>
    </w:p>
    <w:p>
      <w:pPr>
        <w:pStyle w:val="FirstParagraph"/>
      </w:pPr>
      <w:r>
        <w:t xml:space="preserve">GEL se positionne comme</w:t>
      </w:r>
      <w:r>
        <w:t xml:space="preserve"> </w:t>
      </w:r>
      <w:r>
        <w:rPr>
          <w:bCs/>
          <w:b/>
        </w:rPr>
        <w:t xml:space="preserve">la première plateforme africaine de pilotage, de conformité et de gestion externalisée des entreprises</w:t>
      </w:r>
      <w:r>
        <w:t xml:space="preserve">, capable de donner aux TPE/PME béninoises et, à terme, à celles de tout l’espace OHADA, l’équivalent numérique d’une</w:t>
      </w:r>
      <w:r>
        <w:t xml:space="preserve"> </w:t>
      </w:r>
      <w:r>
        <w:rPr>
          <w:bCs/>
          <w:b/>
        </w:rPr>
        <w:t xml:space="preserve">direction administrative, financière et comptable</w:t>
      </w:r>
      <w:r>
        <w:t xml:space="preserve"> </w:t>
      </w:r>
      <w:r>
        <w:t xml:space="preserve">qu’elles n’ont pas les moyens de recruter en interne. 🟢[Document]</w:t>
      </w:r>
    </w:p>
    <w:p>
      <w:pPr>
        <w:pStyle w:val="BodyText"/>
      </w:pPr>
      <w:r>
        <w:t xml:space="preserve">L’objectif à long terme est de créer</w:t>
      </w:r>
      <w:r>
        <w:t xml:space="preserve"> </w:t>
      </w:r>
      <w:r>
        <w:rPr>
          <w:bCs/>
          <w:b/>
        </w:rPr>
        <w:t xml:space="preserve">le premier écosystème numérique de gestion des entreprises en Afrique francophone</w:t>
      </w:r>
      <w:r>
        <w:t xml:space="preserve">, où une entreprise peut créer sa structure, gérer son administration, sa comptabilité, ses stocks, communiquer avec son équipe, suivre ses performances, collaborer avec des professionnels indépendants référencés et développer son activité — le tout depuis une seule plateforme, accessible sur ordinateur comme sur téléphone. 🟢[Document]</w:t>
      </w:r>
    </w:p>
    <w:bookmarkStart w:id="22" w:name="X08e1e265b2854a3229e7c3cfcec49d913e8c505"/>
    <w:p>
      <w:pPr>
        <w:pStyle w:val="Heading3"/>
      </w:pPr>
      <w:r>
        <w:t xml:space="preserve">2.1 Les sept pôles d’activité (périmètre métier global)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Pôle</w:t>
            </w:r>
          </w:p>
        </w:tc>
        <w:tc>
          <w:tcPr/>
          <w:p>
            <w:pPr>
              <w:pStyle w:val="Compact"/>
              <w:jc w:val="left"/>
            </w:pPr>
            <w:r>
              <w:t xml:space="preserve">Contenu</w:t>
            </w:r>
          </w:p>
        </w:tc>
        <w:tc>
          <w:tcPr/>
          <w:p>
            <w:pPr>
              <w:pStyle w:val="Compact"/>
              <w:jc w:val="left"/>
            </w:pPr>
            <w:r>
              <w:t xml:space="preserve">Couverture par ce cahier des charges</w:t>
            </w:r>
          </w:p>
        </w:tc>
      </w:tr>
      <w:tr>
        <w:tc>
          <w:tcPr/>
          <w:p>
            <w:pPr>
              <w:pStyle w:val="Compact"/>
              <w:jc w:val="left"/>
            </w:pPr>
            <w:r>
              <w:t xml:space="preserve">1. Formalisation</w:t>
            </w:r>
          </w:p>
        </w:tc>
        <w:tc>
          <w:tcPr/>
          <w:p>
            <w:pPr>
              <w:pStyle w:val="Compact"/>
              <w:jc w:val="left"/>
            </w:pPr>
            <w:r>
              <w:t xml:space="preserve">Création d’entreprise, modifications statutaires, régularisations, suivi des obligations</w:t>
            </w:r>
          </w:p>
        </w:tc>
        <w:tc>
          <w:tcPr/>
          <w:p>
            <w:pPr>
              <w:pStyle w:val="Compact"/>
              <w:jc w:val="left"/>
            </w:pPr>
            <w:r>
              <w:t xml:space="preserve">Couvert au niveau suivi documentaire (Partie 16) et Conformité (Partie 25)</w:t>
            </w:r>
          </w:p>
        </w:tc>
      </w:tr>
      <w:tr>
        <w:tc>
          <w:tcPr/>
          <w:p>
            <w:pPr>
              <w:pStyle w:val="Compact"/>
              <w:jc w:val="left"/>
            </w:pPr>
            <w:r>
              <w:t xml:space="preserve">2. Direction administrative externalisée</w:t>
            </w:r>
          </w:p>
        </w:tc>
        <w:tc>
          <w:tcPr/>
          <w:p>
            <w:pPr>
              <w:pStyle w:val="Compact"/>
              <w:jc w:val="left"/>
            </w:pPr>
            <w:r>
              <w:t xml:space="preserve">Secrétariat, gestion administrative, suivi documentaire</w:t>
            </w:r>
          </w:p>
        </w:tc>
        <w:tc>
          <w:tcPr/>
          <w:p>
            <w:pPr>
              <w:pStyle w:val="Compact"/>
              <w:jc w:val="left"/>
            </w:pPr>
            <w:r>
              <w:t xml:space="preserve">Couvert en détail (Parties 9, 16, 30)</w:t>
            </w:r>
          </w:p>
        </w:tc>
      </w:tr>
      <w:tr>
        <w:tc>
          <w:tcPr/>
          <w:p>
            <w:pPr>
              <w:pStyle w:val="Compact"/>
              <w:jc w:val="left"/>
            </w:pPr>
            <w:r>
              <w:t xml:space="preserve">3. Comptabilité et finance</w:t>
            </w:r>
          </w:p>
        </w:tc>
        <w:tc>
          <w:tcPr/>
          <w:p>
            <w:pPr>
              <w:pStyle w:val="Compact"/>
              <w:jc w:val="left"/>
            </w:pPr>
            <w:r>
              <w:t xml:space="preserve">Pièces comptables, déclarations, tableaux de bord, états financiers</w:t>
            </w:r>
          </w:p>
        </w:tc>
        <w:tc>
          <w:tcPr/>
          <w:p>
            <w:pPr>
              <w:pStyle w:val="Compact"/>
              <w:jc w:val="left"/>
            </w:pPr>
            <w:r>
              <w:rPr>
                <w:bCs/>
                <w:b/>
              </w:rPr>
              <w:t xml:space="preserve">Cœur du présent document</w:t>
            </w:r>
            <w:r>
              <w:t xml:space="preserve"> </w:t>
            </w:r>
            <w:r>
              <w:t xml:space="preserve">(Parties 10 à 24)</w:t>
            </w:r>
          </w:p>
        </w:tc>
      </w:tr>
      <w:tr>
        <w:tc>
          <w:tcPr/>
          <w:p>
            <w:pPr>
              <w:pStyle w:val="Compact"/>
              <w:jc w:val="left"/>
            </w:pPr>
            <w:r>
              <w:t xml:space="preserve">4. Gestion des stocks</w:t>
            </w:r>
          </w:p>
        </w:tc>
        <w:tc>
          <w:tcPr/>
          <w:p>
            <w:pPr>
              <w:pStyle w:val="Compact"/>
              <w:jc w:val="left"/>
            </w:pPr>
            <w:r>
              <w:t xml:space="preserve">Entrées, sorties, inventaires, alertes</w:t>
            </w:r>
          </w:p>
        </w:tc>
        <w:tc>
          <w:tcPr/>
          <w:p>
            <w:pPr>
              <w:pStyle w:val="Compact"/>
              <w:jc w:val="left"/>
            </w:pPr>
            <w:r>
              <w:t xml:space="preserve">Couvert (Partie 18)</w:t>
            </w:r>
          </w:p>
        </w:tc>
      </w:tr>
      <w:tr>
        <w:tc>
          <w:tcPr/>
          <w:p>
            <w:pPr>
              <w:pStyle w:val="Compact"/>
              <w:jc w:val="left"/>
            </w:pPr>
            <w:r>
              <w:t xml:space="preserve">5. Digitalisation</w:t>
            </w:r>
          </w:p>
        </w:tc>
        <w:tc>
          <w:tcPr/>
          <w:p>
            <w:pPr>
              <w:pStyle w:val="Compact"/>
              <w:jc w:val="left"/>
            </w:pPr>
            <w:r>
              <w:t xml:space="preserve">Sites web, applications, GED, automatisation</w:t>
            </w:r>
          </w:p>
        </w:tc>
        <w:tc>
          <w:tcPr/>
          <w:p>
            <w:pPr>
              <w:pStyle w:val="Compact"/>
              <w:jc w:val="left"/>
            </w:pPr>
            <w:r>
              <w:t xml:space="preserve">Couvert partiellement (GED Partie 16, automatisation Partie 14)</w:t>
            </w:r>
          </w:p>
        </w:tc>
      </w:tr>
      <w:tr>
        <w:tc>
          <w:tcPr/>
          <w:p>
            <w:pPr>
              <w:pStyle w:val="Compact"/>
              <w:jc w:val="left"/>
            </w:pPr>
            <w:r>
              <w:t xml:space="preserve">6. Communication digitale</w:t>
            </w:r>
          </w:p>
        </w:tc>
        <w:tc>
          <w:tcPr/>
          <w:p>
            <w:pPr>
              <w:pStyle w:val="Compact"/>
              <w:jc w:val="left"/>
            </w:pPr>
            <w:r>
              <w:t xml:space="preserve">Identité numérique, réseaux sociaux, contenus, campagnes</w:t>
            </w:r>
          </w:p>
        </w:tc>
        <w:tc>
          <w:tcPr/>
          <w:p>
            <w:pPr>
              <w:pStyle w:val="Compact"/>
              <w:jc w:val="left"/>
            </w:pPr>
            <w:r>
              <w:t xml:space="preserve">Hors périmètre applicatif — prestation humaine</w:t>
            </w:r>
          </w:p>
        </w:tc>
      </w:tr>
      <w:tr>
        <w:tc>
          <w:tcPr/>
          <w:p>
            <w:pPr>
              <w:pStyle w:val="Compact"/>
              <w:jc w:val="left"/>
            </w:pPr>
            <w:r>
              <w:t xml:space="preserve">7. Formation professionnelle</w:t>
            </w:r>
          </w:p>
        </w:tc>
        <w:tc>
          <w:tcPr/>
          <w:p>
            <w:pPr>
              <w:pStyle w:val="Compact"/>
              <w:jc w:val="left"/>
            </w:pPr>
            <w:r>
              <w:t xml:space="preserve">Secrétariat, comptabilité, bureautique, gestion, entrepreneuriat</w:t>
            </w:r>
          </w:p>
        </w:tc>
        <w:tc>
          <w:tcPr/>
          <w:p>
            <w:pPr>
              <w:pStyle w:val="Compact"/>
              <w:jc w:val="left"/>
            </w:pPr>
            <w:r>
              <w:t xml:space="preserve">Hors périmètre applicatif — prestation humaine</w:t>
            </w:r>
          </w:p>
        </w:tc>
      </w:tr>
    </w:tbl>
    <w:p>
      <w:pPr>
        <w:pStyle w:val="BodyText"/>
      </w:pPr>
      <w:r>
        <w:t xml:space="preserve">🟢[Document] Conformément au cahier des charges global transmis, le présent document couvre en priorité les</w:t>
      </w:r>
      <w:r>
        <w:t xml:space="preserve"> </w:t>
      </w:r>
      <w:r>
        <w:rPr>
          <w:bCs/>
          <w:b/>
        </w:rPr>
        <w:t xml:space="preserve">pôles 1, 2 et 3</w:t>
      </w:r>
      <w:r>
        <w:t xml:space="preserve">, qui constituent le cœur du produit numérique, en intégrant également en détail les pôles 4 (stocks) et 5 (digitalisation via GED/IA) dans la mesure où ils sont indissociables de la comptabilité.</w:t>
      </w:r>
    </w:p>
    <w:bookmarkEnd w:id="22"/>
    <w:bookmarkStart w:id="23" w:name="la-méthode-gel-les-10-piliers"/>
    <w:p>
      <w:pPr>
        <w:pStyle w:val="Heading3"/>
      </w:pPr>
      <w:r>
        <w:t xml:space="preserve">2.2 La Méthode GEL® — les 10 piliers</w:t>
      </w:r>
    </w:p>
    <w:p>
      <w:pPr>
        <w:pStyle w:val="FirstParagraph"/>
      </w:pPr>
      <w:r>
        <w:t xml:space="preserve">🟢[Document] Cadre stratégique déjà défini, dont la traduction fonctionnelle est reprise et complétée dans ce document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Pilier</w:t>
            </w:r>
          </w:p>
        </w:tc>
        <w:tc>
          <w:tcPr/>
          <w:p>
            <w:pPr>
              <w:pStyle w:val="Compact"/>
              <w:jc w:val="left"/>
            </w:pPr>
            <w:r>
              <w:t xml:space="preserve">Traduction fonctionnelle</w:t>
            </w:r>
          </w:p>
        </w:tc>
        <w:tc>
          <w:tcPr/>
          <w:p>
            <w:pPr>
              <w:pStyle w:val="Compact"/>
              <w:jc w:val="left"/>
            </w:pPr>
            <w:r>
              <w:t xml:space="preserve">Renvoi</w:t>
            </w:r>
          </w:p>
        </w:tc>
      </w:tr>
      <w:tr>
        <w:tc>
          <w:tcPr/>
          <w:p>
            <w:pPr>
              <w:pStyle w:val="Compact"/>
              <w:jc w:val="left"/>
            </w:pPr>
            <w:r>
              <w:t xml:space="preserve">1. Formaliser</w:t>
            </w:r>
          </w:p>
        </w:tc>
        <w:tc>
          <w:tcPr/>
          <w:p>
            <w:pPr>
              <w:pStyle w:val="Compact"/>
              <w:jc w:val="left"/>
            </w:pPr>
            <w:r>
              <w:t xml:space="preserve">Suivi du dossier de formalisation (RCCM, IFU, CNSS)</w:t>
            </w:r>
          </w:p>
        </w:tc>
        <w:tc>
          <w:tcPr/>
          <w:p>
            <w:pPr>
              <w:pStyle w:val="Compact"/>
              <w:jc w:val="left"/>
            </w:pPr>
            <w:r>
              <w:t xml:space="preserve">Partie 16</w:t>
            </w:r>
          </w:p>
        </w:tc>
      </w:tr>
      <w:tr>
        <w:tc>
          <w:tcPr/>
          <w:p>
            <w:pPr>
              <w:pStyle w:val="Compact"/>
              <w:jc w:val="left"/>
            </w:pPr>
            <w:r>
              <w:t xml:space="preserve">2. Organiser</w:t>
            </w:r>
          </w:p>
        </w:tc>
        <w:tc>
          <w:tcPr/>
          <w:p>
            <w:pPr>
              <w:pStyle w:val="Compact"/>
              <w:jc w:val="left"/>
            </w:pPr>
            <w:r>
              <w:t xml:space="preserve">Organigramme, fiches de poste, GED, agenda, classement</w:t>
            </w:r>
          </w:p>
        </w:tc>
        <w:tc>
          <w:tcPr/>
          <w:p>
            <w:pPr>
              <w:pStyle w:val="Compact"/>
              <w:jc w:val="left"/>
            </w:pPr>
            <w:r>
              <w:t xml:space="preserve">Parties 9, 16</w:t>
            </w:r>
          </w:p>
        </w:tc>
      </w:tr>
      <w:tr>
        <w:tc>
          <w:tcPr/>
          <w:p>
            <w:pPr>
              <w:pStyle w:val="Compact"/>
              <w:jc w:val="left"/>
            </w:pPr>
            <w:r>
              <w:t xml:space="preserve">3. Administrer</w:t>
            </w:r>
          </w:p>
        </w:tc>
        <w:tc>
          <w:tcPr/>
          <w:p>
            <w:pPr>
              <w:pStyle w:val="Compact"/>
              <w:jc w:val="left"/>
            </w:pPr>
            <w:r>
              <w:t xml:space="preserve">Module Secrétariat</w:t>
            </w:r>
          </w:p>
        </w:tc>
        <w:tc>
          <w:tcPr/>
          <w:p>
            <w:pPr>
              <w:pStyle w:val="Compact"/>
              <w:jc w:val="left"/>
            </w:pPr>
            <w:r>
              <w:t xml:space="preserve">Partie 9</w:t>
            </w:r>
          </w:p>
        </w:tc>
      </w:tr>
      <w:tr>
        <w:tc>
          <w:tcPr/>
          <w:p>
            <w:pPr>
              <w:pStyle w:val="Compact"/>
              <w:jc w:val="left"/>
            </w:pPr>
            <w:r>
              <w:t xml:space="preserve">4. Gérer</w:t>
            </w:r>
          </w:p>
        </w:tc>
        <w:tc>
          <w:tcPr/>
          <w:p>
            <w:pPr>
              <w:pStyle w:val="Compact"/>
              <w:jc w:val="left"/>
            </w:pPr>
            <w:r>
              <w:t xml:space="preserve">Module Comptabilité virtuelle</w:t>
            </w:r>
          </w:p>
        </w:tc>
        <w:tc>
          <w:tcPr/>
          <w:p>
            <w:pPr>
              <w:pStyle w:val="Compact"/>
              <w:jc w:val="left"/>
            </w:pPr>
            <w:r>
              <w:t xml:space="preserve">Parties 10–24</w:t>
            </w:r>
          </w:p>
        </w:tc>
      </w:tr>
      <w:tr>
        <w:tc>
          <w:tcPr/>
          <w:p>
            <w:pPr>
              <w:pStyle w:val="Compact"/>
              <w:jc w:val="left"/>
            </w:pPr>
            <w:r>
              <w:t xml:space="preserve">5. Digitaliser</w:t>
            </w:r>
          </w:p>
        </w:tc>
        <w:tc>
          <w:tcPr/>
          <w:p>
            <w:pPr>
              <w:pStyle w:val="Compact"/>
              <w:jc w:val="left"/>
            </w:pPr>
            <w:r>
              <w:t xml:space="preserve">GED, signature électronique, coffre-fort numérique</w:t>
            </w:r>
          </w:p>
        </w:tc>
        <w:tc>
          <w:tcPr/>
          <w:p>
            <w:pPr>
              <w:pStyle w:val="Compact"/>
              <w:jc w:val="left"/>
            </w:pPr>
            <w:r>
              <w:t xml:space="preserve">Partie 16</w:t>
            </w:r>
          </w:p>
        </w:tc>
      </w:tr>
      <w:tr>
        <w:tc>
          <w:tcPr/>
          <w:p>
            <w:pPr>
              <w:pStyle w:val="Compact"/>
              <w:jc w:val="left"/>
            </w:pPr>
            <w:r>
              <w:t xml:space="preserve">6. Contrôler</w:t>
            </w:r>
          </w:p>
        </w:tc>
        <w:tc>
          <w:tcPr/>
          <w:p>
            <w:pPr>
              <w:pStyle w:val="Compact"/>
              <w:jc w:val="left"/>
            </w:pPr>
            <w:r>
              <w:t xml:space="preserve">Score de Conformité GEL®</w:t>
            </w:r>
          </w:p>
        </w:tc>
        <w:tc>
          <w:tcPr/>
          <w:p>
            <w:pPr>
              <w:pStyle w:val="Compact"/>
              <w:jc w:val="left"/>
            </w:pPr>
            <w:r>
              <w:t xml:space="preserve">Partie 25</w:t>
            </w:r>
          </w:p>
        </w:tc>
      </w:tr>
      <w:tr>
        <w:tc>
          <w:tcPr/>
          <w:p>
            <w:pPr>
              <w:pStyle w:val="Compact"/>
              <w:jc w:val="left"/>
            </w:pPr>
            <w:r>
              <w:t xml:space="preserve">7. Optimiser</w:t>
            </w:r>
          </w:p>
        </w:tc>
        <w:tc>
          <w:tcPr/>
          <w:p>
            <w:pPr>
              <w:pStyle w:val="Compact"/>
              <w:jc w:val="left"/>
            </w:pPr>
            <w:r>
              <w:t xml:space="preserve">Tableaux de bord d’analyse</w:t>
            </w:r>
          </w:p>
        </w:tc>
        <w:tc>
          <w:tcPr/>
          <w:p>
            <w:pPr>
              <w:pStyle w:val="Compact"/>
              <w:jc w:val="left"/>
            </w:pPr>
            <w:r>
              <w:t xml:space="preserve">Partie 24</w:t>
            </w:r>
          </w:p>
        </w:tc>
      </w:tr>
      <w:tr>
        <w:tc>
          <w:tcPr/>
          <w:p>
            <w:pPr>
              <w:pStyle w:val="Compact"/>
              <w:jc w:val="left"/>
            </w:pPr>
            <w:r>
              <w:t xml:space="preserve">8. Développer</w:t>
            </w:r>
          </w:p>
        </w:tc>
        <w:tc>
          <w:tcPr/>
          <w:p>
            <w:pPr>
              <w:pStyle w:val="Compact"/>
              <w:jc w:val="left"/>
            </w:pPr>
            <w:r>
              <w:t xml:space="preserve">Hors périmètre applicatif</w:t>
            </w:r>
          </w:p>
        </w:tc>
        <w:tc>
          <w:tcPr/>
          <w:p>
            <w:pPr>
              <w:pStyle w:val="Compact"/>
              <w:jc w:val="left"/>
            </w:pPr>
            <w:r>
              <w:t xml:space="preserve">—</w:t>
            </w:r>
          </w:p>
        </w:tc>
      </w:tr>
      <w:tr>
        <w:tc>
          <w:tcPr/>
          <w:p>
            <w:pPr>
              <w:pStyle w:val="Compact"/>
              <w:jc w:val="left"/>
            </w:pPr>
            <w:r>
              <w:t xml:space="preserve">9. Innover</w:t>
            </w:r>
          </w:p>
        </w:tc>
        <w:tc>
          <w:tcPr/>
          <w:p>
            <w:pPr>
              <w:pStyle w:val="Compact"/>
              <w:jc w:val="left"/>
            </w:pPr>
            <w:r>
              <w:t xml:space="preserve">Assistant IA, automatisation</w:t>
            </w:r>
          </w:p>
        </w:tc>
        <w:tc>
          <w:tcPr/>
          <w:p>
            <w:pPr>
              <w:pStyle w:val="Compact"/>
              <w:jc w:val="left"/>
            </w:pPr>
            <w:r>
              <w:t xml:space="preserve">Parties 13, 14</w:t>
            </w:r>
          </w:p>
        </w:tc>
      </w:tr>
      <w:tr>
        <w:tc>
          <w:tcPr/>
          <w:p>
            <w:pPr>
              <w:pStyle w:val="Compact"/>
              <w:jc w:val="left"/>
            </w:pPr>
            <w:r>
              <w:t xml:space="preserve">10. Pérenniser</w:t>
            </w:r>
          </w:p>
        </w:tc>
        <w:tc>
          <w:tcPr/>
          <w:p>
            <w:pPr>
              <w:pStyle w:val="Compact"/>
              <w:jc w:val="left"/>
            </w:pPr>
            <w:r>
              <w:t xml:space="preserve">Hors périmètre applicatif direct</w:t>
            </w:r>
          </w:p>
        </w:tc>
        <w:tc>
          <w:tcPr/>
          <w:p>
            <w:pPr>
              <w:pStyle w:val="Compact"/>
              <w:jc w:val="left"/>
            </w:pPr>
            <w:r>
              <w:t xml:space="preserve">—</w:t>
            </w:r>
          </w:p>
        </w:tc>
      </w:tr>
    </w:tbl>
    <w:bookmarkEnd w:id="23"/>
    <w:bookmarkEnd w:id="24"/>
    <w:bookmarkStart w:id="25" w:name="contexte-et-problématique"/>
    <w:p>
      <w:pPr>
        <w:pStyle w:val="Heading2"/>
      </w:pPr>
      <w:r>
        <w:t xml:space="preserve">3. Contexte et problématique</w:t>
      </w:r>
    </w:p>
    <w:p>
      <w:pPr>
        <w:pStyle w:val="FirstParagraph"/>
      </w:pPr>
      <w:r>
        <w:t xml:space="preserve">🟢[Document] Au Bénin comme dans l’ensemble de l’espace UEMOA/OHADA, une grande majorité de PME :</w:t>
      </w:r>
    </w:p>
    <w:p>
      <w:pPr>
        <w:numPr>
          <w:ilvl w:val="0"/>
          <w:numId w:val="1003"/>
        </w:numPr>
        <w:pStyle w:val="Compact"/>
      </w:pPr>
      <w:r>
        <w:t xml:space="preserve">n’ont pas les moyens de recruter un secrétariat ou un service comptable dédié à temps plein ;</w:t>
      </w:r>
    </w:p>
    <w:p>
      <w:pPr>
        <w:numPr>
          <w:ilvl w:val="0"/>
          <w:numId w:val="1003"/>
        </w:numPr>
        <w:pStyle w:val="Compact"/>
      </w:pPr>
      <w:r>
        <w:t xml:space="preserve">ne disposent pas de bureaux adaptés ni des moyens d’en louer ;</w:t>
      </w:r>
    </w:p>
    <w:p>
      <w:pPr>
        <w:numPr>
          <w:ilvl w:val="0"/>
          <w:numId w:val="1003"/>
        </w:numPr>
        <w:pStyle w:val="Compact"/>
      </w:pPr>
      <w:r>
        <w:t xml:space="preserve">perdent leurs documents administratifs et comptables faute d’organisation ;</w:t>
      </w:r>
    </w:p>
    <w:p>
      <w:pPr>
        <w:numPr>
          <w:ilvl w:val="0"/>
          <w:numId w:val="1003"/>
        </w:numPr>
        <w:pStyle w:val="Compact"/>
      </w:pPr>
      <w:r>
        <w:t xml:space="preserve">oublient leurs échéances fiscales et sociales (TVA, ITS, patente, TPS, CNSS) ;</w:t>
      </w:r>
    </w:p>
    <w:p>
      <w:pPr>
        <w:numPr>
          <w:ilvl w:val="0"/>
          <w:numId w:val="1003"/>
        </w:numPr>
        <w:pStyle w:val="Compact"/>
      </w:pPr>
      <w:r>
        <w:t xml:space="preserve">travaillent sans structuration ni traçabilité de leurs activités administratives et comptables ;</w:t>
      </w:r>
    </w:p>
    <w:p>
      <w:pPr>
        <w:numPr>
          <w:ilvl w:val="0"/>
          <w:numId w:val="1003"/>
        </w:numPr>
        <w:pStyle w:val="Compact"/>
      </w:pPr>
      <w:r>
        <w:t xml:space="preserve">n’ont pas accès, faute de moyens, à un accompagnement comptable et fiscal réactif et fiable ;</w:t>
      </w:r>
    </w:p>
    <w:p>
      <w:pPr>
        <w:numPr>
          <w:ilvl w:val="0"/>
          <w:numId w:val="1003"/>
        </w:numPr>
        <w:pStyle w:val="Compact"/>
      </w:pPr>
      <w:r>
        <w:t xml:space="preserve">subissent des risques de non-conformité (retards de déclaration, erreurs de taux, pénalités) faute d’un dispositif de veille.</w:t>
      </w:r>
    </w:p>
    <w:p>
      <w:pPr>
        <w:pStyle w:val="FirstParagraph"/>
      </w:pPr>
      <w:r>
        <w:t xml:space="preserve">🟠[Proposition complémentaire] À cela s’ajoute une problématique spécifique à l’espace OHADA que ne traitaient pas les documents source de façon opérationnelle : le référentiel comptable</w:t>
      </w:r>
      <w:r>
        <w:t xml:space="preserve"> </w:t>
      </w:r>
      <w:r>
        <w:rPr>
          <w:bCs/>
          <w:b/>
        </w:rPr>
        <w:t xml:space="preserve">SYSCOHADA est commun à 17 pays, mais la fiscalité, elle, ne l’est pas</w:t>
      </w:r>
      <w:r>
        <w:t xml:space="preserve">. Un logiciel construit sur un seul pays (le Bénin) ne pourrait pas être déployé ailleurs sans réécriture complète — ce qui contredirait l’ambition affichée de couverture panafricaine. Le problème à résoudre n’est donc pas seulement « informatiser un cabinet comptable », mais</w:t>
      </w:r>
      <w:r>
        <w:t xml:space="preserve"> </w:t>
      </w:r>
      <w:r>
        <w:rPr>
          <w:bCs/>
          <w:b/>
        </w:rPr>
        <w:t xml:space="preserve">construire une architecture qui sépare structurellement le socle comptable commun (OHADA) du moteur fiscal variable (par pays et par année)</w:t>
      </w:r>
      <w:r>
        <w:t xml:space="preserve">.</w:t>
      </w:r>
    </w:p>
    <w:bookmarkEnd w:id="25"/>
    <w:bookmarkStart w:id="28" w:name="objectifs-généraux-et-spécifiques"/>
    <w:p>
      <w:pPr>
        <w:pStyle w:val="Heading2"/>
      </w:pPr>
      <w:r>
        <w:t xml:space="preserve">4. Objectifs généraux et spécifiques</w:t>
      </w:r>
    </w:p>
    <w:bookmarkStart w:id="26" w:name="objectifs-généraux"/>
    <w:p>
      <w:pPr>
        <w:pStyle w:val="Heading3"/>
      </w:pPr>
      <w:r>
        <w:t xml:space="preserve">4.1 Objectifs généraux</w:t>
      </w:r>
    </w:p>
    <w:p>
      <w:pPr>
        <w:numPr>
          <w:ilvl w:val="0"/>
          <w:numId w:val="1004"/>
        </w:numPr>
        <w:pStyle w:val="Compact"/>
      </w:pPr>
      <w:r>
        <w:t xml:space="preserve">Donner à toute entreprise de l’espace OHADA, quelle que soit sa taille, un accès à une direction administrative, comptable et financière externalisée de qualité professionnelle. 🟢[Document]</w:t>
      </w:r>
    </w:p>
    <w:p>
      <w:pPr>
        <w:numPr>
          <w:ilvl w:val="0"/>
          <w:numId w:val="1004"/>
        </w:numPr>
        <w:pStyle w:val="Compact"/>
      </w:pPr>
      <w:r>
        <w:t xml:space="preserve">Garantir la conformité comptable (SYSCOHADA/AUDCIF) et fiscale (droit interne de chaque pays) de façon continue, et non plus seulement lors des clôtures. 🟠[Proposition complémentaire]</w:t>
      </w:r>
    </w:p>
    <w:p>
      <w:pPr>
        <w:numPr>
          <w:ilvl w:val="0"/>
          <w:numId w:val="1004"/>
        </w:numPr>
        <w:pStyle w:val="Compact"/>
      </w:pPr>
      <w:r>
        <w:t xml:space="preserve">Réduire drastiquement le temps de traitement des tâches comptables et administratives répétitives grâce à une intelligence artificielle intégrée aux processus. 🟢[Document]</w:t>
      </w:r>
    </w:p>
    <w:p>
      <w:pPr>
        <w:numPr>
          <w:ilvl w:val="0"/>
          <w:numId w:val="1004"/>
        </w:numPr>
        <w:pStyle w:val="Compact"/>
      </w:pPr>
      <w:r>
        <w:t xml:space="preserve">Construire une plateforme extensible à l’ensemble des 17 pays membres de l’OHADA sans réécriture du socle applicatif, avec le Bénin comme priorité de déploiement. 🟢[Document]</w:t>
      </w:r>
    </w:p>
    <w:bookmarkEnd w:id="26"/>
    <w:bookmarkStart w:id="27" w:name="objectifs-spécifiques"/>
    <w:p>
      <w:pPr>
        <w:pStyle w:val="Heading3"/>
      </w:pPr>
      <w:r>
        <w:t xml:space="preserve">4.2 Objectifs spécifiques</w:t>
      </w:r>
    </w:p>
    <w:p>
      <w:pPr>
        <w:numPr>
          <w:ilvl w:val="0"/>
          <w:numId w:val="1005"/>
        </w:numPr>
        <w:pStyle w:val="Compact"/>
      </w:pPr>
      <w:r>
        <w:t xml:space="preserve">Fournir un</w:t>
      </w:r>
      <w:r>
        <w:t xml:space="preserve"> </w:t>
      </w:r>
      <w:r>
        <w:rPr>
          <w:bCs/>
          <w:b/>
        </w:rPr>
        <w:t xml:space="preserve">moteur comptable SYSCOHADA complet</w:t>
      </w:r>
      <w:r>
        <w:t xml:space="preserve"> </w:t>
      </w:r>
      <w:r>
        <w:t xml:space="preserve">: plan comptable, journaux, écritures, grand livre, balance, états financiers (Bilan, Compte de résultat, SIG, TAFIRE, flux de trésorerie), lettrage, rapprochement, clôture assistée. 🟢[Document]</w:t>
      </w:r>
    </w:p>
    <w:p>
      <w:pPr>
        <w:numPr>
          <w:ilvl w:val="0"/>
          <w:numId w:val="1005"/>
        </w:numPr>
        <w:pStyle w:val="Compact"/>
      </w:pPr>
      <w:r>
        <w:t xml:space="preserve">Fournir un</w:t>
      </w:r>
      <w:r>
        <w:t xml:space="preserve"> </w:t>
      </w:r>
      <w:r>
        <w:rPr>
          <w:bCs/>
          <w:b/>
        </w:rPr>
        <w:t xml:space="preserve">moteur fiscal paramétrable</w:t>
      </w:r>
      <w:r>
        <w:t xml:space="preserve"> </w:t>
      </w:r>
      <w:r>
        <w:t xml:space="preserve">: pays, année, régime, impôt, taux, seuil, exonération, retenue, échéance — versionné, sans code en dur. 🟢[Document]</w:t>
      </w:r>
    </w:p>
    <w:p>
      <w:pPr>
        <w:numPr>
          <w:ilvl w:val="0"/>
          <w:numId w:val="1005"/>
        </w:numPr>
        <w:pStyle w:val="Compact"/>
      </w:pPr>
      <w:r>
        <w:t xml:space="preserve">Intégrer une</w:t>
      </w:r>
      <w:r>
        <w:t xml:space="preserve"> </w:t>
      </w:r>
      <w:r>
        <w:rPr>
          <w:bCs/>
          <w:b/>
        </w:rPr>
        <w:t xml:space="preserve">IA comptable et fiscale contrôlée</w:t>
      </w:r>
      <w:r>
        <w:t xml:space="preserve"> </w:t>
      </w:r>
      <w:r>
        <w:t xml:space="preserve">: OCR, suggestion d’écritures, détection d’anomalies, copilote explicable, jamais autonome sur les actions sensibles. 🟢[Document]</w:t>
      </w:r>
    </w:p>
    <w:p>
      <w:pPr>
        <w:numPr>
          <w:ilvl w:val="0"/>
          <w:numId w:val="1005"/>
        </w:numPr>
        <w:pStyle w:val="Compact"/>
      </w:pPr>
      <w:r>
        <w:t xml:space="preserve">Couvrir les modules de gestion connexes indispensables à une comptabilité fiable : trésorerie, stocks, immobilisations, achats/ventes, RH/paie, comptabilité analytique, budget. 🟢[Document]</w:t>
      </w:r>
    </w:p>
    <w:p>
      <w:pPr>
        <w:numPr>
          <w:ilvl w:val="0"/>
          <w:numId w:val="1005"/>
        </w:numPr>
        <w:pStyle w:val="Compact"/>
      </w:pPr>
      <w:r>
        <w:t xml:space="preserve">Fournir des outils de pilotage transversaux : Score de Conformité GEL®, Passeport Entreprise GEL®, Tableau de Bord GEL®. 🟢[Document]</w:t>
      </w:r>
    </w:p>
    <w:p>
      <w:pPr>
        <w:numPr>
          <w:ilvl w:val="0"/>
          <w:numId w:val="1005"/>
        </w:numPr>
        <w:pStyle w:val="Compact"/>
      </w:pPr>
      <w:r>
        <w:t xml:space="preserve">Garantir une</w:t>
      </w:r>
      <w:r>
        <w:t xml:space="preserve"> </w:t>
      </w:r>
      <w:r>
        <w:rPr>
          <w:bCs/>
          <w:b/>
        </w:rPr>
        <w:t xml:space="preserve">sécurité et une gouvernance des données</w:t>
      </w:r>
      <w:r>
        <w:t xml:space="preserve"> </w:t>
      </w:r>
      <w:r>
        <w:t xml:space="preserve">de niveau professionnel (isolation multi-tenant stricte, chiffrement, traçabilité fine, conformité APDP). 🟢[Document]</w:t>
      </w:r>
    </w:p>
    <w:bookmarkEnd w:id="27"/>
    <w:bookmarkEnd w:id="28"/>
    <w:bookmarkStart w:id="31" w:name="périmètre"/>
    <w:p>
      <w:pPr>
        <w:pStyle w:val="Heading2"/>
      </w:pPr>
      <w:r>
        <w:t xml:space="preserve">5. Périmètre</w:t>
      </w:r>
    </w:p>
    <w:bookmarkStart w:id="29" w:name="dans-le-périmètre-in-scope"/>
    <w:p>
      <w:pPr>
        <w:pStyle w:val="Heading3"/>
      </w:pPr>
      <w:r>
        <w:t xml:space="preserve">5.1 Dans le périmètre (in scope)</w:t>
      </w:r>
    </w:p>
    <w:p>
      <w:pPr>
        <w:numPr>
          <w:ilvl w:val="0"/>
          <w:numId w:val="1006"/>
        </w:numPr>
        <w:pStyle w:val="Compact"/>
      </w:pPr>
      <w:r>
        <w:t xml:space="preserve">Comptabilité générale et analytique SYSCOHADA (classes 1 à 9). 🔵[Réglementaire]</w:t>
      </w:r>
    </w:p>
    <w:p>
      <w:pPr>
        <w:numPr>
          <w:ilvl w:val="0"/>
          <w:numId w:val="1006"/>
        </w:numPr>
        <w:pStyle w:val="Compact"/>
      </w:pPr>
      <w:r>
        <w:t xml:space="preserve">Fiscalité béninoise complète (TVA, IS, ITS, TPS, Patente, VPS, CNSS) avec priorité 2026, et moteur fiscal extensible aux autres pays OHADA. 🟢[Document]</w:t>
      </w:r>
    </w:p>
    <w:p>
      <w:pPr>
        <w:numPr>
          <w:ilvl w:val="0"/>
          <w:numId w:val="1006"/>
        </w:numPr>
        <w:pStyle w:val="Compact"/>
      </w:pPr>
      <w:r>
        <w:t xml:space="preserve">Secrétariat/administration (courriers, contrats, agenda, tâches, relances). 🟢[Document]</w:t>
      </w:r>
    </w:p>
    <w:p>
      <w:pPr>
        <w:numPr>
          <w:ilvl w:val="0"/>
          <w:numId w:val="1006"/>
        </w:numPr>
        <w:pStyle w:val="Compact"/>
      </w:pPr>
      <w:r>
        <w:t xml:space="preserve">Gestion documentaire, signature électronique, coffre-fort numérique. 🟢[Document]</w:t>
      </w:r>
    </w:p>
    <w:p>
      <w:pPr>
        <w:numPr>
          <w:ilvl w:val="0"/>
          <w:numId w:val="1006"/>
        </w:numPr>
        <w:pStyle w:val="Compact"/>
      </w:pPr>
      <w:r>
        <w:t xml:space="preserve">Trésorerie, stocks, immobilisations, achats/ventes, RH de premier niveau et paie. 🟢[Document]</w:t>
      </w:r>
    </w:p>
    <w:p>
      <w:pPr>
        <w:numPr>
          <w:ilvl w:val="0"/>
          <w:numId w:val="1006"/>
        </w:numPr>
        <w:pStyle w:val="Compact"/>
      </w:pPr>
      <w:r>
        <w:t xml:space="preserve">Intelligence artificielle intégrée (documentaire, comptable, fiscale, contrôle, prédictive, copilote). 🟢[Document]</w:t>
      </w:r>
    </w:p>
    <w:p>
      <w:pPr>
        <w:numPr>
          <w:ilvl w:val="0"/>
          <w:numId w:val="1006"/>
        </w:numPr>
        <w:pStyle w:val="Compact"/>
      </w:pPr>
      <w:r>
        <w:t xml:space="preserve">Modèles Entreprise avec personnel propre / Cabinet virtuel GEL / Professionnel indépendant / Marketplace / Mode Cabinet / Mode Institution. 🟢[Document]</w:t>
      </w:r>
    </w:p>
    <w:p>
      <w:pPr>
        <w:numPr>
          <w:ilvl w:val="0"/>
          <w:numId w:val="1006"/>
        </w:numPr>
        <w:pStyle w:val="Compact"/>
      </w:pPr>
      <w:r>
        <w:t xml:space="preserve">Sécurité, audit trail, conformité réglementaire (APDP Bénin). 🟢[Document]</w:t>
      </w:r>
    </w:p>
    <w:bookmarkEnd w:id="29"/>
    <w:bookmarkStart w:id="30" w:name="Xbfd997763be18e37279b1e8b79aeac812c30c8b"/>
    <w:p>
      <w:pPr>
        <w:pStyle w:val="Heading3"/>
      </w:pPr>
      <w:r>
        <w:t xml:space="preserve">5.2 Hors périmètre applicatif direct (accompagnement humain)</w:t>
      </w:r>
    </w:p>
    <w:p>
      <w:pPr>
        <w:numPr>
          <w:ilvl w:val="0"/>
          <w:numId w:val="1007"/>
        </w:numPr>
        <w:pStyle w:val="Compact"/>
      </w:pPr>
      <w:r>
        <w:t xml:space="preserve">Pôle 6 (communication digitale) et pôle 7 (formation professionnelle), qui relèvent de prestations humaines et non du logiciel lui-même. 🟢[Document]</w:t>
      </w:r>
    </w:p>
    <w:p>
      <w:pPr>
        <w:numPr>
          <w:ilvl w:val="0"/>
          <w:numId w:val="1007"/>
        </w:numPr>
        <w:pStyle w:val="Compact"/>
      </w:pPr>
      <w:r>
        <w:t xml:space="preserve">Piliers 8 (Développer) et 10 (Pérenniser) de la Méthode GEL®, qui relèvent de l’accompagnement stratégique. 🟢[Document]</w:t>
      </w:r>
    </w:p>
    <w:p>
      <w:pPr>
        <w:numPr>
          <w:ilvl w:val="0"/>
          <w:numId w:val="1007"/>
        </w:numPr>
        <w:pStyle w:val="Compact"/>
      </w:pPr>
      <w:r>
        <w:t xml:space="preserve">La mise en relation automatique de la Marketplace (moteur de recherche/matching), positionnée en Phase 2/3 de la feuille de route (Partie 39). 🟢[Document]</w:t>
      </w:r>
    </w:p>
    <w:p>
      <w:pPr>
        <w:numPr>
          <w:ilvl w:val="0"/>
          <w:numId w:val="1007"/>
        </w:numPr>
        <w:pStyle w:val="Compact"/>
      </w:pPr>
      <w:r>
        <w:t xml:space="preserve">Le conseil juridique et fiscal personnalisé : GEL assiste et automatise, mais ne se substitue pas à un professionnel habilité pour les avis engageant la responsabilité de l’entreprise. 🟠[Proposition complémentaire]</w:t>
      </w:r>
    </w:p>
    <w:bookmarkEnd w:id="30"/>
    <w:bookmarkEnd w:id="31"/>
    <w:bookmarkStart w:id="32" w:name="parties-prenantes"/>
    <w:p>
      <w:pPr>
        <w:pStyle w:val="Heading2"/>
      </w:pPr>
      <w:r>
        <w:t xml:space="preserve">6. Parties prenantes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Partie prenante</w:t>
            </w:r>
          </w:p>
        </w:tc>
        <w:tc>
          <w:tcPr/>
          <w:p>
            <w:pPr>
              <w:pStyle w:val="Compact"/>
              <w:jc w:val="left"/>
            </w:pPr>
            <w:r>
              <w:t xml:space="preserve">Rôle vis-à-vis du projet</w:t>
            </w:r>
          </w:p>
        </w:tc>
      </w:tr>
      <w:tr>
        <w:tc>
          <w:tcPr/>
          <w:p>
            <w:pPr>
              <w:pStyle w:val="Compact"/>
              <w:jc w:val="left"/>
            </w:pPr>
            <w:r>
              <w:t xml:space="preserve">Porteur de projet (Fondateur GEL)</w:t>
            </w:r>
          </w:p>
        </w:tc>
        <w:tc>
          <w:tcPr/>
          <w:p>
            <w:pPr>
              <w:pStyle w:val="Compact"/>
              <w:jc w:val="left"/>
            </w:pPr>
            <w:r>
              <w:t xml:space="preserve">Vision produit, arbitrages stratégiques</w:t>
            </w:r>
          </w:p>
        </w:tc>
      </w:tr>
      <w:tr>
        <w:tc>
          <w:tcPr/>
          <w:p>
            <w:pPr>
              <w:pStyle w:val="Compact"/>
              <w:jc w:val="left"/>
            </w:pPr>
            <w:r>
              <w:t xml:space="preserve">Comptable-projet (responsable du présent cahier des charges)</w:t>
            </w:r>
          </w:p>
        </w:tc>
        <w:tc>
          <w:tcPr/>
          <w:p>
            <w:pPr>
              <w:pStyle w:val="Compact"/>
              <w:jc w:val="left"/>
            </w:pPr>
            <w:r>
              <w:t xml:space="preserve">Spécification comptable, fiscale et financière ; garant de la conformité SYSCOHADA/CGI</w:t>
            </w:r>
          </w:p>
        </w:tc>
      </w:tr>
      <w:tr>
        <w:tc>
          <w:tcPr/>
          <w:p>
            <w:pPr>
              <w:pStyle w:val="Compact"/>
              <w:jc w:val="left"/>
            </w:pPr>
            <w:r>
              <w:t xml:space="preserve">Direction Technologie &amp; Innovation</w:t>
            </w:r>
          </w:p>
        </w:tc>
        <w:tc>
          <w:tcPr/>
          <w:p>
            <w:pPr>
              <w:pStyle w:val="Compact"/>
              <w:jc w:val="left"/>
            </w:pPr>
            <w:r>
              <w:t xml:space="preserve">Pilotage du développement</w:t>
            </w:r>
          </w:p>
        </w:tc>
      </w:tr>
      <w:tr>
        <w:tc>
          <w:tcPr/>
          <w:p>
            <w:pPr>
              <w:pStyle w:val="Compact"/>
              <w:jc w:val="left"/>
            </w:pPr>
            <w:r>
              <w:t xml:space="preserve">Équipe Secrétariat</w:t>
            </w:r>
          </w:p>
        </w:tc>
        <w:tc>
          <w:tcPr/>
          <w:p>
            <w:pPr>
              <w:pStyle w:val="Compact"/>
              <w:jc w:val="left"/>
            </w:pPr>
            <w:r>
              <w:t xml:space="preserve">Utilisatrice et contributrice du module Secrétariat</w:t>
            </w:r>
          </w:p>
        </w:tc>
      </w:tr>
      <w:tr>
        <w:tc>
          <w:tcPr/>
          <w:p>
            <w:pPr>
              <w:pStyle w:val="Compact"/>
              <w:jc w:val="left"/>
            </w:pPr>
            <w:r>
              <w:t xml:space="preserve">Équipe Comptabilité</w:t>
            </w:r>
          </w:p>
        </w:tc>
        <w:tc>
          <w:tcPr/>
          <w:p>
            <w:pPr>
              <w:pStyle w:val="Compact"/>
              <w:jc w:val="left"/>
            </w:pPr>
            <w:r>
              <w:t xml:space="preserve">Utilisatrice et contributrice du module Comptabilité</w:t>
            </w:r>
          </w:p>
        </w:tc>
      </w:tr>
      <w:tr>
        <w:tc>
          <w:tcPr/>
          <w:p>
            <w:pPr>
              <w:pStyle w:val="Compact"/>
              <w:jc w:val="left"/>
            </w:pPr>
            <w:r>
              <w:t xml:space="preserve">Développeur(s)</w:t>
            </w:r>
          </w:p>
        </w:tc>
        <w:tc>
          <w:tcPr/>
          <w:p>
            <w:pPr>
              <w:pStyle w:val="Compact"/>
              <w:jc w:val="left"/>
            </w:pPr>
            <w:r>
              <w:t xml:space="preserve">Destinataires techniques du cahier des charges</w:t>
            </w:r>
          </w:p>
        </w:tc>
      </w:tr>
      <w:tr>
        <w:tc>
          <w:tcPr/>
          <w:p>
            <w:pPr>
              <w:pStyle w:val="Compact"/>
              <w:jc w:val="left"/>
            </w:pPr>
            <w:r>
              <w:t xml:space="preserve">Entreprises clientes (dirigeants)</w:t>
            </w:r>
          </w:p>
        </w:tc>
        <w:tc>
          <w:tcPr/>
          <w:p>
            <w:pPr>
              <w:pStyle w:val="Compact"/>
              <w:jc w:val="left"/>
            </w:pPr>
            <w:r>
              <w:t xml:space="preserve">Utilisateurs finaux, pilotage de leur activité</w:t>
            </w:r>
          </w:p>
        </w:tc>
      </w:tr>
      <w:tr>
        <w:tc>
          <w:tcPr/>
          <w:p>
            <w:pPr>
              <w:pStyle w:val="Compact"/>
              <w:jc w:val="left"/>
            </w:pPr>
            <w:r>
              <w:t xml:space="preserve">Professionnels indépendants (Marketplace)</w:t>
            </w:r>
          </w:p>
        </w:tc>
        <w:tc>
          <w:tcPr/>
          <w:p>
            <w:pPr>
              <w:pStyle w:val="Compact"/>
              <w:jc w:val="left"/>
            </w:pPr>
            <w:r>
              <w:t xml:space="preserve">Utilisateurs de GEL comme bureau numérique</w:t>
            </w:r>
          </w:p>
        </w:tc>
      </w:tr>
      <w:tr>
        <w:tc>
          <w:tcPr/>
          <w:p>
            <w:pPr>
              <w:pStyle w:val="Compact"/>
              <w:jc w:val="left"/>
            </w:pPr>
            <w:r>
              <w:t xml:space="preserve">Administrateur GEL / Super Administrateur</w:t>
            </w:r>
          </w:p>
        </w:tc>
        <w:tc>
          <w:tcPr/>
          <w:p>
            <w:pPr>
              <w:pStyle w:val="Compact"/>
              <w:jc w:val="left"/>
            </w:pPr>
            <w:r>
              <w:t xml:space="preserve">Exploitants de la plateforme</w:t>
            </w:r>
          </w:p>
        </w:tc>
      </w:tr>
      <w:tr>
        <w:tc>
          <w:tcPr/>
          <w:p>
            <w:pPr>
              <w:pStyle w:val="Compact"/>
              <w:jc w:val="left"/>
            </w:pPr>
            <w:r>
              <w:t xml:space="preserve">Autorité de Protection des Données Personnelles (APDP, Bénin)</w:t>
            </w:r>
          </w:p>
        </w:tc>
        <w:tc>
          <w:tcPr/>
          <w:p>
            <w:pPr>
              <w:pStyle w:val="Compact"/>
              <w:jc w:val="left"/>
            </w:pPr>
            <w:r>
              <w:t xml:space="preserve">Cadre réglementaire de conformité</w:t>
            </w:r>
          </w:p>
        </w:tc>
      </w:tr>
      <w:tr>
        <w:tc>
          <w:tcPr/>
          <w:p>
            <w:pPr>
              <w:pStyle w:val="Compact"/>
              <w:jc w:val="left"/>
            </w:pPr>
            <w:r>
              <w:t xml:space="preserve">Direction Générale des Impôts (DGI, Bénin)</w:t>
            </w:r>
          </w:p>
        </w:tc>
        <w:tc>
          <w:tcPr/>
          <w:p>
            <w:pPr>
              <w:pStyle w:val="Compact"/>
              <w:jc w:val="left"/>
            </w:pPr>
            <w:r>
              <w:t xml:space="preserve">Référentiel fiscal de référence</w:t>
            </w:r>
          </w:p>
        </w:tc>
      </w:tr>
      <w:tr>
        <w:tc>
          <w:tcPr/>
          <w:p>
            <w:pPr>
              <w:pStyle w:val="Compact"/>
              <w:jc w:val="left"/>
            </w:pPr>
            <w:r>
              <w:t xml:space="preserve">Organisation pour l’Harmonisation en Afrique du Droit des Affaires (OHADA)</w:t>
            </w:r>
          </w:p>
        </w:tc>
        <w:tc>
          <w:tcPr/>
          <w:p>
            <w:pPr>
              <w:pStyle w:val="Compact"/>
              <w:jc w:val="left"/>
            </w:pPr>
            <w:r>
              <w:t xml:space="preserve">Référentiel comptable de référence (AUDCIF/SYSCOHADA)</w:t>
            </w:r>
          </w:p>
        </w:tc>
      </w:tr>
    </w:tbl>
    <w:bookmarkEnd w:id="32"/>
    <w:bookmarkStart w:id="38" w:name="architecture-globale-et-modèles-dusage"/>
    <w:p>
      <w:pPr>
        <w:pStyle w:val="Heading2"/>
      </w:pPr>
      <w:r>
        <w:t xml:space="preserve">7. Architecture globale et modèles d’usage</w:t>
      </w:r>
    </w:p>
    <w:bookmarkStart w:id="33" w:name="principe-darchitecture"/>
    <w:p>
      <w:pPr>
        <w:pStyle w:val="Heading3"/>
      </w:pPr>
      <w:r>
        <w:t xml:space="preserve">7.1 Principe d’architecture</w:t>
      </w:r>
    </w:p>
    <w:p>
      <w:pPr>
        <w:pStyle w:val="FirstParagraph"/>
      </w:pPr>
      <w:r>
        <w:t xml:space="preserve">🟢[Document] Chaque entreprise cliente dispose d’un</w:t>
      </w:r>
      <w:r>
        <w:t xml:space="preserve"> </w:t>
      </w:r>
      <w:r>
        <w:rPr>
          <w:bCs/>
          <w:b/>
        </w:rPr>
        <w:t xml:space="preserve">espace sécurisé et isolé</w:t>
      </w:r>
      <w:r>
        <w:t xml:space="preserve"> </w:t>
      </w:r>
      <w:r>
        <w:t xml:space="preserve">comprenant : tableau de bord, coffre-fort documentaire, agenda, tâches, comptabilité, déclarations, secrétariat, rapports, et Score de Conformité GEL®. Plusieurs acteurs collaborent autour de cet espace (dirigeant, secrétaire, comptable, administrateurs GEL, consultants), chacun avec un profil, des droits et une interface dédiés.</w:t>
      </w:r>
      <w:r>
        <w:t xml:space="preserve"> </w:t>
      </w:r>
      <w:r>
        <w:rPr>
          <w:bCs/>
          <w:b/>
        </w:rPr>
        <w:t xml:space="preserve">Toutes les actions sont tracées.</w:t>
      </w:r>
    </w:p>
    <w:p>
      <w:pPr>
        <w:pStyle w:val="BodyText"/>
      </w:pPr>
      <w:r>
        <w:t xml:space="preserve">L’isolation des données entre entreprises est</w:t>
      </w:r>
      <w:r>
        <w:t xml:space="preserve"> </w:t>
      </w:r>
      <w:r>
        <w:rPr>
          <w:bCs/>
          <w:b/>
        </w:rPr>
        <w:t xml:space="preserve">absolue à tous les niveaux</w:t>
      </w:r>
      <w:r>
        <w:t xml:space="preserve"> </w:t>
      </w:r>
      <w:r>
        <w:t xml:space="preserve">(base de données, API, interface) : un secrétaire ou un comptable ne voit que les entreprises qui lui sont explicitement rattachées, dans la limite des permissions accordées. 🟢[Document]</w:t>
      </w:r>
    </w:p>
    <w:bookmarkEnd w:id="33"/>
    <w:bookmarkStart w:id="34" w:name="X6ae286e973414237043458f66ea1075c92ad38d"/>
    <w:p>
      <w:pPr>
        <w:pStyle w:val="Heading3"/>
      </w:pPr>
      <w:r>
        <w:t xml:space="preserve">7.2 Les trois modèles d’usage (rattachement et facturation du personnel)</w:t>
      </w:r>
    </w:p>
    <w:p>
      <w:pPr>
        <w:pStyle w:val="FirstParagraph"/>
      </w:pPr>
      <w:r>
        <w:t xml:space="preserve">🟢[Document] Ces trois modèles coexistent sur la même infrastructure sans jamais mélanger données ni permissions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Modèle</w:t>
            </w:r>
          </w:p>
        </w:tc>
        <w:tc>
          <w:tcPr/>
          <w:p>
            <w:pPr>
              <w:pStyle w:val="Compact"/>
              <w:jc w:val="left"/>
            </w:pPr>
            <w:r>
              <w:t xml:space="preserve">Principe</w:t>
            </w:r>
          </w:p>
        </w:tc>
        <w:tc>
          <w:tcPr/>
          <w:p>
            <w:pPr>
              <w:pStyle w:val="Compact"/>
              <w:jc w:val="left"/>
            </w:pPr>
            <w:r>
              <w:t xml:space="preserve">Qui invite/affecte</w:t>
            </w:r>
          </w:p>
        </w:tc>
        <w:tc>
          <w:tcPr/>
          <w:p>
            <w:pPr>
              <w:pStyle w:val="Compact"/>
              <w:jc w:val="left"/>
            </w:pPr>
            <w:r>
              <w:t xml:space="preserve">Qui paie l’abonnement du personnel</w:t>
            </w:r>
          </w:p>
        </w:tc>
      </w:tr>
      <w:tr>
        <w:tc>
          <w:tcPr/>
          <w:p>
            <w:pPr>
              <w:pStyle w:val="Compact"/>
              <w:jc w:val="left"/>
            </w:pPr>
            <w:r>
              <w:rPr>
                <w:bCs/>
                <w:b/>
              </w:rPr>
              <w:t xml:space="preserve">Modèle 1 — Entreprise avec personnel propre</w:t>
            </w:r>
          </w:p>
        </w:tc>
        <w:tc>
          <w:tcPr/>
          <w:p>
            <w:pPr>
              <w:pStyle w:val="Compact"/>
              <w:jc w:val="left"/>
            </w:pPr>
            <w:r>
              <w:t xml:space="preserve">L’entreprise dispose déjà ou recrute son propre secrétaire/comptable et l’invite via un lien sécurisé</w:t>
            </w:r>
          </w:p>
        </w:tc>
        <w:tc>
          <w:tcPr/>
          <w:p>
            <w:pPr>
              <w:pStyle w:val="Compact"/>
              <w:jc w:val="left"/>
            </w:pPr>
            <w:r>
              <w:t xml:space="preserve">L’entreprise elle-même</w:t>
            </w:r>
          </w:p>
        </w:tc>
        <w:tc>
          <w:tcPr/>
          <w:p>
            <w:pPr>
              <w:pStyle w:val="Compact"/>
              <w:jc w:val="left"/>
            </w:pPr>
            <w:r>
              <w:t xml:space="preserve">L’entreprise (inclus dans son plan)</w:t>
            </w:r>
          </w:p>
        </w:tc>
      </w:tr>
      <w:tr>
        <w:tc>
          <w:tcPr/>
          <w:p>
            <w:pPr>
              <w:pStyle w:val="Compact"/>
              <w:jc w:val="left"/>
            </w:pPr>
            <w:r>
              <w:rPr>
                <w:bCs/>
                <w:b/>
              </w:rPr>
              <w:t xml:space="preserve">Modèle 2 — Cabinet virtuel GEL (service géré)</w:t>
            </w:r>
          </w:p>
        </w:tc>
        <w:tc>
          <w:tcPr/>
          <w:p>
            <w:pPr>
              <w:pStyle w:val="Compact"/>
              <w:jc w:val="left"/>
            </w:pPr>
            <w:r>
              <w:t xml:space="preserve">GEL affecte, depuis son pool de personnel, un secrétaire et/ou un comptable virtuel à l’entreprise, en coordination réelle</w:t>
            </w:r>
          </w:p>
        </w:tc>
        <w:tc>
          <w:tcPr/>
          <w:p>
            <w:pPr>
              <w:pStyle w:val="Compact"/>
              <w:jc w:val="left"/>
            </w:pPr>
            <w:r>
              <w:t xml:space="preserve">Administrateur GEL (affectation humaine validée, jamais automatique)</w:t>
            </w:r>
          </w:p>
        </w:tc>
        <w:tc>
          <w:tcPr/>
          <w:p>
            <w:pPr>
              <w:pStyle w:val="Compact"/>
              <w:jc w:val="left"/>
            </w:pPr>
            <w:r>
              <w:t xml:space="preserve">GEL (personnel/partenaire)</w:t>
            </w:r>
          </w:p>
        </w:tc>
      </w:tr>
      <w:tr>
        <w:tc>
          <w:tcPr/>
          <w:p>
            <w:pPr>
              <w:pStyle w:val="Compact"/>
              <w:jc w:val="left"/>
            </w:pPr>
            <w:r>
              <w:rPr>
                <w:bCs/>
                <w:b/>
              </w:rPr>
              <w:t xml:space="preserve">Modèle 3 — Professionnel indépendant</w:t>
            </w:r>
          </w:p>
        </w:tc>
        <w:tc>
          <w:tcPr/>
          <w:p>
            <w:pPr>
              <w:pStyle w:val="Compact"/>
              <w:jc w:val="left"/>
            </w:pPr>
            <w:r>
              <w:t xml:space="preserve">Un secrétaire ou comptable indépendant s’inscrit pour gérer ses propres clients, avec isolation stricte entre eux</w:t>
            </w:r>
          </w:p>
        </w:tc>
        <w:tc>
          <w:tcPr/>
          <w:p>
            <w:pPr>
              <w:pStyle w:val="Compact"/>
              <w:jc w:val="left"/>
            </w:pPr>
            <w:r>
              <w:t xml:space="preserve">Auto-inscription, essai gratuit 30 jours</w:t>
            </w:r>
          </w:p>
        </w:tc>
        <w:tc>
          <w:tcPr/>
          <w:p>
            <w:pPr>
              <w:pStyle w:val="Compact"/>
              <w:jc w:val="left"/>
            </w:pPr>
            <w:r>
              <w:t xml:space="preserve">Lui-même (abonnement payant, Mobile Money)</w:t>
            </w:r>
          </w:p>
        </w:tc>
      </w:tr>
    </w:tbl>
    <w:p>
      <w:pPr>
        <w:pStyle w:val="BodyText"/>
      </w:pPr>
      <w:r>
        <w:t xml:space="preserve">Le rattachement Modèle 3 fonctionne dans les deux sens : le professionnel indépendant peut ajouter lui-même un client, ou une entreprise cliente peut l’inviter directement à gérer son dossier. Une passerelle de conversion « compte individuel → compte entreprise » est prévue, avec validation manuelle et migration des données. 🟢[Document]</w:t>
      </w:r>
    </w:p>
    <w:bookmarkEnd w:id="34"/>
    <w:bookmarkStart w:id="35" w:name="X5e77598a0d8cc85377be9b7c3f3028f0ae31fa5"/>
    <w:p>
      <w:pPr>
        <w:pStyle w:val="Heading3"/>
      </w:pPr>
      <w:r>
        <w:t xml:space="preserve">7.3 Profils utilisateurs (rôle fonctionnel, orthogonal aux modèles d’usage)</w:t>
      </w:r>
    </w:p>
    <w:p>
      <w:pPr>
        <w:pStyle w:val="FirstParagraph"/>
      </w:pPr>
      <w:r>
        <w:t xml:space="preserve">🟢[Document] En complément des modèles d’usage (qui structurent la facturation et le rattachement), les profils suivants structurent les</w:t>
      </w:r>
      <w:r>
        <w:t xml:space="preserve"> </w:t>
      </w:r>
      <w:r>
        <w:rPr>
          <w:bCs/>
          <w:b/>
        </w:rPr>
        <w:t xml:space="preserve">droits d’accès</w:t>
      </w:r>
      <w:r>
        <w:t xml:space="preserve">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Profil</w:t>
            </w:r>
          </w:p>
        </w:tc>
        <w:tc>
          <w:tcPr/>
          <w:p>
            <w:pPr>
              <w:pStyle w:val="Compact"/>
              <w:jc w:val="left"/>
            </w:pPr>
            <w:r>
              <w:t xml:space="preserve">Rôle</w:t>
            </w:r>
          </w:p>
        </w:tc>
      </w:tr>
      <w:tr>
        <w:tc>
          <w:tcPr/>
          <w:p>
            <w:pPr>
              <w:pStyle w:val="Compact"/>
              <w:jc w:val="left"/>
            </w:pPr>
            <w:r>
              <w:rPr>
                <w:bCs/>
                <w:b/>
              </w:rPr>
              <w:t xml:space="preserve">Entreprise (dirigeant)</w:t>
            </w:r>
          </w:p>
        </w:tc>
        <w:tc>
          <w:tcPr/>
          <w:p>
            <w:pPr>
              <w:pStyle w:val="Compact"/>
              <w:jc w:val="left"/>
            </w:pPr>
            <w:r>
              <w:t xml:space="preserve">Client principal ; pilote son activité depuis son tableau de bord (Score de Conformité, activité de son équipe, documents à signer, rapports, échéances, factures et abonnements)</w:t>
            </w:r>
          </w:p>
        </w:tc>
      </w:tr>
      <w:tr>
        <w:tc>
          <w:tcPr/>
          <w:p>
            <w:pPr>
              <w:pStyle w:val="Compact"/>
              <w:jc w:val="left"/>
            </w:pPr>
            <w:r>
              <w:rPr>
                <w:bCs/>
                <w:b/>
              </w:rPr>
              <w:t xml:space="preserve">Secrétaire de gestion</w:t>
            </w:r>
          </w:p>
        </w:tc>
        <w:tc>
          <w:tcPr/>
          <w:p>
            <w:pPr>
              <w:pStyle w:val="Compact"/>
              <w:jc w:val="left"/>
            </w:pPr>
            <w:r>
              <w:t xml:space="preserve">Cœur du dispositif administratif (interne, pool GEL, ou indépendante)</w:t>
            </w:r>
          </w:p>
        </w:tc>
      </w:tr>
      <w:tr>
        <w:tc>
          <w:tcPr/>
          <w:p>
            <w:pPr>
              <w:pStyle w:val="Compact"/>
              <w:jc w:val="left"/>
            </w:pPr>
            <w:r>
              <w:rPr>
                <w:bCs/>
                <w:b/>
              </w:rPr>
              <w:t xml:space="preserve">Comptable</w:t>
            </w:r>
          </w:p>
        </w:tc>
        <w:tc>
          <w:tcPr/>
          <w:p>
            <w:pPr>
              <w:pStyle w:val="Compact"/>
              <w:jc w:val="left"/>
            </w:pPr>
            <w:r>
              <w:t xml:space="preserve">Gestion financière : pièces comptables, déclarations, trésorerie, états financiers</w:t>
            </w:r>
          </w:p>
        </w:tc>
      </w:tr>
      <w:tr>
        <w:tc>
          <w:tcPr/>
          <w:p>
            <w:pPr>
              <w:pStyle w:val="Compact"/>
              <w:jc w:val="left"/>
            </w:pPr>
            <w:r>
              <w:rPr>
                <w:bCs/>
                <w:b/>
              </w:rPr>
              <w:t xml:space="preserve">Consultant</w:t>
            </w:r>
          </w:p>
        </w:tc>
        <w:tc>
          <w:tcPr/>
          <w:p>
            <w:pPr>
              <w:pStyle w:val="Compact"/>
              <w:jc w:val="left"/>
            </w:pPr>
            <w:r>
              <w:t xml:space="preserve">Intervention ponctuelle (juriste, fiscaliste, expert RH, informatique, gestion) — accès limité aux seuls dossiers confiés</w:t>
            </w:r>
          </w:p>
        </w:tc>
      </w:tr>
      <w:tr>
        <w:tc>
          <w:tcPr/>
          <w:p>
            <w:pPr>
              <w:pStyle w:val="Compact"/>
              <w:jc w:val="left"/>
            </w:pPr>
            <w:r>
              <w:rPr>
                <w:bCs/>
                <w:b/>
              </w:rPr>
              <w:t xml:space="preserve">Professionnel indépendant</w:t>
            </w:r>
          </w:p>
        </w:tc>
        <w:tc>
          <w:tcPr/>
          <w:p>
            <w:pPr>
              <w:pStyle w:val="Compact"/>
              <w:jc w:val="left"/>
            </w:pPr>
            <w:r>
              <w:t xml:space="preserve">Utilise GEL comme bureau numérique pour gérer ses propres clients (Marketplace)</w:t>
            </w:r>
          </w:p>
        </w:tc>
      </w:tr>
      <w:tr>
        <w:tc>
          <w:tcPr/>
          <w:p>
            <w:pPr>
              <w:pStyle w:val="Compact"/>
              <w:jc w:val="left"/>
            </w:pPr>
            <w:r>
              <w:rPr>
                <w:bCs/>
                <w:b/>
              </w:rPr>
              <w:t xml:space="preserve">Administrateur d’Entreprise</w:t>
            </w:r>
          </w:p>
        </w:tc>
        <w:tc>
          <w:tcPr/>
          <w:p>
            <w:pPr>
              <w:pStyle w:val="Compact"/>
              <w:jc w:val="left"/>
            </w:pPr>
            <w:r>
              <w:t xml:space="preserve">Dirigeant/responsable qui gère son équipe interne, ses permissions, son abonnement, l’activation de ses portails</w:t>
            </w:r>
          </w:p>
        </w:tc>
      </w:tr>
      <w:tr>
        <w:tc>
          <w:tcPr/>
          <w:p>
            <w:pPr>
              <w:pStyle w:val="Compact"/>
              <w:jc w:val="left"/>
            </w:pPr>
            <w:r>
              <w:rPr>
                <w:bCs/>
                <w:b/>
              </w:rPr>
              <w:t xml:space="preserve">Administrateur GEL (Super Administrateur)</w:t>
            </w:r>
          </w:p>
        </w:tc>
        <w:tc>
          <w:tcPr/>
          <w:p>
            <w:pPr>
              <w:pStyle w:val="Compact"/>
              <w:jc w:val="left"/>
            </w:pPr>
            <w:r>
              <w:t xml:space="preserve">Pilote la plateforme : entreprises, équipes, abonnements, configuration globale</w:t>
            </w:r>
          </w:p>
        </w:tc>
      </w:tr>
      <w:tr>
        <w:tc>
          <w:tcPr/>
          <w:p>
            <w:pPr>
              <w:pStyle w:val="Compact"/>
              <w:jc w:val="left"/>
            </w:pPr>
            <w:r>
              <w:rPr>
                <w:bCs/>
                <w:b/>
              </w:rPr>
              <w:t xml:space="preserve">Administrateur système</w:t>
            </w:r>
          </w:p>
        </w:tc>
        <w:tc>
          <w:tcPr/>
          <w:p>
            <w:pPr>
              <w:pStyle w:val="Compact"/>
              <w:jc w:val="left"/>
            </w:pPr>
            <w:r>
              <w:t xml:space="preserve">Supervision technique de la plateforme</w:t>
            </w:r>
          </w:p>
        </w:tc>
      </w:tr>
      <w:tr>
        <w:tc>
          <w:tcPr/>
          <w:p>
            <w:pPr>
              <w:pStyle w:val="Compact"/>
              <w:jc w:val="left"/>
            </w:pPr>
            <w:r>
              <w:rPr>
                <w:bCs/>
                <w:b/>
              </w:rPr>
              <w:t xml:space="preserve">Superviseur</w:t>
            </w:r>
          </w:p>
        </w:tc>
        <w:tc>
          <w:tcPr/>
          <w:p>
            <w:pPr>
              <w:pStyle w:val="Compact"/>
              <w:jc w:val="left"/>
            </w:pPr>
            <w:r>
              <w:t xml:space="preserve">Contrôle qualité et performance, rattaché à l’Administrateur GEL</w:t>
            </w:r>
          </w:p>
        </w:tc>
      </w:tr>
    </w:tbl>
    <w:p>
      <w:pPr>
        <w:pStyle w:val="BodyText"/>
      </w:pPr>
      <w:r>
        <w:rPr>
          <w:bCs/>
          <w:b/>
        </w:rPr>
        <w:t xml:space="preserve">Règle transversale</w:t>
      </w:r>
      <w:r>
        <w:t xml:space="preserve"> </w:t>
      </w:r>
      <w:r>
        <w:t xml:space="preserve">🟢[Document] : chaque profil n’accède qu’aux ressources et actions que son rôle autorise (principe du moindre privilège — voir modèle Rôle/Permissions en Partie 26).</w:t>
      </w:r>
    </w:p>
    <w:bookmarkEnd w:id="35"/>
    <w:bookmarkStart w:id="36" w:name="schéma-hiérarchique-des-comptes"/>
    <w:p>
      <w:pPr>
        <w:pStyle w:val="Heading3"/>
      </w:pPr>
      <w:r>
        <w:t xml:space="preserve">7.4 Schéma hiérarchique des comptes</w:t>
      </w:r>
    </w:p>
    <w:p>
      <w:pPr>
        <w:pStyle w:val="FirstParagraph"/>
      </w:pPr>
      <w:r>
        <w:t xml:space="preserve">🟢[Document]</w:t>
      </w:r>
    </w:p>
    <w:p>
      <w:pPr>
        <w:pStyle w:val="SourceCode"/>
      </w:pPr>
      <w:r>
        <w:rPr>
          <w:rStyle w:val="VerbatimChar"/>
        </w:rPr>
        <w:t xml:space="preserve">SUPER ADMINISTRATEUR (1-2 comptes, propriétaire de la plateforme)</w:t>
      </w:r>
      <w:r>
        <w:br/>
      </w:r>
      <w:r>
        <w:rPr>
          <w:rStyle w:val="VerbatimChar"/>
        </w:rPr>
        <w:t xml:space="preserve"> │  crée et gère les plans tarifaires ; supervise toutes les entreprises (mode support journalisé)</w:t>
      </w:r>
      <w:r>
        <w:br/>
      </w:r>
      <w:r>
        <w:rPr>
          <w:rStyle w:val="VerbatimChar"/>
        </w:rPr>
        <w:t xml:space="preserve"> ▼</w:t>
      </w:r>
      <w:r>
        <w:br/>
      </w:r>
      <w:r>
        <w:rPr>
          <w:rStyle w:val="VerbatimChar"/>
        </w:rPr>
        <w:t xml:space="preserve">ADMINISTRATEUR D'ENTREPRISE (1 par entreprise cliente)</w:t>
      </w:r>
      <w:r>
        <w:br/>
      </w:r>
      <w:r>
        <w:rPr>
          <w:rStyle w:val="VerbatimChar"/>
        </w:rPr>
        <w:t xml:space="preserve"> │  souscrit et paie un plan ; active/désactive les portails ; invite son équipe (Modèle 1)</w:t>
      </w:r>
      <w:r>
        <w:br/>
      </w:r>
      <w:r>
        <w:rPr>
          <w:rStyle w:val="VerbatimChar"/>
        </w:rPr>
        <w:t xml:space="preserve"> │  ou reçoit une affectation du pool GEL (Modèle 2) ; définit les permissions fines de chaque membre</w:t>
      </w:r>
      <w:r>
        <w:br/>
      </w:r>
      <w:r>
        <w:rPr>
          <w:rStyle w:val="VerbatimChar"/>
        </w:rPr>
        <w:t xml:space="preserve"> ▼</w:t>
      </w:r>
      <w:r>
        <w:br/>
      </w:r>
      <w:r>
        <w:rPr>
          <w:rStyle w:val="VerbatimChar"/>
        </w:rPr>
        <w:t xml:space="preserve">SECRÉTAIRE / COMPTABLE affecté ou invité</w:t>
      </w:r>
      <w:r>
        <w:br/>
      </w:r>
      <w:r>
        <w:rPr>
          <w:rStyle w:val="VerbatimChar"/>
        </w:rPr>
        <w:t xml:space="preserve">    accès complet et isolé aux données des entreprises qui lui sont rattachées, dans la limite</w:t>
      </w:r>
      <w:r>
        <w:br/>
      </w:r>
      <w:r>
        <w:rPr>
          <w:rStyle w:val="VerbatimChar"/>
        </w:rPr>
        <w:t xml:space="preserve">    des permissions accordées ; reçoit et traite les demandes soumises par les clients finaux</w:t>
      </w:r>
    </w:p>
    <w:bookmarkEnd w:id="36"/>
    <w:bookmarkStart w:id="37" w:name="Xff0f2d55abde8a3e20e20d281ff3a0547f12c76"/>
    <w:p>
      <w:pPr>
        <w:pStyle w:val="Heading3"/>
      </w:pPr>
      <w:r>
        <w:t xml:space="preserve">7.5 Phases futures de la plateforme (aperçu — détail en Partie 39)</w:t>
      </w:r>
    </w:p>
    <w:p>
      <w:pPr>
        <w:pStyle w:val="FirstParagraph"/>
      </w:pPr>
      <w:r>
        <w:t xml:space="preserve">🟢[Document]</w:t>
      </w:r>
    </w:p>
    <w:p>
      <w:pPr>
        <w:numPr>
          <w:ilvl w:val="0"/>
          <w:numId w:val="1008"/>
        </w:numPr>
        <w:pStyle w:val="Compact"/>
      </w:pPr>
      <w:r>
        <w:rPr>
          <w:bCs/>
          <w:b/>
        </w:rPr>
        <w:t xml:space="preserve">Phase 2</w:t>
      </w:r>
      <w:r>
        <w:t xml:space="preserve"> </w:t>
      </w:r>
      <w:r>
        <w:t xml:space="preserve">: ouverture aux professionnels indépendants (secrétaires, comptables, consultants, fiscalistes, experts RH), avec tableau de bord, agenda, GED, messagerie, suivi des tâches et espace client dédiés.</w:t>
      </w:r>
    </w:p>
    <w:p>
      <w:pPr>
        <w:numPr>
          <w:ilvl w:val="0"/>
          <w:numId w:val="1008"/>
        </w:numPr>
        <w:pStyle w:val="Compact"/>
      </w:pPr>
      <w:r>
        <w:rPr>
          <w:bCs/>
          <w:b/>
        </w:rPr>
        <w:t xml:space="preserve">Phase 3/4</w:t>
      </w:r>
      <w:r>
        <w:t xml:space="preserve"> </w:t>
      </w:r>
      <w:r>
        <w:t xml:space="preserve">: Marketplace de mise en relation directe entre une entreprise et un professionnel référencé (profil, compétences, disponibilités, évaluations).</w:t>
      </w:r>
    </w:p>
    <w:bookmarkEnd w:id="37"/>
    <w:bookmarkEnd w:id="38"/>
    <w:bookmarkStart w:id="41" w:name="X5daf6d4ba03e491eba1674a6e74968316741587"/>
    <w:p>
      <w:pPr>
        <w:pStyle w:val="Heading2"/>
      </w:pPr>
      <w:r>
        <w:t xml:space="preserve">8. Profils utilisateurs et hiérarchie des rôles — détail des permissions</w:t>
      </w:r>
    </w:p>
    <w:bookmarkStart w:id="39" w:name="X7d24aa81cbaef0906d9ead5524d9c5ab8f697e6"/>
    <w:p>
      <w:pPr>
        <w:pStyle w:val="Heading3"/>
      </w:pPr>
      <w:r>
        <w:t xml:space="preserve">8.1 Principe du moindre privilège et permissions par ressource/action</w:t>
      </w:r>
    </w:p>
    <w:p>
      <w:pPr>
        <w:pStyle w:val="FirstParagraph"/>
      </w:pPr>
      <w:r>
        <w:t xml:space="preserve">🟢[Document] C’est l’Administrateur d’Entreprise, et lui seul, qui définit les droits d’accès de chaque secrétaire et de chaque comptable rattaché à son entreprise, selon le principe du</w:t>
      </w:r>
      <w:r>
        <w:t xml:space="preserve"> </w:t>
      </w:r>
      <w:r>
        <w:rPr>
          <w:bCs/>
          <w:b/>
        </w:rPr>
        <w:t xml:space="preserve">moindre privilège</w:t>
      </w:r>
      <w:r>
        <w:t xml:space="preserve"> </w:t>
      </w:r>
      <w:r>
        <w:t xml:space="preserve">: chaque membre n’a accès qu’à ce qui est strictement nécessaire à sa fonction, ajustable au cas par cas plutôt que figé sur 2-3 rôles standards.</w:t>
      </w:r>
    </w:p>
    <w:p>
      <w:pPr>
        <w:numPr>
          <w:ilvl w:val="0"/>
          <w:numId w:val="1009"/>
        </w:numPr>
        <w:pStyle w:val="Compact"/>
      </w:pPr>
      <w:r>
        <w:rPr>
          <w:bCs/>
          <w:b/>
        </w:rPr>
        <w:t xml:space="preserve">Interface à cocher/décocher</w:t>
      </w:r>
      <w:r>
        <w:t xml:space="preserve"> </w:t>
      </w:r>
      <w:r>
        <w:t xml:space="preserve">: pour chaque membre, l’Administrateur voit la liste des modules (Documents, Contacts, Agenda, Courriers, Comptabilité, Facturation, Banque, Rapports…) avec, pour chacun, des cases correspondant aux actions autorisées :</w:t>
      </w:r>
      <w:r>
        <w:t xml:space="preserve"> </w:t>
      </w:r>
      <w:r>
        <w:rPr>
          <w:bCs/>
          <w:b/>
        </w:rPr>
        <w:t xml:space="preserve">Voir, Créer, Modifier, Supprimer, Exporter, Valider</w:t>
      </w:r>
      <w:r>
        <w:t xml:space="preserve">.</w:t>
      </w:r>
    </w:p>
    <w:p>
      <w:pPr>
        <w:numPr>
          <w:ilvl w:val="0"/>
          <w:numId w:val="1009"/>
        </w:numPr>
        <w:pStyle w:val="Compact"/>
      </w:pPr>
      <w:r>
        <w:t xml:space="preserve">Application immédiate des modifications de droits, sans reconnexion nécessaire.</w:t>
      </w:r>
    </w:p>
    <w:p>
      <w:pPr>
        <w:numPr>
          <w:ilvl w:val="0"/>
          <w:numId w:val="1009"/>
        </w:numPr>
        <w:pStyle w:val="Compact"/>
      </w:pPr>
      <w:r>
        <w:rPr>
          <w:bCs/>
          <w:b/>
        </w:rPr>
        <w:t xml:space="preserve">Modèles de permissions préconfigurés</w:t>
      </w:r>
      <w:r>
        <w:t xml:space="preserve"> </w:t>
      </w:r>
      <w:r>
        <w:t xml:space="preserve">(« Secrétaire standard », « Comptable senior », « Lecture seule »), modifiables.</w:t>
      </w:r>
    </w:p>
    <w:p>
      <w:pPr>
        <w:numPr>
          <w:ilvl w:val="0"/>
          <w:numId w:val="1009"/>
        </w:numPr>
        <w:pStyle w:val="Compact"/>
      </w:pPr>
      <w:r>
        <w:t xml:space="preserve">Toute modification de permission est journalisée : qui a changé quel droit, pour qui, quand.</w:t>
      </w:r>
    </w:p>
    <w:p>
      <w:pPr>
        <w:pStyle w:val="FirstParagraph"/>
      </w:pPr>
      <w:r>
        <w:t xml:space="preserve">Bonne pratique retenue : des permissions organisées</w:t>
      </w:r>
      <w:r>
        <w:t xml:space="preserve"> </w:t>
      </w:r>
      <w:r>
        <w:rPr>
          <w:bCs/>
          <w:b/>
        </w:rPr>
        <w:t xml:space="preserve">par ressource et par action</w:t>
      </w:r>
      <w:r>
        <w:t xml:space="preserve"> </w:t>
      </w:r>
      <w:r>
        <w:t xml:space="preserve">plutôt que par rôle figé unique — pour éviter l’écueil fréquent de l’accès « tout ou rien » — tout en évitant de multiplier les rôles à l’infini.</w:t>
      </w:r>
    </w:p>
    <w:bookmarkEnd w:id="39"/>
    <w:bookmarkStart w:id="40" w:name="rôles-complémentaires-recommandés"/>
    <w:p>
      <w:pPr>
        <w:pStyle w:val="Heading3"/>
      </w:pPr>
      <w:r>
        <w:t xml:space="preserve">8.2 Rôles complémentaires recommandés</w:t>
      </w:r>
    </w:p>
    <w:p>
      <w:pPr>
        <w:pStyle w:val="FirstParagraph"/>
      </w:pPr>
      <w:r>
        <w:t xml:space="preserve">🟢[Document] En complément des rôles Secrétaire et Comptable déjà spécifiés, à valider avec l’équipe avant développement, à introduire seulement après consolidation du socle :</w:t>
      </w:r>
    </w:p>
    <w:p>
      <w:pPr>
        <w:numPr>
          <w:ilvl w:val="0"/>
          <w:numId w:val="1010"/>
        </w:numPr>
        <w:pStyle w:val="Compact"/>
      </w:pPr>
      <w:r>
        <w:rPr>
          <w:bCs/>
          <w:b/>
        </w:rPr>
        <w:t xml:space="preserve">Assistant(e) Ressources Humaines</w:t>
      </w:r>
      <w:r>
        <w:t xml:space="preserve"> </w:t>
      </w:r>
      <w:r>
        <w:t xml:space="preserve">— rôle dédié pour les entreprises à volume RH conséquent (dossiers du personnel, contrats de travail, paie, congés, recrutement).</w:t>
      </w:r>
    </w:p>
    <w:p>
      <w:pPr>
        <w:numPr>
          <w:ilvl w:val="0"/>
          <w:numId w:val="1010"/>
        </w:numPr>
        <w:pStyle w:val="Compact"/>
      </w:pPr>
      <w:r>
        <w:rPr>
          <w:bCs/>
          <w:b/>
        </w:rPr>
        <w:t xml:space="preserve">Réviseur / Auditeur externe (lecture seule)</w:t>
      </w:r>
      <w:r>
        <w:t xml:space="preserve"> </w:t>
      </w:r>
      <w:r>
        <w:t xml:space="preserve">— accès strictement en consultation, pour un commissaire aux comptes ou auditeur externe missionné ponctuellement.</w:t>
      </w:r>
    </w:p>
    <w:p>
      <w:pPr>
        <w:numPr>
          <w:ilvl w:val="0"/>
          <w:numId w:val="1010"/>
        </w:numPr>
        <w:pStyle w:val="Compact"/>
      </w:pPr>
      <w:r>
        <w:rPr>
          <w:bCs/>
          <w:b/>
        </w:rPr>
        <w:t xml:space="preserve">Conseiller fiscal</w:t>
      </w:r>
      <w:r>
        <w:t xml:space="preserve"> </w:t>
      </w:r>
      <w:r>
        <w:t xml:space="preserve">— rôle intermédiaire entre Comptable et Administrateur, accès aux déclarations et à la conformité fiscale sans nécessairement la saisie quotidienne — pertinent en phase 3/4 (indépendants, Marketplace).</w:t>
      </w:r>
    </w:p>
    <w:p>
      <w:pPr>
        <w:pStyle w:val="FirstParagraph"/>
      </w:pPr>
      <w:r>
        <w:t xml:space="preserve">🟠[Proposition complémentaire] Pour couvrir la dimension comptable et fiscale approfondie objet de ce cahier des charges, les rôles suivants complètent la liste :</w:t>
      </w:r>
    </w:p>
    <w:p>
      <w:pPr>
        <w:numPr>
          <w:ilvl w:val="0"/>
          <w:numId w:val="1011"/>
        </w:numPr>
        <w:pStyle w:val="Compact"/>
      </w:pPr>
      <w:r>
        <w:rPr>
          <w:bCs/>
          <w:b/>
        </w:rPr>
        <w:t xml:space="preserve">Comptable senior / Chef de mission</w:t>
      </w:r>
      <w:r>
        <w:t xml:space="preserve"> </w:t>
      </w:r>
      <w:r>
        <w:t xml:space="preserve">— valide les écritures et les états financiers produits par un comptable junior, autorise la clôture d’une période.</w:t>
      </w:r>
    </w:p>
    <w:p>
      <w:pPr>
        <w:numPr>
          <w:ilvl w:val="0"/>
          <w:numId w:val="1011"/>
        </w:numPr>
        <w:pStyle w:val="Compact"/>
      </w:pPr>
      <w:r>
        <w:rPr>
          <w:bCs/>
          <w:b/>
        </w:rPr>
        <w:t xml:space="preserve">Fiscaliste</w:t>
      </w:r>
      <w:r>
        <w:t xml:space="preserve"> </w:t>
      </w:r>
      <w:r>
        <w:t xml:space="preserve">— paramètre et supervise le moteur fiscal (taux, seuils, échéances) pour un ou plusieurs pays ; distinct du Conseiller fiscal côté entreprise, il agit au niveau plateforme ou cabinet.</w:t>
      </w:r>
    </w:p>
    <w:p>
      <w:pPr>
        <w:numPr>
          <w:ilvl w:val="0"/>
          <w:numId w:val="1011"/>
        </w:numPr>
        <w:pStyle w:val="Compact"/>
      </w:pPr>
      <w:r>
        <w:rPr>
          <w:bCs/>
          <w:b/>
        </w:rPr>
        <w:t xml:space="preserve">Caissier</w:t>
      </w:r>
      <w:r>
        <w:t xml:space="preserve"> </w:t>
      </w:r>
      <w:r>
        <w:t xml:space="preserve">— accès restreint au module Caisse (encaissements/décaissements de faible montant), sans accès à la comptabilité générale.</w:t>
      </w:r>
    </w:p>
    <w:p>
      <w:pPr>
        <w:numPr>
          <w:ilvl w:val="0"/>
          <w:numId w:val="1011"/>
        </w:numPr>
        <w:pStyle w:val="Compact"/>
      </w:pPr>
      <w:r>
        <w:rPr>
          <w:bCs/>
          <w:b/>
        </w:rPr>
        <w:t xml:space="preserve">Auditeur GEL (plateforme)</w:t>
      </w:r>
      <w:r>
        <w:t xml:space="preserve"> </w:t>
      </w:r>
      <w:r>
        <w:t xml:space="preserve">— rôle de supervision transverse pour l’Administrateur GEL, en lecture seule sur l’historique et les journaux de sécurité de toutes les entités, dans le cadre du mode support journalisé.</w:t>
      </w:r>
    </w:p>
    <w:bookmarkEnd w:id="40"/>
    <w:bookmarkEnd w:id="41"/>
    <w:bookmarkStart w:id="45" w:name="modules-fonctionnels-vue-densemble"/>
    <w:p>
      <w:pPr>
        <w:pStyle w:val="Heading2"/>
      </w:pPr>
      <w:r>
        <w:t xml:space="preserve">9. Modules fonctionnels — vue d’ensemble</w:t>
      </w:r>
    </w:p>
    <w:p>
      <w:pPr>
        <w:pStyle w:val="FirstParagraph"/>
      </w:pPr>
      <w:r>
        <w:t xml:space="preserve">🟢[Document] Vue consolidée de tous les modules identifiés dans les documents source, organisés par portail. Cette table sert de table des matières fonctionnelle ; chaque ligne renvoie à la partie qui la détaille.</w:t>
      </w:r>
    </w:p>
    <w:bookmarkStart w:id="42" w:name="portail-gel-secrétariat"/>
    <w:p>
      <w:pPr>
        <w:pStyle w:val="Heading3"/>
      </w:pPr>
      <w:r>
        <w:t xml:space="preserve">9.1 Portail GEL-SECRÉTARIAT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Statut</w:t>
            </w:r>
          </w:p>
        </w:tc>
        <w:tc>
          <w:tcPr/>
          <w:p>
            <w:pPr>
              <w:pStyle w:val="Compact"/>
              <w:jc w:val="left"/>
            </w:pPr>
            <w:r>
              <w:t xml:space="preserve">Détail</w:t>
            </w:r>
          </w:p>
        </w:tc>
      </w:tr>
      <w:tr>
        <w:tc>
          <w:tcPr/>
          <w:p>
            <w:pPr>
              <w:pStyle w:val="Compact"/>
              <w:jc w:val="left"/>
            </w:pPr>
            <w:r>
              <w:t xml:space="preserve">Documents (GED structurée : Relevés bancaires, Factures, Déclarations, Courriers, Contrats, Bilans, Administratif)</w:t>
            </w:r>
          </w:p>
        </w:tc>
        <w:tc>
          <w:tcPr/>
          <w:p>
            <w:pPr>
              <w:pStyle w:val="Compact"/>
              <w:jc w:val="left"/>
            </w:pPr>
            <w:r>
              <w:t xml:space="preserve">Existant</w:t>
            </w:r>
          </w:p>
        </w:tc>
        <w:tc>
          <w:tcPr/>
          <w:p>
            <w:pPr>
              <w:pStyle w:val="Compact"/>
              <w:jc w:val="left"/>
            </w:pPr>
            <w:r>
              <w:t xml:space="preserve">Partie 16</w:t>
            </w:r>
          </w:p>
        </w:tc>
      </w:tr>
      <w:tr>
        <w:tc>
          <w:tcPr/>
          <w:p>
            <w:pPr>
              <w:pStyle w:val="Compact"/>
              <w:jc w:val="left"/>
            </w:pPr>
            <w:r>
              <w:t xml:space="preserve">Contacts</w:t>
            </w:r>
          </w:p>
        </w:tc>
        <w:tc>
          <w:tcPr/>
          <w:p>
            <w:pPr>
              <w:pStyle w:val="Compact"/>
              <w:jc w:val="left"/>
            </w:pPr>
            <w:r>
              <w:t xml:space="preserve">Existant</w:t>
            </w:r>
          </w:p>
        </w:tc>
        <w:tc>
          <w:tcPr/>
          <w:p>
            <w:pPr>
              <w:pStyle w:val="Compact"/>
              <w:jc w:val="left"/>
            </w:pPr>
            <w:r>
              <w:t xml:space="preserve">Partie 21</w:t>
            </w:r>
          </w:p>
        </w:tc>
      </w:tr>
      <w:tr>
        <w:tc>
          <w:tcPr/>
          <w:p>
            <w:pPr>
              <w:pStyle w:val="Compact"/>
              <w:jc w:val="left"/>
            </w:pPr>
            <w:r>
              <w:t xml:space="preserve">Agenda</w:t>
            </w:r>
          </w:p>
        </w:tc>
        <w:tc>
          <w:tcPr/>
          <w:p>
            <w:pPr>
              <w:pStyle w:val="Compact"/>
              <w:jc w:val="left"/>
            </w:pPr>
            <w:r>
              <w:t xml:space="preserve">Existant</w:t>
            </w:r>
          </w:p>
        </w:tc>
        <w:tc>
          <w:tcPr/>
          <w:p>
            <w:pPr>
              <w:pStyle w:val="Compact"/>
              <w:jc w:val="left"/>
            </w:pPr>
            <w:r>
              <w:t xml:space="preserve">Partie 30</w:t>
            </w:r>
          </w:p>
        </w:tc>
      </w:tr>
      <w:tr>
        <w:tc>
          <w:tcPr/>
          <w:p>
            <w:pPr>
              <w:pStyle w:val="Compact"/>
              <w:jc w:val="left"/>
            </w:pPr>
            <w:r>
              <w:t xml:space="preserve">Procès-Verbaux</w:t>
            </w:r>
          </w:p>
        </w:tc>
        <w:tc>
          <w:tcPr/>
          <w:p>
            <w:pPr>
              <w:pStyle w:val="Compact"/>
              <w:jc w:val="left"/>
            </w:pPr>
            <w:r>
              <w:t xml:space="preserve">Existant</w:t>
            </w:r>
          </w:p>
        </w:tc>
        <w:tc>
          <w:tcPr/>
          <w:p>
            <w:pPr>
              <w:pStyle w:val="Compact"/>
              <w:jc w:val="left"/>
            </w:pPr>
            <w:r>
              <w:t xml:space="preserve">—</w:t>
            </w:r>
          </w:p>
        </w:tc>
      </w:tr>
      <w:tr>
        <w:tc>
          <w:tcPr/>
          <w:p>
            <w:pPr>
              <w:pStyle w:val="Compact"/>
              <w:jc w:val="left"/>
            </w:pPr>
            <w:r>
              <w:t xml:space="preserve">Courriers (workflow 6 étapes : Création → Validation → Visa → Envoi → Archivage)</w:t>
            </w:r>
          </w:p>
        </w:tc>
        <w:tc>
          <w:tcPr/>
          <w:p>
            <w:pPr>
              <w:pStyle w:val="Compact"/>
              <w:jc w:val="left"/>
            </w:pPr>
            <w:r>
              <w:t xml:space="preserve">Existant</w:t>
            </w:r>
          </w:p>
        </w:tc>
        <w:tc>
          <w:tcPr/>
          <w:p>
            <w:pPr>
              <w:pStyle w:val="Compact"/>
              <w:jc w:val="left"/>
            </w:pPr>
            <w:r>
              <w:t xml:space="preserve">Partie 30</w:t>
            </w:r>
          </w:p>
        </w:tc>
      </w:tr>
      <w:tr>
        <w:tc>
          <w:tcPr/>
          <w:p>
            <w:pPr>
              <w:pStyle w:val="Compact"/>
              <w:jc w:val="left"/>
            </w:pPr>
            <w:r>
              <w:t xml:space="preserve">Journal d’appels</w:t>
            </w:r>
          </w:p>
        </w:tc>
        <w:tc>
          <w:tcPr/>
          <w:p>
            <w:pPr>
              <w:pStyle w:val="Compact"/>
              <w:jc w:val="left"/>
            </w:pPr>
            <w:r>
              <w:t xml:space="preserve">Existant</w:t>
            </w:r>
          </w:p>
        </w:tc>
        <w:tc>
          <w:tcPr/>
          <w:p>
            <w:pPr>
              <w:pStyle w:val="Compact"/>
              <w:jc w:val="left"/>
            </w:pPr>
            <w:r>
              <w:t xml:space="preserve">—</w:t>
            </w:r>
          </w:p>
        </w:tc>
      </w:tr>
      <w:tr>
        <w:tc>
          <w:tcPr/>
          <w:p>
            <w:pPr>
              <w:pStyle w:val="Compact"/>
              <w:jc w:val="left"/>
            </w:pPr>
            <w:r>
              <w:t xml:space="preserve">Messagerie temps réel</w:t>
            </w:r>
          </w:p>
        </w:tc>
        <w:tc>
          <w:tcPr/>
          <w:p>
            <w:pPr>
              <w:pStyle w:val="Compact"/>
              <w:jc w:val="left"/>
            </w:pPr>
            <w:r>
              <w:t xml:space="preserve">Existant</w:t>
            </w:r>
          </w:p>
        </w:tc>
        <w:tc>
          <w:tcPr/>
          <w:p>
            <w:pPr>
              <w:pStyle w:val="Compact"/>
              <w:jc w:val="left"/>
            </w:pPr>
            <w:r>
              <w:t xml:space="preserve">Partie 27</w:t>
            </w:r>
          </w:p>
        </w:tc>
      </w:tr>
      <w:tr>
        <w:tc>
          <w:tcPr/>
          <w:p>
            <w:pPr>
              <w:pStyle w:val="Compact"/>
              <w:jc w:val="left"/>
            </w:pPr>
            <w:r>
              <w:t xml:space="preserve">Tâches (Kanban 3 colonnes)</w:t>
            </w:r>
          </w:p>
        </w:tc>
        <w:tc>
          <w:tcPr/>
          <w:p>
            <w:pPr>
              <w:pStyle w:val="Compact"/>
              <w:jc w:val="left"/>
            </w:pPr>
            <w:r>
              <w:t xml:space="preserve">Existant</w:t>
            </w:r>
          </w:p>
        </w:tc>
        <w:tc>
          <w:tcPr/>
          <w:p>
            <w:pPr>
              <w:pStyle w:val="Compact"/>
              <w:jc w:val="left"/>
            </w:pPr>
            <w:r>
              <w:t xml:space="preserve">—</w:t>
            </w:r>
          </w:p>
        </w:tc>
      </w:tr>
      <w:tr>
        <w:tc>
          <w:tcPr/>
          <w:p>
            <w:pPr>
              <w:pStyle w:val="Compact"/>
              <w:jc w:val="left"/>
            </w:pPr>
            <w:r>
              <w:t xml:space="preserve">Relances (devis, contrats, documents expirés, paiements attendus)</w:t>
            </w:r>
          </w:p>
        </w:tc>
        <w:tc>
          <w:tcPr/>
          <w:p>
            <w:pPr>
              <w:pStyle w:val="Compact"/>
              <w:jc w:val="left"/>
            </w:pPr>
            <w:r>
              <w:t xml:space="preserve">Existant</w:t>
            </w:r>
          </w:p>
        </w:tc>
        <w:tc>
          <w:tcPr/>
          <w:p>
            <w:pPr>
              <w:pStyle w:val="Compact"/>
              <w:jc w:val="left"/>
            </w:pPr>
            <w:r>
              <w:t xml:space="preserve">—</w:t>
            </w:r>
          </w:p>
        </w:tc>
      </w:tr>
      <w:tr>
        <w:tc>
          <w:tcPr/>
          <w:p>
            <w:pPr>
              <w:pStyle w:val="Compact"/>
              <w:jc w:val="left"/>
            </w:pPr>
            <w:r>
              <w:t xml:space="preserve">Historique / traçabilité</w:t>
            </w:r>
          </w:p>
        </w:tc>
        <w:tc>
          <w:tcPr/>
          <w:p>
            <w:pPr>
              <w:pStyle w:val="Compact"/>
              <w:jc w:val="left"/>
            </w:pPr>
            <w:r>
              <w:t xml:space="preserve">Existant</w:t>
            </w:r>
          </w:p>
        </w:tc>
        <w:tc>
          <w:tcPr/>
          <w:p>
            <w:pPr>
              <w:pStyle w:val="Compact"/>
              <w:jc w:val="left"/>
            </w:pPr>
            <w:r>
              <w:t xml:space="preserve">Partie 26</w:t>
            </w:r>
          </w:p>
        </w:tc>
      </w:tr>
      <w:tr>
        <w:tc>
          <w:tcPr/>
          <w:p>
            <w:pPr>
              <w:pStyle w:val="Compact"/>
              <w:jc w:val="left"/>
            </w:pPr>
            <w:r>
              <w:t xml:space="preserve">Déplacements &amp; Événements</w:t>
            </w:r>
          </w:p>
        </w:tc>
        <w:tc>
          <w:tcPr/>
          <w:p>
            <w:pPr>
              <w:pStyle w:val="Compact"/>
              <w:jc w:val="left"/>
            </w:pPr>
            <w:r>
              <w:t xml:space="preserve">À ajouter</w:t>
            </w:r>
          </w:p>
        </w:tc>
        <w:tc>
          <w:tcPr/>
          <w:p>
            <w:pPr>
              <w:pStyle w:val="Compact"/>
              <w:jc w:val="left"/>
            </w:pPr>
            <w:r>
              <w:t xml:space="preserve">—</w:t>
            </w:r>
          </w:p>
        </w:tc>
      </w:tr>
      <w:tr>
        <w:tc>
          <w:tcPr/>
          <w:p>
            <w:pPr>
              <w:pStyle w:val="Compact"/>
              <w:jc w:val="left"/>
            </w:pPr>
            <w:r>
              <w:t xml:space="preserve">RH de premier niveau</w:t>
            </w:r>
          </w:p>
        </w:tc>
        <w:tc>
          <w:tcPr/>
          <w:p>
            <w:pPr>
              <w:pStyle w:val="Compact"/>
              <w:jc w:val="left"/>
            </w:pPr>
            <w:r>
              <w:t xml:space="preserve">À ajouter</w:t>
            </w:r>
          </w:p>
        </w:tc>
        <w:tc>
          <w:tcPr/>
          <w:p>
            <w:pPr>
              <w:pStyle w:val="Compact"/>
              <w:jc w:val="left"/>
            </w:pPr>
            <w:r>
              <w:t xml:space="preserve">Partie 20</w:t>
            </w:r>
          </w:p>
        </w:tc>
      </w:tr>
      <w:tr>
        <w:tc>
          <w:tcPr/>
          <w:p>
            <w:pPr>
              <w:pStyle w:val="Compact"/>
              <w:jc w:val="left"/>
            </w:pPr>
            <w:r>
              <w:t xml:space="preserve">Notes de frais &amp; suivi financier léger</w:t>
            </w:r>
          </w:p>
        </w:tc>
        <w:tc>
          <w:tcPr/>
          <w:p>
            <w:pPr>
              <w:pStyle w:val="Compact"/>
              <w:jc w:val="left"/>
            </w:pPr>
            <w:r>
              <w:t xml:space="preserve">À ajouter</w:t>
            </w:r>
          </w:p>
        </w:tc>
        <w:tc>
          <w:tcPr/>
          <w:p>
            <w:pPr>
              <w:pStyle w:val="Compact"/>
              <w:jc w:val="left"/>
            </w:pPr>
            <w:r>
              <w:t xml:space="preserve">Partie 21</w:t>
            </w:r>
          </w:p>
        </w:tc>
      </w:tr>
      <w:tr>
        <w:tc>
          <w:tcPr/>
          <w:p>
            <w:pPr>
              <w:pStyle w:val="Compact"/>
              <w:jc w:val="left"/>
            </w:pPr>
            <w:r>
              <w:t xml:space="preserve">Signature électronique, alertes d’échéance contractuelle</w:t>
            </w:r>
          </w:p>
        </w:tc>
        <w:tc>
          <w:tcPr/>
          <w:p>
            <w:pPr>
              <w:pStyle w:val="Compact"/>
              <w:jc w:val="left"/>
            </w:pPr>
            <w:r>
              <w:t xml:space="preserve">À ajouter</w:t>
            </w:r>
          </w:p>
        </w:tc>
        <w:tc>
          <w:tcPr/>
          <w:p>
            <w:pPr>
              <w:pStyle w:val="Compact"/>
              <w:jc w:val="left"/>
            </w:pPr>
            <w:r>
              <w:t xml:space="preserve">Partie 16</w:t>
            </w:r>
          </w:p>
        </w:tc>
      </w:tr>
    </w:tbl>
    <w:bookmarkEnd w:id="42"/>
    <w:bookmarkStart w:id="43" w:name="Xd147349013320a70787cc8165152df47799ad8c"/>
    <w:p>
      <w:pPr>
        <w:pStyle w:val="Heading3"/>
      </w:pPr>
      <w:r>
        <w:t xml:space="preserve">9.2 Portail GEL-COMPTABILITÉ (anciennement « GEL Accountant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Statut</w:t>
            </w:r>
          </w:p>
        </w:tc>
        <w:tc>
          <w:tcPr/>
          <w:p>
            <w:pPr>
              <w:pStyle w:val="Compact"/>
              <w:jc w:val="left"/>
            </w:pPr>
            <w:r>
              <w:t xml:space="preserve">Détail</w:t>
            </w:r>
          </w:p>
        </w:tc>
      </w:tr>
      <w:tr>
        <w:tc>
          <w:tcPr/>
          <w:p>
            <w:pPr>
              <w:pStyle w:val="Compact"/>
              <w:jc w:val="left"/>
            </w:pPr>
            <w:r>
              <w:t xml:space="preserve">Comptabilité générale (plan SYSCOHADA, écritures, journaux, grand livre, balance, états financiers)</w:t>
            </w:r>
          </w:p>
        </w:tc>
        <w:tc>
          <w:tcPr/>
          <w:p>
            <w:pPr>
              <w:pStyle w:val="Compact"/>
              <w:jc w:val="left"/>
            </w:pPr>
            <w:r>
              <w:t xml:space="preserve">Existant (prototype confirmé)</w:t>
            </w:r>
          </w:p>
        </w:tc>
        <w:tc>
          <w:tcPr/>
          <w:p>
            <w:pPr>
              <w:pStyle w:val="Compact"/>
              <w:jc w:val="left"/>
            </w:pPr>
            <w:r>
              <w:t xml:space="preserve">Partie 10</w:t>
            </w:r>
          </w:p>
        </w:tc>
      </w:tr>
      <w:tr>
        <w:tc>
          <w:tcPr/>
          <w:p>
            <w:pPr>
              <w:pStyle w:val="Compact"/>
              <w:jc w:val="left"/>
            </w:pPr>
            <w:r>
              <w:t xml:space="preserve">Facturation (TVA 18 %, numérotation séquentielle, e-MECeF/Sygmef, devis, factures récurrentes, relances)</w:t>
            </w:r>
          </w:p>
        </w:tc>
        <w:tc>
          <w:tcPr/>
          <w:p>
            <w:pPr>
              <w:pStyle w:val="Compact"/>
              <w:jc w:val="left"/>
            </w:pPr>
            <w:r>
              <w:t xml:space="preserve">Existant (prototype confirmé)</w:t>
            </w:r>
          </w:p>
        </w:tc>
        <w:tc>
          <w:tcPr/>
          <w:p>
            <w:pPr>
              <w:pStyle w:val="Compact"/>
              <w:jc w:val="left"/>
            </w:pPr>
            <w:r>
              <w:t xml:space="preserve">Partie 21</w:t>
            </w:r>
          </w:p>
        </w:tc>
      </w:tr>
      <w:tr>
        <w:tc>
          <w:tcPr/>
          <w:p>
            <w:pPr>
              <w:pStyle w:val="Compact"/>
              <w:jc w:val="left"/>
            </w:pPr>
            <w:r>
              <w:t xml:space="preserve">Dépenses &amp; Achats (factures fournisseurs, bons de commande, notes de frais)</w:t>
            </w:r>
          </w:p>
        </w:tc>
        <w:tc>
          <w:tcPr/>
          <w:p>
            <w:pPr>
              <w:pStyle w:val="Compact"/>
              <w:jc w:val="left"/>
            </w:pPr>
            <w:r>
              <w:t xml:space="preserve">Existant (prototype confirmé)</w:t>
            </w:r>
          </w:p>
        </w:tc>
        <w:tc>
          <w:tcPr/>
          <w:p>
            <w:pPr>
              <w:pStyle w:val="Compact"/>
              <w:jc w:val="left"/>
            </w:pPr>
            <w:r>
              <w:t xml:space="preserve">Partie 21</w:t>
            </w:r>
          </w:p>
        </w:tc>
      </w:tr>
      <w:tr>
        <w:tc>
          <w:tcPr/>
          <w:p>
            <w:pPr>
              <w:pStyle w:val="Compact"/>
              <w:jc w:val="left"/>
            </w:pPr>
            <w:r>
              <w:t xml:space="preserve">Banque (transactions, rapprochement, règles automatiques)</w:t>
            </w:r>
          </w:p>
        </w:tc>
        <w:tc>
          <w:tcPr/>
          <w:p>
            <w:pPr>
              <w:pStyle w:val="Compact"/>
              <w:jc w:val="left"/>
            </w:pPr>
            <w:r>
              <w:t xml:space="preserve">Existant (prototype confirmé)</w:t>
            </w:r>
          </w:p>
        </w:tc>
        <w:tc>
          <w:tcPr/>
          <w:p>
            <w:pPr>
              <w:pStyle w:val="Compact"/>
              <w:jc w:val="left"/>
            </w:pPr>
            <w:r>
              <w:t xml:space="preserve">Partie 17</w:t>
            </w:r>
          </w:p>
        </w:tc>
      </w:tr>
      <w:tr>
        <w:tc>
          <w:tcPr/>
          <w:p>
            <w:pPr>
              <w:pStyle w:val="Compact"/>
              <w:jc w:val="left"/>
            </w:pPr>
            <w:r>
              <w:t xml:space="preserve">Analyse (rapports standards, centre de performance)</w:t>
            </w:r>
          </w:p>
        </w:tc>
        <w:tc>
          <w:tcPr/>
          <w:p>
            <w:pPr>
              <w:pStyle w:val="Compact"/>
              <w:jc w:val="left"/>
            </w:pPr>
            <w:r>
              <w:t xml:space="preserve">Existant</w:t>
            </w:r>
          </w:p>
        </w:tc>
        <w:tc>
          <w:tcPr/>
          <w:p>
            <w:pPr>
              <w:pStyle w:val="Compact"/>
              <w:jc w:val="left"/>
            </w:pPr>
            <w:r>
              <w:t xml:space="preserve">Partie 24</w:t>
            </w:r>
          </w:p>
        </w:tc>
      </w:tr>
      <w:tr>
        <w:tc>
          <w:tcPr/>
          <w:p>
            <w:pPr>
              <w:pStyle w:val="Compact"/>
              <w:jc w:val="left"/>
            </w:pPr>
            <w:r>
              <w:t xml:space="preserve">Paie &amp; Charges sociales (ITS, CNSS)</w:t>
            </w:r>
          </w:p>
        </w:tc>
        <w:tc>
          <w:tcPr/>
          <w:p>
            <w:pPr>
              <w:pStyle w:val="Compact"/>
              <w:jc w:val="left"/>
            </w:pPr>
            <w:r>
              <w:t xml:space="preserve">À ajouter</w:t>
            </w:r>
          </w:p>
        </w:tc>
        <w:tc>
          <w:tcPr/>
          <w:p>
            <w:pPr>
              <w:pStyle w:val="Compact"/>
              <w:jc w:val="left"/>
            </w:pPr>
            <w:r>
              <w:t xml:space="preserve">Partie 20</w:t>
            </w:r>
          </w:p>
        </w:tc>
      </w:tr>
      <w:tr>
        <w:tc>
          <w:tcPr/>
          <w:p>
            <w:pPr>
              <w:pStyle w:val="Compact"/>
              <w:jc w:val="left"/>
            </w:pPr>
            <w:r>
              <w:t xml:space="preserve">Immobilisations</w:t>
            </w:r>
          </w:p>
        </w:tc>
        <w:tc>
          <w:tcPr/>
          <w:p>
            <w:pPr>
              <w:pStyle w:val="Compact"/>
              <w:jc w:val="left"/>
            </w:pPr>
            <w:r>
              <w:t xml:space="preserve">À ajouter</w:t>
            </w:r>
          </w:p>
        </w:tc>
        <w:tc>
          <w:tcPr/>
          <w:p>
            <w:pPr>
              <w:pStyle w:val="Compact"/>
              <w:jc w:val="left"/>
            </w:pPr>
            <w:r>
              <w:t xml:space="preserve">Partie 19</w:t>
            </w:r>
          </w:p>
        </w:tc>
      </w:tr>
      <w:tr>
        <w:tc>
          <w:tcPr/>
          <w:p>
            <w:pPr>
              <w:pStyle w:val="Compact"/>
              <w:jc w:val="left"/>
            </w:pPr>
            <w:r>
              <w:t xml:space="preserve">Stocks</w:t>
            </w:r>
          </w:p>
        </w:tc>
        <w:tc>
          <w:tcPr/>
          <w:p>
            <w:pPr>
              <w:pStyle w:val="Compact"/>
              <w:jc w:val="left"/>
            </w:pPr>
            <w:r>
              <w:t xml:space="preserve">À ajouter</w:t>
            </w:r>
          </w:p>
        </w:tc>
        <w:tc>
          <w:tcPr/>
          <w:p>
            <w:pPr>
              <w:pStyle w:val="Compact"/>
              <w:jc w:val="left"/>
            </w:pPr>
            <w:r>
              <w:t xml:space="preserve">Partie 18</w:t>
            </w:r>
          </w:p>
        </w:tc>
      </w:tr>
      <w:tr>
        <w:tc>
          <w:tcPr/>
          <w:p>
            <w:pPr>
              <w:pStyle w:val="Compact"/>
              <w:jc w:val="left"/>
            </w:pPr>
            <w:r>
              <w:t xml:space="preserve">Trésorerie prévisionnelle</w:t>
            </w:r>
          </w:p>
        </w:tc>
        <w:tc>
          <w:tcPr/>
          <w:p>
            <w:pPr>
              <w:pStyle w:val="Compact"/>
              <w:jc w:val="left"/>
            </w:pPr>
            <w:r>
              <w:t xml:space="preserve">À ajouter</w:t>
            </w:r>
          </w:p>
        </w:tc>
        <w:tc>
          <w:tcPr/>
          <w:p>
            <w:pPr>
              <w:pStyle w:val="Compact"/>
              <w:jc w:val="left"/>
            </w:pPr>
            <w:r>
              <w:t xml:space="preserve">Partie 17</w:t>
            </w:r>
          </w:p>
        </w:tc>
      </w:tr>
      <w:tr>
        <w:tc>
          <w:tcPr/>
          <w:p>
            <w:pPr>
              <w:pStyle w:val="Compact"/>
              <w:jc w:val="left"/>
            </w:pPr>
            <w:r>
              <w:t xml:space="preserve">Administration du portail (équipe, invitations)</w:t>
            </w:r>
          </w:p>
        </w:tc>
        <w:tc>
          <w:tcPr/>
          <w:p>
            <w:pPr>
              <w:pStyle w:val="Compact"/>
              <w:jc w:val="left"/>
            </w:pPr>
            <w:r>
              <w:t xml:space="preserve">Existant</w:t>
            </w:r>
          </w:p>
        </w:tc>
        <w:tc>
          <w:tcPr/>
          <w:p>
            <w:pPr>
              <w:pStyle w:val="Compact"/>
              <w:jc w:val="left"/>
            </w:pPr>
            <w:r>
              <w:t xml:space="preserve">Partie 8</w:t>
            </w:r>
          </w:p>
        </w:tc>
      </w:tr>
    </w:tbl>
    <w:bookmarkEnd w:id="43"/>
    <w:bookmarkStart w:id="44" w:name="X9fe05d0806d8dc2c3bd3350f46409a0178991dd"/>
    <w:p>
      <w:pPr>
        <w:pStyle w:val="Heading3"/>
      </w:pPr>
      <w:r>
        <w:t xml:space="preserve">9.3 Modules transverses (nouveaux, issus de la fusion et de la mission comptable)</w:t>
      </w:r>
    </w:p>
    <w:p>
      <w:pPr>
        <w:pStyle w:val="FirstParagraph"/>
      </w:pPr>
      <w:r>
        <w:t xml:space="preserve">🟠[Proposition complémentaire] Ces modules n’étaient pas isolés en tant que tels dans les documents source, mais sont indispensables à la cohérence d’un système comptable et fiscal complet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Détail</w:t>
            </w:r>
          </w:p>
        </w:tc>
      </w:tr>
      <w:tr>
        <w:tc>
          <w:tcPr/>
          <w:p>
            <w:pPr>
              <w:pStyle w:val="Compact"/>
              <w:jc w:val="left"/>
            </w:pPr>
            <w:r>
              <w:t xml:space="preserve">Moteur fiscal multi-pays paramétrable</w:t>
            </w:r>
          </w:p>
        </w:tc>
        <w:tc>
          <w:tcPr/>
          <w:p>
            <w:pPr>
              <w:pStyle w:val="Compact"/>
              <w:jc w:val="left"/>
            </w:pPr>
            <w:r>
              <w:t xml:space="preserve">Partie 11</w:t>
            </w:r>
          </w:p>
        </w:tc>
      </w:tr>
      <w:tr>
        <w:tc>
          <w:tcPr/>
          <w:p>
            <w:pPr>
              <w:pStyle w:val="Compact"/>
              <w:jc w:val="left"/>
            </w:pPr>
            <w:r>
              <w:t xml:space="preserve">Comptabilité analytique (centres de coûts, projets, marges)</w:t>
            </w:r>
          </w:p>
        </w:tc>
        <w:tc>
          <w:tcPr/>
          <w:p>
            <w:pPr>
              <w:pStyle w:val="Compact"/>
              <w:jc w:val="left"/>
            </w:pPr>
            <w:r>
              <w:t xml:space="preserve">Partie 22</w:t>
            </w:r>
          </w:p>
        </w:tc>
      </w:tr>
      <w:tr>
        <w:tc>
          <w:tcPr/>
          <w:p>
            <w:pPr>
              <w:pStyle w:val="Compact"/>
              <w:jc w:val="left"/>
            </w:pPr>
            <w:r>
              <w:t xml:space="preserve">Budgets et prévisionnel</w:t>
            </w:r>
          </w:p>
        </w:tc>
        <w:tc>
          <w:tcPr/>
          <w:p>
            <w:pPr>
              <w:pStyle w:val="Compact"/>
              <w:jc w:val="left"/>
            </w:pPr>
            <w:r>
              <w:t xml:space="preserve">Partie 23</w:t>
            </w:r>
          </w:p>
        </w:tc>
      </w:tr>
      <w:tr>
        <w:tc>
          <w:tcPr/>
          <w:p>
            <w:pPr>
              <w:pStyle w:val="Compact"/>
              <w:jc w:val="left"/>
            </w:pPr>
            <w:r>
              <w:t xml:space="preserve">Assistant de clôture comptable intelligent</w:t>
            </w:r>
          </w:p>
        </w:tc>
        <w:tc>
          <w:tcPr/>
          <w:p>
            <w:pPr>
              <w:pStyle w:val="Compact"/>
              <w:jc w:val="left"/>
            </w:pPr>
            <w:r>
              <w:t xml:space="preserve">Partie 10.6</w:t>
            </w:r>
          </w:p>
        </w:tc>
      </w:tr>
      <w:tr>
        <w:tc>
          <w:tcPr/>
          <w:p>
            <w:pPr>
              <w:pStyle w:val="Compact"/>
              <w:jc w:val="left"/>
            </w:pPr>
            <w:r>
              <w:t xml:space="preserve">Moteur comptable intelligent (lecture facture → écriture proposée)</w:t>
            </w:r>
          </w:p>
        </w:tc>
        <w:tc>
          <w:tcPr/>
          <w:p>
            <w:pPr>
              <w:pStyle w:val="Compact"/>
              <w:jc w:val="left"/>
            </w:pPr>
            <w:r>
              <w:t xml:space="preserve">Partie 13.2</w:t>
            </w:r>
          </w:p>
        </w:tc>
      </w:tr>
      <w:tr>
        <w:tc>
          <w:tcPr/>
          <w:p>
            <w:pPr>
              <w:pStyle w:val="Compact"/>
              <w:jc w:val="left"/>
            </w:pPr>
            <w:r>
              <w:t xml:space="preserve">Copilote comptable GEL (conversationnel, explicable)</w:t>
            </w:r>
          </w:p>
        </w:tc>
        <w:tc>
          <w:tcPr/>
          <w:p>
            <w:pPr>
              <w:pStyle w:val="Compact"/>
              <w:jc w:val="left"/>
            </w:pPr>
            <w:r>
              <w:t xml:space="preserve">Partie 13.6</w:t>
            </w:r>
          </w:p>
        </w:tc>
      </w:tr>
      <w:tr>
        <w:tc>
          <w:tcPr/>
          <w:p>
            <w:pPr>
              <w:pStyle w:val="Compact"/>
              <w:jc w:val="left"/>
            </w:pPr>
            <w:r>
              <w:t xml:space="preserve">Moteur de règles versionné (comptables / fiscales / internes)</w:t>
            </w:r>
          </w:p>
        </w:tc>
        <w:tc>
          <w:tcPr/>
          <w:p>
            <w:pPr>
              <w:pStyle w:val="Compact"/>
              <w:jc w:val="left"/>
            </w:pPr>
            <w:r>
              <w:t xml:space="preserve">Partie 33</w:t>
            </w:r>
          </w:p>
        </w:tc>
      </w:tr>
      <w:tr>
        <w:tc>
          <w:tcPr/>
          <w:p>
            <w:pPr>
              <w:pStyle w:val="Compact"/>
              <w:jc w:val="left"/>
            </w:pPr>
            <w:r>
              <w:t xml:space="preserve">Veille réglementaire (Regulatory Intelligence)</w:t>
            </w:r>
          </w:p>
        </w:tc>
        <w:tc>
          <w:tcPr/>
          <w:p>
            <w:pPr>
              <w:pStyle w:val="Compact"/>
              <w:jc w:val="left"/>
            </w:pPr>
            <w:r>
              <w:t xml:space="preserve">Partie 33</w:t>
            </w:r>
          </w:p>
        </w:tc>
      </w:tr>
      <w:tr>
        <w:tc>
          <w:tcPr/>
          <w:p>
            <w:pPr>
              <w:pStyle w:val="Compact"/>
              <w:jc w:val="left"/>
            </w:pPr>
            <w:r>
              <w:t xml:space="preserve">Gestion des demandes clients (espace interne, sans compte autonome)</w:t>
            </w:r>
          </w:p>
        </w:tc>
        <w:tc>
          <w:tcPr/>
          <w:p>
            <w:pPr>
              <w:pStyle w:val="Compact"/>
              <w:jc w:val="left"/>
            </w:pPr>
            <w:r>
              <w:t xml:space="preserve">Partie 30.2</w:t>
            </w:r>
          </w:p>
        </w:tc>
      </w:tr>
      <w:tr>
        <w:tc>
          <w:tcPr/>
          <w:p>
            <w:pPr>
              <w:pStyle w:val="Compact"/>
              <w:jc w:val="left"/>
            </w:pPr>
            <w:r>
              <w:t xml:space="preserve">Mode Cabinet (multi-entreprises pour cabinets comptables)</w:t>
            </w:r>
          </w:p>
        </w:tc>
        <w:tc>
          <w:tcPr/>
          <w:p>
            <w:pPr>
              <w:pStyle w:val="Compact"/>
              <w:jc w:val="left"/>
            </w:pPr>
            <w:r>
              <w:t xml:space="preserve">Partie 35</w:t>
            </w:r>
          </w:p>
        </w:tc>
      </w:tr>
      <w:tr>
        <w:tc>
          <w:tcPr/>
          <w:p>
            <w:pPr>
              <w:pStyle w:val="Compact"/>
              <w:jc w:val="left"/>
            </w:pPr>
            <w:r>
              <w:t xml:space="preserve">Mode Institution (hiérarchie, cas GEC/UAC)</w:t>
            </w:r>
          </w:p>
        </w:tc>
        <w:tc>
          <w:tcPr/>
          <w:p>
            <w:pPr>
              <w:pStyle w:val="Compact"/>
              <w:jc w:val="left"/>
            </w:pPr>
            <w:r>
              <w:t xml:space="preserve">Partie 35</w:t>
            </w:r>
          </w:p>
        </w:tc>
      </w:tr>
    </w:tbl>
    <w:p>
      <w:r>
        <w:pict>
          <v:rect style="width:0;height:1.5pt" o:hralign="center" o:hrstd="t" o:hr="t"/>
        </w:pict>
      </w:r>
    </w:p>
    <w:bookmarkEnd w:id="44"/>
    <w:bookmarkEnd w:id="45"/>
    <w:bookmarkStart w:id="55" w:name="comptabilité-générale-syscohada"/>
    <w:p>
      <w:pPr>
        <w:pStyle w:val="Heading2"/>
      </w:pPr>
      <w:r>
        <w:t xml:space="preserve">10. Comptabilité générale SYSCOHADA</w:t>
      </w:r>
    </w:p>
    <w:bookmarkStart w:id="46" w:name="principe-directeur"/>
    <w:p>
      <w:pPr>
        <w:pStyle w:val="Heading3"/>
      </w:pPr>
      <w:r>
        <w:t xml:space="preserve">10.1 Principe directeur</w:t>
      </w:r>
    </w:p>
    <w:p>
      <w:pPr>
        <w:pStyle w:val="FirstParagraph"/>
      </w:pPr>
      <w:r>
        <w:t xml:space="preserve">🟢[Document] Le comptable travaille directement depuis la plateforme, sans ressaisie manuelle des pièces déjà transmises par le secrétariat. La comptabilité doit rester</w:t>
      </w:r>
      <w:r>
        <w:t xml:space="preserve"> </w:t>
      </w:r>
      <w:r>
        <w:rPr>
          <w:bCs/>
          <w:b/>
        </w:rPr>
        <w:t xml:space="preserve">conforme au référentiel SYSCOHADA/AUDCIF même lorsque l’IA intervient</w:t>
      </w:r>
      <w:r>
        <w:t xml:space="preserve"> </w:t>
      </w:r>
      <w:r>
        <w:t xml:space="preserve">— l’IA propose, l’humain valide, la norme comptable n’est jamais contournée. 🟠[Proposition complémentaire — reformulation de la Règle 8 du prompt maître]</w:t>
      </w:r>
    </w:p>
    <w:bookmarkEnd w:id="46"/>
    <w:bookmarkStart w:id="47" w:name="Xa8b49ebd2a89a642aa7c38d443da934a128bc6f"/>
    <w:p>
      <w:pPr>
        <w:pStyle w:val="Heading3"/>
      </w:pPr>
      <w:r>
        <w:t xml:space="preserve">10.2 Le plan comptable SYSCOHADA — structure des 9 classes</w:t>
      </w:r>
    </w:p>
    <w:p>
      <w:pPr>
        <w:pStyle w:val="FirstParagraph"/>
      </w:pPr>
      <w:r>
        <w:t xml:space="preserve">🔵[Réglementaire — nomenclature officielle AUDCIF/SYSCOHADA révisé, en vigueur depuis le 1er janvier 2018, extraite de la référence demandée plan-comptable-ohada.com] Le plan comptable GEL doit être</w:t>
      </w:r>
      <w:r>
        <w:t xml:space="preserve"> </w:t>
      </w:r>
      <w:r>
        <w:rPr>
          <w:bCs/>
          <w:b/>
        </w:rPr>
        <w:t xml:space="preserve">préchargé, complet et personnalisable</w:t>
      </w:r>
      <w:r>
        <w:t xml:space="preserve">, structuré autour des 9 classes suivantes. Cette nomenclature constitue le</w:t>
      </w:r>
      <w:r>
        <w:t xml:space="preserve"> </w:t>
      </w:r>
      <w:r>
        <w:rPr>
          <w:bCs/>
          <w:b/>
        </w:rPr>
        <w:t xml:space="preserve">socle comptable commun</w:t>
      </w:r>
      <w:r>
        <w:t xml:space="preserve"> </w:t>
      </w:r>
      <w:r>
        <w:t xml:space="preserve">à tous les pays de l’espace OHADA (voir séparation avec le moteur fiscal, Partie 11).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Intitulé</w:t>
            </w:r>
          </w:p>
        </w:tc>
        <w:tc>
          <w:tcPr/>
          <w:p>
            <w:pPr>
              <w:pStyle w:val="Compact"/>
              <w:jc w:val="left"/>
            </w:pPr>
            <w:r>
              <w:t xml:space="preserve">Nature</w:t>
            </w:r>
          </w:p>
        </w:tc>
        <w:tc>
          <w:tcPr/>
          <w:p>
            <w:pPr>
              <w:pStyle w:val="Compact"/>
              <w:jc w:val="left"/>
            </w:pPr>
            <w:r>
              <w:t xml:space="preserve">Comptes principaux (2 chiffres)</w:t>
            </w:r>
          </w:p>
        </w:tc>
      </w:tr>
      <w:tr>
        <w:tc>
          <w:tcPr/>
          <w:p>
            <w:pPr>
              <w:pStyle w:val="Compact"/>
              <w:jc w:val="left"/>
            </w:pPr>
            <w:r>
              <w:rPr>
                <w:bCs/>
                <w:b/>
              </w:rPr>
              <w:t xml:space="preserve">1</w:t>
            </w:r>
          </w:p>
        </w:tc>
        <w:tc>
          <w:tcPr/>
          <w:p>
            <w:pPr>
              <w:pStyle w:val="Compact"/>
              <w:jc w:val="left"/>
            </w:pPr>
            <w:r>
              <w:t xml:space="preserve">Comptes de ressources durables</w:t>
            </w:r>
          </w:p>
        </w:tc>
        <w:tc>
          <w:tcPr/>
          <w:p>
            <w:pPr>
              <w:pStyle w:val="Compact"/>
              <w:jc w:val="left"/>
            </w:pPr>
            <w:r>
              <w:t xml:space="preserve">Bilan — Passif</w:t>
            </w:r>
          </w:p>
        </w:tc>
        <w:tc>
          <w:tcPr/>
          <w:p>
            <w:pPr>
              <w:pStyle w:val="Compact"/>
              <w:jc w:val="left"/>
            </w:pPr>
            <w:r>
              <w:t xml:space="preserve">10 Capital · 11 Réserves · 12 Report à nouveau · 13 Résultat net · 14 Subventions d’investissement · 15 Provisions réglementées · 16 Emprunts et dettes assimilées · 17 Dettes de location-acquisition · 18 Dettes liées à des participations · 19 Provisions pour risques et charges</w:t>
            </w:r>
          </w:p>
        </w:tc>
      </w:tr>
      <w:tr>
        <w:tc>
          <w:tcPr/>
          <w:p>
            <w:pPr>
              <w:pStyle w:val="Compact"/>
              <w:jc w:val="left"/>
            </w:pPr>
            <w:r>
              <w:rPr>
                <w:bCs/>
                <w:b/>
              </w:rPr>
              <w:t xml:space="preserve">2</w:t>
            </w:r>
          </w:p>
        </w:tc>
        <w:tc>
          <w:tcPr/>
          <w:p>
            <w:pPr>
              <w:pStyle w:val="Compact"/>
              <w:jc w:val="left"/>
            </w:pPr>
            <w:r>
              <w:t xml:space="preserve">Comptes d’actif immobilisé</w:t>
            </w:r>
          </w:p>
        </w:tc>
        <w:tc>
          <w:tcPr/>
          <w:p>
            <w:pPr>
              <w:pStyle w:val="Compact"/>
              <w:jc w:val="left"/>
            </w:pPr>
            <w:r>
              <w:t xml:space="preserve">Bilan — Actif</w:t>
            </w:r>
          </w:p>
        </w:tc>
        <w:tc>
          <w:tcPr/>
          <w:p>
            <w:pPr>
              <w:pStyle w:val="Compact"/>
              <w:jc w:val="left"/>
            </w:pPr>
            <w:r>
              <w:t xml:space="preserve">21 Immobilisations incorporelles · 22 Terrains · 23 Bâtiments, installations techniques · 24 Matériel, mobilier, actifs biologiques · 25 Avances/acomptes sur immobilisations · 26 Titres de participation · 27 Autres immobilisations financières · 28 Amortissements · 29 Dépréciations</w:t>
            </w:r>
          </w:p>
        </w:tc>
      </w:tr>
      <w:tr>
        <w:tc>
          <w:tcPr/>
          <w:p>
            <w:pPr>
              <w:pStyle w:val="Compact"/>
              <w:jc w:val="left"/>
            </w:pPr>
            <w:r>
              <w:rPr>
                <w:bCs/>
                <w:b/>
              </w:rPr>
              <w:t xml:space="preserve">3</w:t>
            </w:r>
          </w:p>
        </w:tc>
        <w:tc>
          <w:tcPr/>
          <w:p>
            <w:pPr>
              <w:pStyle w:val="Compact"/>
              <w:jc w:val="left"/>
            </w:pPr>
            <w:r>
              <w:t xml:space="preserve">Comptes de stocks</w:t>
            </w:r>
          </w:p>
        </w:tc>
        <w:tc>
          <w:tcPr/>
          <w:p>
            <w:pPr>
              <w:pStyle w:val="Compact"/>
              <w:jc w:val="left"/>
            </w:pPr>
            <w:r>
              <w:t xml:space="preserve">Bilan — Actif</w:t>
            </w:r>
          </w:p>
        </w:tc>
        <w:tc>
          <w:tcPr/>
          <w:p>
            <w:pPr>
              <w:pStyle w:val="Compact"/>
              <w:jc w:val="left"/>
            </w:pPr>
            <w:r>
              <w:t xml:space="preserve">31 Marchandises · 32 Matières premières · 33 Autres approvisionnements · 34/35 Produits/services en cours · 36 Produits finis · 37 Produits intermédiaires et résiduels · 38 Stocks en cours de route · 39 Dépréciations des stocks</w:t>
            </w:r>
          </w:p>
        </w:tc>
      </w:tr>
      <w:tr>
        <w:tc>
          <w:tcPr/>
          <w:p>
            <w:pPr>
              <w:pStyle w:val="Compact"/>
              <w:jc w:val="left"/>
            </w:pPr>
            <w:r>
              <w:rPr>
                <w:bCs/>
                <w:b/>
              </w:rPr>
              <w:t xml:space="preserve">4</w:t>
            </w:r>
          </w:p>
        </w:tc>
        <w:tc>
          <w:tcPr/>
          <w:p>
            <w:pPr>
              <w:pStyle w:val="Compact"/>
              <w:jc w:val="left"/>
            </w:pPr>
            <w:r>
              <w:t xml:space="preserve">Comptes de tiers</w:t>
            </w:r>
          </w:p>
        </w:tc>
        <w:tc>
          <w:tcPr/>
          <w:p>
            <w:pPr>
              <w:pStyle w:val="Compact"/>
              <w:jc w:val="left"/>
            </w:pPr>
            <w:r>
              <w:t xml:space="preserve">Bilan — Actif/Passif</w:t>
            </w:r>
          </w:p>
        </w:tc>
        <w:tc>
          <w:tcPr/>
          <w:p>
            <w:pPr>
              <w:pStyle w:val="Compact"/>
              <w:jc w:val="left"/>
            </w:pPr>
            <w:r>
              <w:t xml:space="preserve">40 Fournisseurs · 41 Clients · 42 Personnel · 43 Organismes sociaux · 44 État et collectivités publiques · 45 Organismes internationaux · 46 Apporteurs/Associés · 47 Débiteurs et créditeurs divers · 48 Créances/dettes HAO · 49 Dépréciations et provisions à court terme</w:t>
            </w:r>
          </w:p>
        </w:tc>
      </w:tr>
      <w:tr>
        <w:tc>
          <w:tcPr/>
          <w:p>
            <w:pPr>
              <w:pStyle w:val="Compact"/>
              <w:jc w:val="left"/>
            </w:pPr>
            <w:r>
              <w:rPr>
                <w:bCs/>
                <w:b/>
              </w:rPr>
              <w:t xml:space="preserve">5</w:t>
            </w:r>
          </w:p>
        </w:tc>
        <w:tc>
          <w:tcPr/>
          <w:p>
            <w:pPr>
              <w:pStyle w:val="Compact"/>
              <w:jc w:val="left"/>
            </w:pPr>
            <w:r>
              <w:t xml:space="preserve">Comptes de trésorerie</w:t>
            </w:r>
          </w:p>
        </w:tc>
        <w:tc>
          <w:tcPr/>
          <w:p>
            <w:pPr>
              <w:pStyle w:val="Compact"/>
              <w:jc w:val="left"/>
            </w:pPr>
            <w:r>
              <w:t xml:space="preserve">Bilan — Actif/Passif</w:t>
            </w:r>
          </w:p>
        </w:tc>
        <w:tc>
          <w:tcPr/>
          <w:p>
            <w:pPr>
              <w:pStyle w:val="Compact"/>
              <w:jc w:val="left"/>
            </w:pPr>
            <w:r>
              <w:t xml:space="preserve">50 Titres de placement · 51 Valeurs à encaisser · 52 Banques · 53 Établissements financiers · 54 Instruments de trésorerie · 55 Instruments de monnaie électronique (Mobile Money) · 56 Crédits de trésorerie et d’escompte · 57 Caisse · 58 Régies d’avances/virements internes · 59 Dépréciations et provisions trésorerie</w:t>
            </w:r>
          </w:p>
        </w:tc>
      </w:tr>
      <w:tr>
        <w:tc>
          <w:tcPr/>
          <w:p>
            <w:pPr>
              <w:pStyle w:val="Compact"/>
              <w:jc w:val="left"/>
            </w:pPr>
            <w:r>
              <w:rPr>
                <w:bCs/>
                <w:b/>
              </w:rPr>
              <w:t xml:space="preserve">6</w:t>
            </w:r>
          </w:p>
        </w:tc>
        <w:tc>
          <w:tcPr/>
          <w:p>
            <w:pPr>
              <w:pStyle w:val="Compact"/>
              <w:jc w:val="left"/>
            </w:pPr>
            <w:r>
              <w:t xml:space="preserve">Comptes de charges des activités ordinaires</w:t>
            </w:r>
          </w:p>
        </w:tc>
        <w:tc>
          <w:tcPr/>
          <w:p>
            <w:pPr>
              <w:pStyle w:val="Compact"/>
              <w:jc w:val="left"/>
            </w:pPr>
            <w:r>
              <w:t xml:space="preserve">Compte de résultat</w:t>
            </w:r>
          </w:p>
        </w:tc>
        <w:tc>
          <w:tcPr/>
          <w:p>
            <w:pPr>
              <w:pStyle w:val="Compact"/>
              <w:jc w:val="left"/>
            </w:pPr>
            <w:r>
              <w:t xml:space="preserve">60 Achats (sauf 603) · 603 Variations de stocks · 61 Transports · 62 Services extérieurs · 63 Autres services extérieurs ·</w:t>
            </w:r>
            <w:r>
              <w:t xml:space="preserve"> </w:t>
            </w:r>
            <w:r>
              <w:rPr>
                <w:bCs/>
                <w:b/>
              </w:rPr>
              <w:t xml:space="preserve">64 Impôts et taxes</w:t>
            </w:r>
            <w:r>
              <w:t xml:space="preserve"> </w:t>
            </w:r>
            <w:r>
              <w:t xml:space="preserve">· 65 Autres charges · 659 Charges pour dépréciations et provisions · 66 Charges de personnel · 67 Frais financiers · 68 Dotations aux amortissements · 69 Dotations aux provisions/dépréciations</w:t>
            </w:r>
          </w:p>
        </w:tc>
      </w:tr>
      <w:tr>
        <w:tc>
          <w:tcPr/>
          <w:p>
            <w:pPr>
              <w:pStyle w:val="Compact"/>
              <w:jc w:val="left"/>
            </w:pPr>
            <w:r>
              <w:rPr>
                <w:bCs/>
                <w:b/>
              </w:rPr>
              <w:t xml:space="preserve">7</w:t>
            </w:r>
          </w:p>
        </w:tc>
        <w:tc>
          <w:tcPr/>
          <w:p>
            <w:pPr>
              <w:pStyle w:val="Compact"/>
              <w:jc w:val="left"/>
            </w:pPr>
            <w:r>
              <w:t xml:space="preserve">Comptes de produits des activités ordinaires</w:t>
            </w:r>
          </w:p>
        </w:tc>
        <w:tc>
          <w:tcPr/>
          <w:p>
            <w:pPr>
              <w:pStyle w:val="Compact"/>
              <w:jc w:val="left"/>
            </w:pPr>
            <w:r>
              <w:t xml:space="preserve">Compte de résultat</w:t>
            </w:r>
          </w:p>
        </w:tc>
        <w:tc>
          <w:tcPr/>
          <w:p>
            <w:pPr>
              <w:pStyle w:val="Compact"/>
              <w:jc w:val="left"/>
            </w:pPr>
            <w:r>
              <w:t xml:space="preserve">70 Ventes · 71 Subventions d’exploitation · 72 Production immobilisée · 73 Variations de stocks produits · 75 Autres produits · 759 Reprises de charges pour dépréciations/provisions · 77 Revenus financiers · 78 Transferts de charges · 79 Reprises de provisions/dépréciations</w:t>
            </w:r>
          </w:p>
        </w:tc>
      </w:tr>
      <w:tr>
        <w:tc>
          <w:tcPr/>
          <w:p>
            <w:pPr>
              <w:pStyle w:val="Compact"/>
              <w:jc w:val="left"/>
            </w:pPr>
            <w:r>
              <w:rPr>
                <w:bCs/>
                <w:b/>
              </w:rPr>
              <w:t xml:space="preserve">8</w:t>
            </w:r>
          </w:p>
        </w:tc>
        <w:tc>
          <w:tcPr/>
          <w:p>
            <w:pPr>
              <w:pStyle w:val="Compact"/>
              <w:jc w:val="left"/>
            </w:pPr>
            <w:r>
              <w:t xml:space="preserve">Comptes des autres charges et produits (HAO)</w:t>
            </w:r>
          </w:p>
        </w:tc>
        <w:tc>
          <w:tcPr/>
          <w:p>
            <w:pPr>
              <w:pStyle w:val="Compact"/>
              <w:jc w:val="left"/>
            </w:pPr>
            <w:r>
              <w:t xml:space="preserve">Compte de résultat</w:t>
            </w:r>
          </w:p>
        </w:tc>
        <w:tc>
          <w:tcPr/>
          <w:p>
            <w:pPr>
              <w:pStyle w:val="Compact"/>
              <w:jc w:val="left"/>
            </w:pPr>
            <w:r>
              <w:t xml:space="preserve">81 Valeurs comptables des cessions d’immobilisations · 82 Produits des cessions d’immobilisations · 83 Charges HAO · 84 Produits HAO · 85 Dotations HAO · 86 Reprises HAO · 87 Participation des travailleurs · 88 Subventions d’équilibre ·</w:t>
            </w:r>
            <w:r>
              <w:t xml:space="preserve"> </w:t>
            </w:r>
            <w:r>
              <w:rPr>
                <w:bCs/>
                <w:b/>
              </w:rPr>
              <w:t xml:space="preserve">89 Impôts sur le résultat</w:t>
            </w:r>
          </w:p>
        </w:tc>
      </w:tr>
      <w:tr>
        <w:tc>
          <w:tcPr/>
          <w:p>
            <w:pPr>
              <w:pStyle w:val="Compact"/>
              <w:jc w:val="left"/>
            </w:pPr>
            <w:r>
              <w:rPr>
                <w:bCs/>
                <w:b/>
              </w:rPr>
              <w:t xml:space="preserve">9</w:t>
            </w:r>
          </w:p>
        </w:tc>
        <w:tc>
          <w:tcPr/>
          <w:p>
            <w:pPr>
              <w:pStyle w:val="Compact"/>
              <w:jc w:val="left"/>
            </w:pPr>
            <w:r>
              <w:t xml:space="preserve">Engagements hors bilan et comptabilité analytique de gestion</w:t>
            </w:r>
          </w:p>
        </w:tc>
        <w:tc>
          <w:tcPr/>
          <w:p>
            <w:pPr>
              <w:pStyle w:val="Compact"/>
              <w:jc w:val="left"/>
            </w:pPr>
            <w:r>
              <w:t xml:space="preserve">Hors bilan / Analytique</w:t>
            </w:r>
          </w:p>
        </w:tc>
        <w:tc>
          <w:tcPr/>
          <w:p>
            <w:pPr>
              <w:pStyle w:val="Compact"/>
              <w:jc w:val="left"/>
            </w:pPr>
            <w:r>
              <w:t xml:space="preserve">90-91 Engagements obtenus/donnés (financement, garanties, réciproques) · 92-98 Comptabilité analytique (classe libre, structurée par l’entité — voir Partie 22)</w:t>
            </w:r>
          </w:p>
        </w:tc>
      </w:tr>
    </w:tbl>
    <w:p>
      <w:pPr>
        <w:pStyle w:val="BodyText"/>
      </w:pPr>
      <w:r>
        <w:rPr>
          <w:bCs/>
          <w:b/>
        </w:rPr>
        <w:t xml:space="preserve">Précision sur le compte 64 (Impôts et taxes)</w:t>
      </w:r>
      <w:r>
        <w:t xml:space="preserve"> </w:t>
      </w:r>
      <w:r>
        <w:t xml:space="preserve">— spécifiquement demandé par l’utilisateur, point de jonction central entre comptabilité SYSCOHADA (commune) et fiscalité (variable par pays) 🔵[Réglementaire]/🟠[Proposition complémentaire] : le compte 64 enregistre les impôts, taxes et versements assimilés à la charge de l’entité (hors impôt sur les bénéfices, logé en 89, et hors TVA récupérable/collectée, logée en 443/445). C’est le point d’entrée comptable du</w:t>
      </w:r>
      <w:r>
        <w:t xml:space="preserve"> </w:t>
      </w:r>
      <w:r>
        <w:rPr>
          <w:bCs/>
          <w:b/>
        </w:rPr>
        <w:t xml:space="preserve">moteur fiscal</w:t>
      </w:r>
      <w:r>
        <w:t xml:space="preserve"> </w:t>
      </w:r>
      <w:r>
        <w:t xml:space="preserve">(Partie 11) : chaque type d’impôt ou taxe paramétré dans le moteur fiscal d’un pays (Patente, VPS, taxes locales, droits d’enregistrement, etc.) doit être mappé à une subdivision du compte 64 (ou son équivalent nnational), afin que la génération automatique des écritures fiscales (Partie 13.3) reste conforme au plan comptable SYSCOHADA quel que soit le pays.</w:t>
      </w:r>
    </w:p>
    <w:bookmarkEnd w:id="47"/>
    <w:bookmarkStart w:id="48" w:name="fonctionnalités-de-comptabilité-générale"/>
    <w:p>
      <w:pPr>
        <w:pStyle w:val="Heading3"/>
      </w:pPr>
      <w:r>
        <w:t xml:space="preserve">10.3 Fonctionnalités de comptabilité générale</w:t>
      </w:r>
    </w:p>
    <w:p>
      <w:pPr>
        <w:pStyle w:val="FirstParagraph"/>
      </w:pPr>
      <w:r>
        <w:t xml:space="preserve">🟢[Document] Fusion des deux cahiers des charges :</w:t>
      </w:r>
    </w:p>
    <w:p>
      <w:pPr>
        <w:numPr>
          <w:ilvl w:val="0"/>
          <w:numId w:val="1012"/>
        </w:numPr>
        <w:pStyle w:val="Compact"/>
      </w:pPr>
      <w:r>
        <w:rPr>
          <w:bCs/>
          <w:b/>
        </w:rPr>
        <w:t xml:space="preserve">Plan comptable</w:t>
      </w:r>
      <w:r>
        <w:t xml:space="preserve"> </w:t>
      </w:r>
      <w:r>
        <w:t xml:space="preserve">SYSCOHADA préchargé et personnalisable (ajout de sous-comptes par l’entité, dans le respect de la structure officielle).</w:t>
      </w:r>
    </w:p>
    <w:p>
      <w:pPr>
        <w:numPr>
          <w:ilvl w:val="0"/>
          <w:numId w:val="1012"/>
        </w:numPr>
        <w:pStyle w:val="Compact"/>
      </w:pPr>
      <w:r>
        <w:rPr>
          <w:bCs/>
          <w:b/>
        </w:rPr>
        <w:t xml:space="preserve">Saisie d’écritures en partie double</w:t>
      </w:r>
      <w:r>
        <w:t xml:space="preserve">, avec vérification d’équilibre automatique (total débit = total crédit), sur le modèle déjà prototypé (écran « Entrée de journal (OD) »).</w:t>
      </w:r>
    </w:p>
    <w:p>
      <w:pPr>
        <w:numPr>
          <w:ilvl w:val="0"/>
          <w:numId w:val="1012"/>
        </w:numPr>
        <w:pStyle w:val="Compact"/>
      </w:pPr>
      <w:r>
        <w:rPr>
          <w:bCs/>
          <w:b/>
        </w:rPr>
        <w:t xml:space="preserve">Journaux comptables normalisés</w:t>
      </w:r>
      <w:r>
        <w:t xml:space="preserve"> </w:t>
      </w:r>
      <w:r>
        <w:t xml:space="preserve">SYSCOHADA : Achats, Ventes, Banque, Caisse, Opérations diverses (OD), À-nouveaux — chacun avec sa numérotation de pièce automatique.</w:t>
      </w:r>
    </w:p>
    <w:p>
      <w:pPr>
        <w:numPr>
          <w:ilvl w:val="0"/>
          <w:numId w:val="1012"/>
        </w:numPr>
        <w:pStyle w:val="Compact"/>
      </w:pPr>
      <w:r>
        <w:rPr>
          <w:bCs/>
          <w:b/>
        </w:rPr>
        <w:t xml:space="preserve">Grand livre et Balance générale</w:t>
      </w:r>
      <w:r>
        <w:t xml:space="preserve">, calculés dynamiquement à partir des écritures validées.</w:t>
      </w:r>
    </w:p>
    <w:p>
      <w:pPr>
        <w:numPr>
          <w:ilvl w:val="0"/>
          <w:numId w:val="1012"/>
        </w:numPr>
        <w:pStyle w:val="Compact"/>
      </w:pPr>
      <w:r>
        <w:rPr>
          <w:bCs/>
          <w:b/>
        </w:rPr>
        <w:t xml:space="preserve">États financiers</w:t>
      </w:r>
      <w:r>
        <w:t xml:space="preserve"> </w:t>
      </w:r>
      <w:r>
        <w:t xml:space="preserve">exportables en PDF : Bilan (Actif/Passif), Compte de résultat, Soldes Intermédiaires de Gestion (SIG), TAFIRE (Tableau Financier des Ressources et des Emplois), Tableau des flux de trésorerie.</w:t>
      </w:r>
    </w:p>
    <w:p>
      <w:pPr>
        <w:numPr>
          <w:ilvl w:val="0"/>
          <w:numId w:val="1012"/>
        </w:numPr>
        <w:pStyle w:val="Compact"/>
      </w:pPr>
      <w:r>
        <w:rPr>
          <w:bCs/>
          <w:b/>
        </w:rPr>
        <w:t xml:space="preserve">Workflow de validation</w:t>
      </w:r>
      <w:r>
        <w:t xml:space="preserve"> </w:t>
      </w:r>
      <w:r>
        <w:t xml:space="preserve">des écritures : Saisie → Vérification → Validation → Clôture, avec séparation des tâches (principe de contrôle interne).</w:t>
      </w:r>
    </w:p>
    <w:p>
      <w:pPr>
        <w:numPr>
          <w:ilvl w:val="0"/>
          <w:numId w:val="1012"/>
        </w:numPr>
        <w:pStyle w:val="Compact"/>
      </w:pPr>
      <w:r>
        <w:rPr>
          <w:bCs/>
          <w:b/>
        </w:rPr>
        <w:t xml:space="preserve">Contre-passation et extourne</w:t>
      </w:r>
      <w:r>
        <w:t xml:space="preserve"> </w:t>
      </w:r>
      <w:r>
        <w:t xml:space="preserve">— 🟠[Proposition complémentaire] : toute écriture validée ne peut être supprimée ; elle ne peut être annulée que par une écriture de contre-passation (extourne) explicitement tracée dans l’Historique, jamais par suppression physique — condition indispensable de l’audit trail (Partie 26).</w:t>
      </w:r>
    </w:p>
    <w:p>
      <w:pPr>
        <w:numPr>
          <w:ilvl w:val="0"/>
          <w:numId w:val="1012"/>
        </w:numPr>
        <w:pStyle w:val="Compact"/>
      </w:pPr>
      <w:r>
        <w:rPr>
          <w:bCs/>
          <w:b/>
        </w:rPr>
        <w:t xml:space="preserve">Lettrage des comptes de tiers</w:t>
      </w:r>
      <w:r>
        <w:t xml:space="preserve"> </w:t>
      </w:r>
      <w:r>
        <w:t xml:space="preserve">(clients 41, fournisseurs 40) — 🟠[Proposition complémentaire] : rapprochement des factures et des règlements associés, manuel ou assisté par l’IA (Partie 13.2), avec suivi des écarts et des créances/dettes non lettrées au-delà d’un seuil d’ancienneté paramétrable.</w:t>
      </w:r>
    </w:p>
    <w:p>
      <w:pPr>
        <w:numPr>
          <w:ilvl w:val="0"/>
          <w:numId w:val="1012"/>
        </w:numPr>
        <w:pStyle w:val="Compact"/>
      </w:pPr>
      <w:r>
        <w:rPr>
          <w:bCs/>
          <w:b/>
        </w:rPr>
        <w:t xml:space="preserve">Comptes d’attente</w:t>
      </w:r>
      <w:r>
        <w:t xml:space="preserve"> </w:t>
      </w:r>
      <w:r>
        <w:t xml:space="preserve">(comptes 47 « Débiteurs et créditeurs divers ») — 🟠[Proposition complémentaire] : suivi obligatoire dans l’assistant de clôture (Partie 10.6), avec alerte si un compte d’attente reste non soldé au-delà d’une période paramétrable.</w:t>
      </w:r>
    </w:p>
    <w:p>
      <w:pPr>
        <w:numPr>
          <w:ilvl w:val="0"/>
          <w:numId w:val="1012"/>
        </w:numPr>
        <w:pStyle w:val="Compact"/>
      </w:pPr>
      <w:r>
        <w:rPr>
          <w:bCs/>
          <w:b/>
        </w:rPr>
        <w:t xml:space="preserve">Comptes de tiers</w:t>
      </w:r>
      <w:r>
        <w:t xml:space="preserve"> </w:t>
      </w:r>
      <w:r>
        <w:t xml:space="preserve">avec sous-comptes individualisés par client/fournisseur, soldes en temps réel, balance âgée.</w:t>
      </w:r>
    </w:p>
    <w:bookmarkEnd w:id="48"/>
    <w:bookmarkStart w:id="49" w:name="immobilisations-rattachement-classe-2"/>
    <w:p>
      <w:pPr>
        <w:pStyle w:val="Heading3"/>
      </w:pPr>
      <w:r>
        <w:t xml:space="preserve">10.4 Immobilisations (rattachement classe 2)</w:t>
      </w:r>
    </w:p>
    <w:p>
      <w:pPr>
        <w:pStyle w:val="FirstParagraph"/>
      </w:pPr>
      <w:r>
        <w:t xml:space="preserve">🟢[Document]/🟠[Proposition complémentaire pour les précisions de traitement]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Fonction</w:t>
            </w:r>
          </w:p>
        </w:tc>
        <w:tc>
          <w:tcPr/>
          <w:p>
            <w:pPr>
              <w:pStyle w:val="Compact"/>
              <w:jc w:val="left"/>
            </w:pPr>
            <w:r>
              <w:t xml:space="preserve">Détail</w:t>
            </w:r>
          </w:p>
        </w:tc>
      </w:tr>
      <w:tr>
        <w:tc>
          <w:tcPr/>
          <w:p>
            <w:pPr>
              <w:pStyle w:val="Compact"/>
              <w:jc w:val="left"/>
            </w:pPr>
            <w:r>
              <w:t xml:space="preserve">Acquisition</w:t>
            </w:r>
          </w:p>
        </w:tc>
        <w:tc>
          <w:tcPr/>
          <w:p>
            <w:pPr>
              <w:pStyle w:val="Compact"/>
              <w:jc w:val="left"/>
            </w:pPr>
            <w:r>
              <w:t xml:space="preserve">Saisie du coût d’entrée (prix d’achat + frais accessoires + frais d’acquisition, nets de taxes récupérables, conformément à la définition AUDCIF du coût d’acquisition)</w:t>
            </w:r>
          </w:p>
        </w:tc>
      </w:tr>
      <w:tr>
        <w:tc>
          <w:tcPr/>
          <w:p>
            <w:pPr>
              <w:pStyle w:val="Compact"/>
              <w:jc w:val="left"/>
            </w:pPr>
            <w:r>
              <w:t xml:space="preserve">Mise en service</w:t>
            </w:r>
          </w:p>
        </w:tc>
        <w:tc>
          <w:tcPr/>
          <w:p>
            <w:pPr>
              <w:pStyle w:val="Compact"/>
              <w:jc w:val="left"/>
            </w:pPr>
            <w:r>
              <w:t xml:space="preserve">Déclenche le démarrage de l’amortissement, distinct de la date d’acquisition si différente</w:t>
            </w:r>
          </w:p>
        </w:tc>
      </w:tr>
      <w:tr>
        <w:tc>
          <w:tcPr/>
          <w:p>
            <w:pPr>
              <w:pStyle w:val="Compact"/>
              <w:jc w:val="left"/>
            </w:pPr>
            <w:r>
              <w:t xml:space="preserve">Plan d’amortissement</w:t>
            </w:r>
          </w:p>
        </w:tc>
        <w:tc>
          <w:tcPr/>
          <w:p>
            <w:pPr>
              <w:pStyle w:val="Compact"/>
              <w:jc w:val="left"/>
            </w:pPr>
            <w:r>
              <w:t xml:space="preserve">Génération automatique selon la méthode choisie (linéaire, dégressif — selon la législation fiscale du pays paramétré), avec écritures de dotation générées à la clôture (compte 68 par 28)</w:t>
            </w:r>
          </w:p>
        </w:tc>
      </w:tr>
      <w:tr>
        <w:tc>
          <w:tcPr/>
          <w:p>
            <w:pPr>
              <w:pStyle w:val="Compact"/>
              <w:jc w:val="left"/>
            </w:pPr>
            <w:r>
              <w:t xml:space="preserve">Dépréciation</w:t>
            </w:r>
          </w:p>
        </w:tc>
        <w:tc>
          <w:tcPr/>
          <w:p>
            <w:pPr>
              <w:pStyle w:val="Compact"/>
              <w:jc w:val="left"/>
            </w:pPr>
            <w:r>
              <w:t xml:space="preserve">Test de dépréciation, écriture de provision si perte de valeur non irréversible</w:t>
            </w:r>
          </w:p>
        </w:tc>
      </w:tr>
      <w:tr>
        <w:tc>
          <w:tcPr/>
          <w:p>
            <w:pPr>
              <w:pStyle w:val="Compact"/>
              <w:jc w:val="left"/>
            </w:pPr>
            <w:r>
              <w:t xml:space="preserve">Cession</w:t>
            </w:r>
          </w:p>
        </w:tc>
        <w:tc>
          <w:tcPr/>
          <w:p>
            <w:pPr>
              <w:pStyle w:val="Compact"/>
              <w:jc w:val="left"/>
            </w:pPr>
            <w:r>
              <w:t xml:space="preserve">Calcul automatique de la valeur comptable nette, plus ou moins-value (comptes 81/82), sortie du compte d’immobilisation et de son compte d’amortissement cumulé</w:t>
            </w:r>
          </w:p>
        </w:tc>
      </w:tr>
      <w:tr>
        <w:tc>
          <w:tcPr/>
          <w:p>
            <w:pPr>
              <w:pStyle w:val="Compact"/>
              <w:jc w:val="left"/>
            </w:pPr>
            <w:r>
              <w:t xml:space="preserve">Inventaire</w:t>
            </w:r>
          </w:p>
        </w:tc>
        <w:tc>
          <w:tcPr/>
          <w:p>
            <w:pPr>
              <w:pStyle w:val="Compact"/>
              <w:jc w:val="left"/>
            </w:pPr>
            <w:r>
              <w:t xml:space="preserve">Rapprochement physique/comptable périodique, avec registre des immobilisations</w:t>
            </w:r>
          </w:p>
        </w:tc>
      </w:tr>
    </w:tbl>
    <w:bookmarkEnd w:id="49"/>
    <w:bookmarkStart w:id="50" w:name="stocks-rattachement-classe-3"/>
    <w:p>
      <w:pPr>
        <w:pStyle w:val="Heading3"/>
      </w:pPr>
      <w:r>
        <w:t xml:space="preserve">10.5 Stocks (rattachement classe 3)</w:t>
      </w:r>
    </w:p>
    <w:p>
      <w:pPr>
        <w:pStyle w:val="FirstParagraph"/>
      </w:pPr>
      <w:r>
        <w:t xml:space="preserve">🟢[Document]</w:t>
      </w:r>
    </w:p>
    <w:p>
      <w:pPr>
        <w:numPr>
          <w:ilvl w:val="0"/>
          <w:numId w:val="1013"/>
        </w:numPr>
        <w:pStyle w:val="Compact"/>
      </w:pPr>
      <w:r>
        <w:t xml:space="preserve">Entrées et sorties de stock, liées aux modules Achats/Ventes (Partie 21).</w:t>
      </w:r>
    </w:p>
    <w:p>
      <w:pPr>
        <w:numPr>
          <w:ilvl w:val="0"/>
          <w:numId w:val="1013"/>
        </w:numPr>
        <w:pStyle w:val="Compact"/>
      </w:pPr>
      <w:r>
        <w:t xml:space="preserve">Valorisation au</w:t>
      </w:r>
      <w:r>
        <w:t xml:space="preserve"> </w:t>
      </w:r>
      <w:r>
        <w:rPr>
          <w:bCs/>
          <w:b/>
        </w:rPr>
        <w:t xml:space="preserve">coût moyen pondéré (CMP)</w:t>
      </w:r>
      <w:r>
        <w:t xml:space="preserve">, méthode de référence SYSCOHADA pour la majorité des entités (méthode paramétrable si l’entité justifie d’une autre méthode admise).</w:t>
      </w:r>
    </w:p>
    <w:p>
      <w:pPr>
        <w:numPr>
          <w:ilvl w:val="0"/>
          <w:numId w:val="1013"/>
        </w:numPr>
        <w:pStyle w:val="Compact"/>
      </w:pPr>
      <w:r>
        <w:t xml:space="preserve">Inventaire physique et rapprochement avec les quantités théoriques, écarts tracés.</w:t>
      </w:r>
    </w:p>
    <w:p>
      <w:pPr>
        <w:numPr>
          <w:ilvl w:val="0"/>
          <w:numId w:val="1013"/>
        </w:numPr>
        <w:pStyle w:val="Compact"/>
      </w:pPr>
      <w:r>
        <w:t xml:space="preserve">Dépréciation des stocks (compte 39) en cas de mévente ou d’obsolescence.</w:t>
      </w:r>
    </w:p>
    <w:p>
      <w:pPr>
        <w:numPr>
          <w:ilvl w:val="0"/>
          <w:numId w:val="1013"/>
        </w:numPr>
        <w:pStyle w:val="Compact"/>
      </w:pPr>
      <w:r>
        <w:t xml:space="preserve">Activable selon le secteur du client (une entreprise de service pur n’a pas nécessairement besoin du module).</w:t>
      </w:r>
    </w:p>
    <w:bookmarkEnd w:id="50"/>
    <w:bookmarkStart w:id="51" w:name="trésorerie-rattachement-classe-5"/>
    <w:p>
      <w:pPr>
        <w:pStyle w:val="Heading3"/>
      </w:pPr>
      <w:r>
        <w:t xml:space="preserve">10.6 Trésorerie (rattachement classe 5)</w:t>
      </w:r>
    </w:p>
    <w:p>
      <w:pPr>
        <w:pStyle w:val="FirstParagraph"/>
      </w:pPr>
      <w:r>
        <w:t xml:space="preserve">🟢[Document]</w:t>
      </w:r>
    </w:p>
    <w:p>
      <w:pPr>
        <w:numPr>
          <w:ilvl w:val="0"/>
          <w:numId w:val="1014"/>
        </w:numPr>
        <w:pStyle w:val="Compact"/>
      </w:pPr>
      <w:r>
        <w:t xml:space="preserve">Comptes bancaires, caisse,</w:t>
      </w:r>
      <w:r>
        <w:t xml:space="preserve"> </w:t>
      </w:r>
      <w:r>
        <w:rPr>
          <w:bCs/>
          <w:b/>
        </w:rPr>
        <w:t xml:space="preserve">Mobile Money (MTN MoMo, Moov Money)</w:t>
      </w:r>
      <w:r>
        <w:t xml:space="preserve"> </w:t>
      </w:r>
      <w:r>
        <w:t xml:space="preserve">— compte 55 « Instruments de monnaie électronique », spécificité du contexte ouest-africain déjà intégrée dans le plan SYSCOHADA révisé.</w:t>
      </w:r>
    </w:p>
    <w:p>
      <w:pPr>
        <w:numPr>
          <w:ilvl w:val="0"/>
          <w:numId w:val="1014"/>
        </w:numPr>
        <w:pStyle w:val="Compact"/>
      </w:pPr>
      <w:r>
        <w:t xml:space="preserve">Import de relevés bancaires, rapprochement bancaire avec suggestion automatique de correspondance (assistée par IA — Partie 13.2) et validation manuelle obligatoire.</w:t>
      </w:r>
    </w:p>
    <w:p>
      <w:pPr>
        <w:numPr>
          <w:ilvl w:val="0"/>
          <w:numId w:val="1014"/>
        </w:numPr>
        <w:pStyle w:val="Compact"/>
      </w:pPr>
      <w:r>
        <w:t xml:space="preserve">Règles bancaires automatiques (catégorisation récurrente), virements internes.</w:t>
      </w:r>
    </w:p>
    <w:p>
      <w:pPr>
        <w:numPr>
          <w:ilvl w:val="0"/>
          <w:numId w:val="1014"/>
        </w:numPr>
        <w:pStyle w:val="Compact"/>
      </w:pPr>
      <w:r>
        <w:t xml:space="preserve">Trésorerie prévisionnelle : projection des encaissements/décaissements futurs, alerte de déficit anticipé (Partie 13.5, IA prédictive).</w:t>
      </w:r>
    </w:p>
    <w:bookmarkEnd w:id="51"/>
    <w:bookmarkStart w:id="52" w:name="Xc8ccde09f6105b9ad2a3d6dc4b032dbe735f171"/>
    <w:p>
      <w:pPr>
        <w:pStyle w:val="Heading3"/>
      </w:pPr>
      <w:r>
        <w:t xml:space="preserve">10.7 Comptabilité analytique (rattachement classe 9)</w:t>
      </w:r>
    </w:p>
    <w:p>
      <w:pPr>
        <w:pStyle w:val="FirstParagraph"/>
      </w:pPr>
      <w:r>
        <w:t xml:space="preserve">🟢[Document] Centres de coûts, projets, activités, produits, agences, départements, clients — analyse des marges et de la rentabilité. Détail en Partie 22.</w:t>
      </w:r>
    </w:p>
    <w:bookmarkEnd w:id="52"/>
    <w:bookmarkStart w:id="53" w:name="X69364c2bfc5857c0296cd79a353f8d7fa1257d5"/>
    <w:p>
      <w:pPr>
        <w:pStyle w:val="Heading3"/>
      </w:pPr>
      <w:r>
        <w:t xml:space="preserve">10.8 Assistant de clôture comptable intelligent</w:t>
      </w:r>
    </w:p>
    <w:p>
      <w:pPr>
        <w:pStyle w:val="FirstParagraph"/>
      </w:pPr>
      <w:r>
        <w:t xml:space="preserve">🟠[Proposition complémentaire — développement de la demande explicite « créer un véritable assistant de clôture comptable intelligent »] Point d’orgue du module comptable, l’assistant de clôture guide le comptable à travers une</w:t>
      </w:r>
      <w:r>
        <w:t xml:space="preserve"> </w:t>
      </w:r>
      <w:r>
        <w:rPr>
          <w:bCs/>
          <w:b/>
        </w:rPr>
        <w:t xml:space="preserve">checklist de contrôle automatisée</w:t>
      </w:r>
      <w:r>
        <w:t xml:space="preserve"> </w:t>
      </w:r>
      <w:r>
        <w:t xml:space="preserve">avant validation de la période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Point de contrôle</w:t>
            </w:r>
          </w:p>
        </w:tc>
        <w:tc>
          <w:tcPr/>
          <w:p>
            <w:pPr>
              <w:pStyle w:val="Compact"/>
              <w:jc w:val="left"/>
            </w:pPr>
            <w:r>
              <w:t xml:space="preserve">Vérification automatisée</w:t>
            </w:r>
          </w:p>
        </w:tc>
      </w:tr>
      <w:tr>
        <w:tc>
          <w:tcPr/>
          <w:p>
            <w:pPr>
              <w:pStyle w:val="Compact"/>
              <w:jc w:val="left"/>
            </w:pPr>
            <w:r>
              <w:t xml:space="preserve">Banques</w:t>
            </w:r>
          </w:p>
        </w:tc>
        <w:tc>
          <w:tcPr/>
          <w:p>
            <w:pPr>
              <w:pStyle w:val="Compact"/>
              <w:jc w:val="left"/>
            </w:pPr>
            <w:r>
              <w:t xml:space="preserve">Rapprochement bancaire à 100 %, aucun écart non justifié</w:t>
            </w:r>
          </w:p>
        </w:tc>
      </w:tr>
      <w:tr>
        <w:tc>
          <w:tcPr/>
          <w:p>
            <w:pPr>
              <w:pStyle w:val="Compact"/>
              <w:jc w:val="left"/>
            </w:pPr>
            <w:r>
              <w:t xml:space="preserve">Caisses</w:t>
            </w:r>
          </w:p>
        </w:tc>
        <w:tc>
          <w:tcPr/>
          <w:p>
            <w:pPr>
              <w:pStyle w:val="Compact"/>
              <w:jc w:val="left"/>
            </w:pPr>
            <w:r>
              <w:t xml:space="preserve">Solde physique = solde comptable, aucun solde créditeur anormal (une caisse ne peut être créditrice)</w:t>
            </w:r>
          </w:p>
        </w:tc>
      </w:tr>
      <w:tr>
        <w:tc>
          <w:tcPr/>
          <w:p>
            <w:pPr>
              <w:pStyle w:val="Compact"/>
              <w:jc w:val="left"/>
            </w:pPr>
            <w:r>
              <w:t xml:space="preserve">Clients</w:t>
            </w:r>
          </w:p>
        </w:tc>
        <w:tc>
          <w:tcPr/>
          <w:p>
            <w:pPr>
              <w:pStyle w:val="Compact"/>
              <w:jc w:val="left"/>
            </w:pPr>
            <w:r>
              <w:t xml:space="preserve">Balance âgée à jour, créances douteuses identifiées et provisionnées si nécessaire</w:t>
            </w:r>
          </w:p>
        </w:tc>
      </w:tr>
      <w:tr>
        <w:tc>
          <w:tcPr/>
          <w:p>
            <w:pPr>
              <w:pStyle w:val="Compact"/>
              <w:jc w:val="left"/>
            </w:pPr>
            <w:r>
              <w:t xml:space="preserve">Fournisseurs</w:t>
            </w:r>
          </w:p>
        </w:tc>
        <w:tc>
          <w:tcPr/>
          <w:p>
            <w:pPr>
              <w:pStyle w:val="Compact"/>
              <w:jc w:val="left"/>
            </w:pPr>
            <w:r>
              <w:t xml:space="preserve">Factures non parvenues (FNP) évaluées et comptabilisées le cas échéant</w:t>
            </w:r>
          </w:p>
        </w:tc>
      </w:tr>
      <w:tr>
        <w:tc>
          <w:tcPr/>
          <w:p>
            <w:pPr>
              <w:pStyle w:val="Compact"/>
              <w:jc w:val="left"/>
            </w:pPr>
            <w:r>
              <w:t xml:space="preserve">Stocks</w:t>
            </w:r>
          </w:p>
        </w:tc>
        <w:tc>
          <w:tcPr/>
          <w:p>
            <w:pPr>
              <w:pStyle w:val="Compact"/>
              <w:jc w:val="left"/>
            </w:pPr>
            <w:r>
              <w:t xml:space="preserve">Inventaire de clôture rapproché, dépréciations à jour</w:t>
            </w:r>
          </w:p>
        </w:tc>
      </w:tr>
      <w:tr>
        <w:tc>
          <w:tcPr/>
          <w:p>
            <w:pPr>
              <w:pStyle w:val="Compact"/>
              <w:jc w:val="left"/>
            </w:pPr>
            <w:r>
              <w:t xml:space="preserve">Immobilisations</w:t>
            </w:r>
          </w:p>
        </w:tc>
        <w:tc>
          <w:tcPr/>
          <w:p>
            <w:pPr>
              <w:pStyle w:val="Compact"/>
              <w:jc w:val="left"/>
            </w:pPr>
            <w:r>
              <w:t xml:space="preserve">Dotations aux amortissements de la période comptabilisées, cessions soldées</w:t>
            </w:r>
          </w:p>
        </w:tc>
      </w:tr>
      <w:tr>
        <w:tc>
          <w:tcPr/>
          <w:p>
            <w:pPr>
              <w:pStyle w:val="Compact"/>
              <w:jc w:val="left"/>
            </w:pPr>
            <w:r>
              <w:t xml:space="preserve">Provisions</w:t>
            </w:r>
          </w:p>
        </w:tc>
        <w:tc>
          <w:tcPr/>
          <w:p>
            <w:pPr>
              <w:pStyle w:val="Compact"/>
              <w:jc w:val="left"/>
            </w:pPr>
            <w:r>
              <w:t xml:space="preserve">Provisions pour risques et charges réévaluées</w:t>
            </w:r>
          </w:p>
        </w:tc>
      </w:tr>
      <w:tr>
        <w:tc>
          <w:tcPr/>
          <w:p>
            <w:pPr>
              <w:pStyle w:val="Compact"/>
              <w:jc w:val="left"/>
            </w:pPr>
            <w:r>
              <w:t xml:space="preserve">Charges constatées d’avance (CCA) / Produits constatés d’avance (PCA)</w:t>
            </w:r>
          </w:p>
        </w:tc>
        <w:tc>
          <w:tcPr/>
          <w:p>
            <w:pPr>
              <w:pStyle w:val="Compact"/>
              <w:jc w:val="left"/>
            </w:pPr>
            <w:r>
              <w:t xml:space="preserve">Écritures de régularisation générées et proposées</w:t>
            </w:r>
          </w:p>
        </w:tc>
      </w:tr>
      <w:tr>
        <w:tc>
          <w:tcPr/>
          <w:p>
            <w:pPr>
              <w:pStyle w:val="Compact"/>
              <w:jc w:val="left"/>
            </w:pPr>
            <w:r>
              <w:t xml:space="preserve">Comptes d’attente</w:t>
            </w:r>
          </w:p>
        </w:tc>
        <w:tc>
          <w:tcPr/>
          <w:p>
            <w:pPr>
              <w:pStyle w:val="Compact"/>
              <w:jc w:val="left"/>
            </w:pPr>
            <w:r>
              <w:t xml:space="preserve">Aucun compte d’attente non soldé au-delà du seuil paramétré</w:t>
            </w:r>
          </w:p>
        </w:tc>
      </w:tr>
      <w:tr>
        <w:tc>
          <w:tcPr/>
          <w:p>
            <w:pPr>
              <w:pStyle w:val="Compact"/>
              <w:jc w:val="left"/>
            </w:pPr>
            <w:r>
              <w:t xml:space="preserve">TVA</w:t>
            </w:r>
          </w:p>
        </w:tc>
        <w:tc>
          <w:tcPr/>
          <w:p>
            <w:pPr>
              <w:pStyle w:val="Compact"/>
              <w:jc w:val="left"/>
            </w:pPr>
            <w:r>
              <w:t xml:space="preserve">Déclaration de TVA de la période rapprochée avec les comptes 443 (TVA collectée) / 445 (TVA déductible)</w:t>
            </w:r>
          </w:p>
        </w:tc>
      </w:tr>
      <w:tr>
        <w:tc>
          <w:tcPr/>
          <w:p>
            <w:pPr>
              <w:pStyle w:val="Compact"/>
              <w:jc w:val="left"/>
            </w:pPr>
            <w:r>
              <w:t xml:space="preserve">Salaires</w:t>
            </w:r>
          </w:p>
        </w:tc>
        <w:tc>
          <w:tcPr/>
          <w:p>
            <w:pPr>
              <w:pStyle w:val="Compact"/>
              <w:jc w:val="left"/>
            </w:pPr>
            <w:r>
              <w:t xml:space="preserve">Charges de personnel de la période rapprochées avec le module Paie</w:t>
            </w:r>
          </w:p>
        </w:tc>
      </w:tr>
      <w:tr>
        <w:tc>
          <w:tcPr/>
          <w:p>
            <w:pPr>
              <w:pStyle w:val="Compact"/>
              <w:jc w:val="left"/>
            </w:pPr>
            <w:r>
              <w:t xml:space="preserve">Cohérence bilan/résultat</w:t>
            </w:r>
          </w:p>
        </w:tc>
        <w:tc>
          <w:tcPr/>
          <w:p>
            <w:pPr>
              <w:pStyle w:val="Compact"/>
              <w:jc w:val="left"/>
            </w:pPr>
            <w:r>
              <w:t xml:space="preserve">Contrôle d’équilibre global (actif = passif, résultat comptable = solde des comptes de gestion)</w:t>
            </w:r>
          </w:p>
        </w:tc>
      </w:tr>
    </w:tbl>
    <w:p>
      <w:pPr>
        <w:pStyle w:val="BodyText"/>
      </w:pPr>
      <w:r>
        <w:t xml:space="preserve">L’assistant produit un</w:t>
      </w:r>
      <w:r>
        <w:t xml:space="preserve"> </w:t>
      </w:r>
      <w:r>
        <w:rPr>
          <w:bCs/>
          <w:b/>
        </w:rPr>
        <w:t xml:space="preserve">rapport de clôture</w:t>
      </w:r>
      <w:r>
        <w:t xml:space="preserve"> </w:t>
      </w:r>
      <w:r>
        <w:t xml:space="preserve">listant les points bloquants (à régulariser avant clôture) et les points d’attention (informatifs), avec proposition d’écritures de régularisation</w:t>
      </w:r>
      <w:r>
        <w:t xml:space="preserve"> </w:t>
      </w:r>
      <w:r>
        <w:rPr>
          <w:bCs/>
          <w:b/>
        </w:rPr>
        <w:t xml:space="preserve">soumises à validation humaine</w:t>
      </w:r>
      <w:r>
        <w:t xml:space="preserve"> </w:t>
      </w:r>
      <w:r>
        <w:t xml:space="preserve">avant comptabilisation, conformément à la Règle 9 du prompt maître (l’IA est un assistant contrôlé, pas une autorité comptable autonome).</w:t>
      </w:r>
    </w:p>
    <w:bookmarkEnd w:id="53"/>
    <w:bookmarkStart w:id="54" w:name="moteur-comptable-intelligent-flux-type"/>
    <w:p>
      <w:pPr>
        <w:pStyle w:val="Heading3"/>
      </w:pPr>
      <w:r>
        <w:t xml:space="preserve">10.9 Moteur comptable intelligent — flux type</w:t>
      </w:r>
    </w:p>
    <w:p>
      <w:pPr>
        <w:pStyle w:val="FirstParagraph"/>
      </w:pPr>
      <w:r>
        <w:t xml:space="preserve">🟢[Document] Exemple de bout en bout, illustrant l’intégration IA/comptabilité (détail technique en Partie 13.2) :</w:t>
      </w:r>
    </w:p>
    <w:p>
      <w:pPr>
        <w:pStyle w:val="SourceCode"/>
      </w:pPr>
      <w:r>
        <w:rPr>
          <w:rStyle w:val="VerbatimChar"/>
        </w:rPr>
        <w:t xml:space="preserve">Facture importée (PDF/photo)</w:t>
      </w:r>
      <w:r>
        <w:br/>
      </w:r>
      <w:r>
        <w:rPr>
          <w:rStyle w:val="VerbatimChar"/>
        </w:rPr>
        <w:t xml:space="preserve"> → OCR + lecture IA → identification du fournisseur, extraction des données</w:t>
      </w:r>
      <w:r>
        <w:br/>
      </w:r>
      <w:r>
        <w:rPr>
          <w:rStyle w:val="VerbatimChar"/>
        </w:rPr>
        <w:t xml:space="preserve"> → identification de la nature de l'opération</w:t>
      </w:r>
      <w:r>
        <w:br/>
      </w:r>
      <w:r>
        <w:rPr>
          <w:rStyle w:val="VerbatimChar"/>
        </w:rPr>
        <w:t xml:space="preserve"> → proposition du compte SYSCOHADA (classe 6 ou 2 selon le type)</w:t>
      </w:r>
      <w:r>
        <w:br/>
      </w:r>
      <w:r>
        <w:rPr>
          <w:rStyle w:val="VerbatimChar"/>
        </w:rPr>
        <w:t xml:space="preserve"> → identification de la TVA (taux, déductibilité)</w:t>
      </w:r>
      <w:r>
        <w:br/>
      </w:r>
      <w:r>
        <w:rPr>
          <w:rStyle w:val="VerbatimChar"/>
        </w:rPr>
        <w:t xml:space="preserve"> → détermination du traitement fiscal</w:t>
      </w:r>
      <w:r>
        <w:br/>
      </w:r>
      <w:r>
        <w:rPr>
          <w:rStyle w:val="VerbatimChar"/>
        </w:rPr>
        <w:t xml:space="preserve"> → proposition de l'écriture comptable complète (débit/crédit équilibrés)</w:t>
      </w:r>
      <w:r>
        <w:br/>
      </w:r>
      <w:r>
        <w:rPr>
          <w:rStyle w:val="VerbatimChar"/>
        </w:rPr>
        <w:t xml:space="preserve"> → rattachement automatique de la pièce justificative (GED)</w:t>
      </w:r>
      <w:r>
        <w:br/>
      </w:r>
      <w:r>
        <w:rPr>
          <w:rStyle w:val="VerbatimChar"/>
        </w:rPr>
        <w:t xml:space="preserve"> → détection d'anomalies (montant inhabituel, doublon, fournisseur inconnu)</w:t>
      </w:r>
      <w:r>
        <w:br/>
      </w:r>
      <w:r>
        <w:rPr>
          <w:rStyle w:val="VerbatimChar"/>
        </w:rPr>
        <w:t xml:space="preserve"> → demande de validation humaine</w:t>
      </w:r>
      <w:r>
        <w:br/>
      </w:r>
      <w:r>
        <w:rPr>
          <w:rStyle w:val="VerbatimChar"/>
        </w:rPr>
        <w:t xml:space="preserve"> → comptabilisation après validation uniquement</w:t>
      </w:r>
    </w:p>
    <w:p>
      <w:pPr>
        <w:pStyle w:val="FirstParagraph"/>
      </w:pPr>
      <w:r>
        <w:t xml:space="preserve">L’utilisateur conserve à tout moment la maîtrise : il peut modifier ou refuser la proposition de l’IA. Aucune écriture n’est comptabilisée sans validation humaine explicite.</w:t>
      </w:r>
    </w:p>
    <w:bookmarkEnd w:id="54"/>
    <w:bookmarkEnd w:id="55"/>
    <w:bookmarkStart w:id="61" w:name="moteur-fiscal-multi-pays-ohada"/>
    <w:p>
      <w:pPr>
        <w:pStyle w:val="Heading2"/>
      </w:pPr>
      <w:r>
        <w:t xml:space="preserve">11. Moteur fiscal multi-pays OHADA</w:t>
      </w:r>
    </w:p>
    <w:bookmarkStart w:id="56" w:name="Xed0fda54fe1f24bf77c03b6760e4664c7f2a194"/>
    <w:p>
      <w:pPr>
        <w:pStyle w:val="Heading3"/>
      </w:pPr>
      <w:r>
        <w:t xml:space="preserve">11.1 Principe fondamental — OHADA ≠ fiscalité unique</w:t>
      </w:r>
    </w:p>
    <w:p>
      <w:pPr>
        <w:pStyle w:val="FirstParagraph"/>
      </w:pPr>
      <w:r>
        <w:t xml:space="preserve">🟢[Document — reprise directe du prompt maître, point structurant absent des deux cahiers des charges initiaux] Le référentiel comptable OHADA (AUDCIF/SYSCOHADA) constitue le</w:t>
      </w:r>
      <w:r>
        <w:t xml:space="preserve"> </w:t>
      </w:r>
      <w:r>
        <w:rPr>
          <w:bCs/>
          <w:b/>
        </w:rPr>
        <w:t xml:space="preserve">socle commun</w:t>
      </w:r>
      <w:r>
        <w:t xml:space="preserve">, mais chaque pays conserve ses propres règles fiscales. GEL doit donc être architecturé avec :</w:t>
      </w:r>
    </w:p>
    <w:p>
      <w:pPr>
        <w:numPr>
          <w:ilvl w:val="0"/>
          <w:numId w:val="1015"/>
        </w:numPr>
        <w:pStyle w:val="Compact"/>
      </w:pPr>
      <w:r>
        <w:rPr>
          <w:bCs/>
          <w:b/>
        </w:rPr>
        <w:t xml:space="preserve">un socle comptable OHADA commun</w:t>
      </w:r>
      <w:r>
        <w:t xml:space="preserve"> </w:t>
      </w:r>
      <w:r>
        <w:t xml:space="preserve">(Partie 10, valable à l’identique dans les 17 États membres) ;</w:t>
      </w:r>
    </w:p>
    <w:p>
      <w:pPr>
        <w:numPr>
          <w:ilvl w:val="0"/>
          <w:numId w:val="1015"/>
        </w:numPr>
        <w:pStyle w:val="Compact"/>
      </w:pPr>
      <w:r>
        <w:rPr>
          <w:bCs/>
          <w:b/>
        </w:rPr>
        <w:t xml:space="preserve">un moteur fiscal paramétrable par pays</w:t>
      </w:r>
      <w:r>
        <w:t xml:space="preserve">, permettant d’ajouter progressivement le Bénin (priorité), la Côte d’Ivoire, le Togo, le Sénégal, le Burkina Faso, le Mali, le Niger, la Guinée, le Cameroun, le Gabon, le Congo, la RDC, etc.,</w:t>
      </w:r>
      <w:r>
        <w:t xml:space="preserve"> </w:t>
      </w:r>
      <w:r>
        <w:rPr>
          <w:bCs/>
          <w:b/>
        </w:rPr>
        <w:t xml:space="preserve">sans devoir reconstruire le logiciel à chaque fois</w:t>
      </w:r>
      <w:r>
        <w:t xml:space="preserve">.</w:t>
      </w:r>
    </w:p>
    <w:bookmarkEnd w:id="56"/>
    <w:bookmarkStart w:id="57" w:name="X5e25b9be66286bbbeef0b3e0ef84162551f0837"/>
    <w:p>
      <w:pPr>
        <w:pStyle w:val="Heading3"/>
      </w:pPr>
      <w:r>
        <w:t xml:space="preserve">11.2 Objet fiscal paramétrable — modèle de données du moteur de règles fiscales</w:t>
      </w:r>
    </w:p>
    <w:p>
      <w:pPr>
        <w:pStyle w:val="FirstParagraph"/>
      </w:pPr>
      <w:r>
        <w:t xml:space="preserve">🟠[Proposition complémentaire — structuration technique de la demande du prompt maître] Chaque règle fiscale est modélisée comme un objet versionné et paramétrable, jamais codé en dur :</w:t>
      </w:r>
    </w:p>
    <w:p>
      <w:pPr>
        <w:pStyle w:val="SourceCode"/>
      </w:pPr>
      <w:r>
        <w:rPr>
          <w:rStyle w:val="VerbatimChar"/>
        </w:rPr>
        <w:t xml:space="preserve">RegleFiscale</w:t>
      </w:r>
      <w:r>
        <w:br/>
      </w:r>
      <w:r>
        <w:rPr>
          <w:rStyle w:val="VerbatimChar"/>
        </w:rPr>
        <w:t xml:space="preserve"> - id</w:t>
      </w:r>
      <w:r>
        <w:br/>
      </w:r>
      <w:r>
        <w:rPr>
          <w:rStyle w:val="VerbatimChar"/>
        </w:rPr>
        <w:t xml:space="preserve"> - pays_code (ISO : BJ, CI, TG, SN, BF, ML, NE, GN, CM, GA, CG, CD…)</w:t>
      </w:r>
      <w:r>
        <w:br/>
      </w:r>
      <w:r>
        <w:rPr>
          <w:rStyle w:val="VerbatimChar"/>
        </w:rPr>
        <w:t xml:space="preserve"> - annee_fiscale / date_debut_validite / date_fin_validite</w:t>
      </w:r>
      <w:r>
        <w:br/>
      </w:r>
      <w:r>
        <w:rPr>
          <w:rStyle w:val="VerbatimChar"/>
        </w:rPr>
        <w:t xml:space="preserve"> - regime_fiscal (ex : Réel Normal, Réel Simplifié, TPS/Synthétique, Micro-entreprise)</w:t>
      </w:r>
      <w:r>
        <w:br/>
      </w:r>
      <w:r>
        <w:rPr>
          <w:rStyle w:val="VerbatimChar"/>
        </w:rPr>
        <w:t xml:space="preserve"> - type_impot (TVA, IS, ITS/IRPP selon pays, TPS, Patente, VPS, retenues à la source, CNSS…)</w:t>
      </w:r>
      <w:r>
        <w:br/>
      </w:r>
      <w:r>
        <w:rPr>
          <w:rStyle w:val="VerbatimChar"/>
        </w:rPr>
        <w:t xml:space="preserve"> - taux (valeur ou barème progressif — table TrancheBareme liée)</w:t>
      </w:r>
      <w:r>
        <w:br/>
      </w:r>
      <w:r>
        <w:rPr>
          <w:rStyle w:val="VerbatimChar"/>
        </w:rPr>
        <w:t xml:space="preserve"> - seuil (chiffre d'affaires, effectif, etc. — déclenche un régime ou une obligation)</w:t>
      </w:r>
      <w:r>
        <w:br/>
      </w:r>
      <w:r>
        <w:rPr>
          <w:rStyle w:val="VerbatimChar"/>
        </w:rPr>
        <w:t xml:space="preserve"> - base_taxable (règle de calcul de l'assiette)</w:t>
      </w:r>
      <w:r>
        <w:br/>
      </w:r>
      <w:r>
        <w:rPr>
          <w:rStyle w:val="VerbatimChar"/>
        </w:rPr>
        <w:t xml:space="preserve"> - exoneration (conditions d'exonération totale ou partielle)</w:t>
      </w:r>
      <w:r>
        <w:br/>
      </w:r>
      <w:r>
        <w:rPr>
          <w:rStyle w:val="VerbatimChar"/>
        </w:rPr>
        <w:t xml:space="preserve"> - retenue (règle de retenue à la source applicable, le cas échéant)</w:t>
      </w:r>
      <w:r>
        <w:br/>
      </w:r>
      <w:r>
        <w:rPr>
          <w:rStyle w:val="VerbatimChar"/>
        </w:rPr>
        <w:t xml:space="preserve"> - obligation_declarative (périodicité : mensuelle, trimestrielle, annuelle)</w:t>
      </w:r>
      <w:r>
        <w:br/>
      </w:r>
      <w:r>
        <w:rPr>
          <w:rStyle w:val="VerbatimChar"/>
        </w:rPr>
        <w:t xml:space="preserve"> - echeance (règle de calcul de la date limite)</w:t>
      </w:r>
      <w:r>
        <w:br/>
      </w:r>
      <w:r>
        <w:rPr>
          <w:rStyle w:val="VerbatimChar"/>
        </w:rPr>
        <w:t xml:space="preserve"> - formulaire (référence du formulaire déclaratif officiel)</w:t>
      </w:r>
      <w:r>
        <w:br/>
      </w:r>
      <w:r>
        <w:rPr>
          <w:rStyle w:val="VerbatimChar"/>
        </w:rPr>
        <w:t xml:space="preserve"> - penalite (règle de calcul des pénalités de retard)</w:t>
      </w:r>
      <w:r>
        <w:br/>
      </w:r>
      <w:r>
        <w:rPr>
          <w:rStyle w:val="VerbatimChar"/>
        </w:rPr>
        <w:t xml:space="preserve"> - regle_particuliere (texte libre / renvoi à un article de loi, pour les cas non paramétrables simplement)</w:t>
      </w:r>
      <w:r>
        <w:br/>
      </w:r>
      <w:r>
        <w:rPr>
          <w:rStyle w:val="VerbatimChar"/>
        </w:rPr>
        <w:t xml:space="preserve"> - compte_syscohada_associe (mapping vers la subdivision du compte 64, 44 ou 89 — Partie 10.2)</w:t>
      </w:r>
      <w:r>
        <w:br/>
      </w:r>
      <w:r>
        <w:rPr>
          <w:rStyle w:val="VerbatimChar"/>
        </w:rPr>
        <w:t xml:space="preserve"> - source_reglementaire (référence du texte : loi de finances, CGI, article)</w:t>
      </w:r>
      <w:r>
        <w:br/>
      </w:r>
      <w:r>
        <w:rPr>
          <w:rStyle w:val="VerbatimChar"/>
        </w:rPr>
        <w:t xml:space="preserve"> - version / date_creation_regle / auteur</w:t>
      </w:r>
    </w:p>
    <w:p>
      <w:pPr>
        <w:pStyle w:val="FirstParagraph"/>
      </w:pPr>
      <w:r>
        <w:rPr>
          <w:bCs/>
          <w:b/>
        </w:rPr>
        <w:t xml:space="preserve">Principe de versionnement</w:t>
      </w:r>
      <w:r>
        <w:t xml:space="preserve"> </w:t>
      </w:r>
      <w:r>
        <w:t xml:space="preserve">: une modification fiscale (ex. loi de finances 2027) crée une</w:t>
      </w:r>
      <w:r>
        <w:t xml:space="preserve"> </w:t>
      </w:r>
      <w:r>
        <w:rPr>
          <w:bCs/>
          <w:b/>
        </w:rPr>
        <w:t xml:space="preserve">nouvelle version</w:t>
      </w:r>
      <w:r>
        <w:t xml:space="preserve"> </w:t>
      </w:r>
      <w:r>
        <w:t xml:space="preserve">de la règle avec une date de début de validité, sans écraser la version précédente — indispensable pour recalculer correctement des exercices clos ou en cours de vérification fiscale, et pour produire un historique auditable des règles appliquées à une déclaration donnée.</w:t>
      </w:r>
    </w:p>
    <w:bookmarkEnd w:id="57"/>
    <w:bookmarkStart w:id="58" w:name="séparation-des-trois-couches-de-règles"/>
    <w:p>
      <w:pPr>
        <w:pStyle w:val="Heading3"/>
      </w:pPr>
      <w:r>
        <w:t xml:space="preserve">11.3 Séparation des trois couches de règles</w:t>
      </w:r>
    </w:p>
    <w:p>
      <w:pPr>
        <w:pStyle w:val="FirstParagraph"/>
      </w:pPr>
      <w:r>
        <w:t xml:space="preserve">🟢[Document]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Couche</w:t>
            </w:r>
          </w:p>
        </w:tc>
        <w:tc>
          <w:tcPr/>
          <w:p>
            <w:pPr>
              <w:pStyle w:val="Compact"/>
              <w:jc w:val="left"/>
            </w:pPr>
            <w:r>
              <w:t xml:space="preserve">Portée</w:t>
            </w:r>
          </w:p>
        </w:tc>
        <w:tc>
          <w:tcPr/>
          <w:p>
            <w:pPr>
              <w:pStyle w:val="Compact"/>
              <w:jc w:val="left"/>
            </w:pPr>
            <w:r>
              <w:t xml:space="preserve">Exemple</w:t>
            </w:r>
          </w:p>
        </w:tc>
      </w:tr>
      <w:tr>
        <w:tc>
          <w:tcPr/>
          <w:p>
            <w:pPr>
              <w:pStyle w:val="Compact"/>
              <w:jc w:val="left"/>
            </w:pPr>
            <w:r>
              <w:rPr>
                <w:bCs/>
                <w:b/>
              </w:rPr>
              <w:t xml:space="preserve">Règles comptables</w:t>
            </w:r>
          </w:p>
        </w:tc>
        <w:tc>
          <w:tcPr/>
          <w:p>
            <w:pPr>
              <w:pStyle w:val="Compact"/>
              <w:jc w:val="left"/>
            </w:pPr>
            <w:r>
              <w:t xml:space="preserve">SYSCOHADA / OHADA — communes à tous les pays</w:t>
            </w:r>
          </w:p>
        </w:tc>
        <w:tc>
          <w:tcPr/>
          <w:p>
            <w:pPr>
              <w:pStyle w:val="Compact"/>
              <w:jc w:val="left"/>
            </w:pPr>
            <w:r>
              <w:t xml:space="preserve">Structure du plan comptable, méthode d’amortissement admise, définition du coût d’acquisition</w:t>
            </w:r>
          </w:p>
        </w:tc>
      </w:tr>
      <w:tr>
        <w:tc>
          <w:tcPr/>
          <w:p>
            <w:pPr>
              <w:pStyle w:val="Compact"/>
              <w:jc w:val="left"/>
            </w:pPr>
            <w:r>
              <w:rPr>
                <w:bCs/>
                <w:b/>
              </w:rPr>
              <w:t xml:space="preserve">Règles fiscales</w:t>
            </w:r>
          </w:p>
        </w:tc>
        <w:tc>
          <w:tcPr/>
          <w:p>
            <w:pPr>
              <w:pStyle w:val="Compact"/>
              <w:jc w:val="left"/>
            </w:pPr>
            <w:r>
              <w:t xml:space="preserve">Pays + année + régime</w:t>
            </w:r>
          </w:p>
        </w:tc>
        <w:tc>
          <w:tcPr/>
          <w:p>
            <w:pPr>
              <w:pStyle w:val="Compact"/>
              <w:jc w:val="left"/>
            </w:pPr>
            <w:r>
              <w:t xml:space="preserve">Taux de TVA béninois 2026 = 18 % ; barème ITS béninois 2026</w:t>
            </w:r>
          </w:p>
        </w:tc>
      </w:tr>
      <w:tr>
        <w:tc>
          <w:tcPr/>
          <w:p>
            <w:pPr>
              <w:pStyle w:val="Compact"/>
              <w:jc w:val="left"/>
            </w:pPr>
            <w:r>
              <w:rPr>
                <w:bCs/>
                <w:b/>
              </w:rPr>
              <w:t xml:space="preserve">Règles internes</w:t>
            </w:r>
          </w:p>
        </w:tc>
        <w:tc>
          <w:tcPr/>
          <w:p>
            <w:pPr>
              <w:pStyle w:val="Compact"/>
              <w:jc w:val="left"/>
            </w:pPr>
            <w:r>
              <w:t xml:space="preserve">Paramètres propres à l’entreprise cliente</w:t>
            </w:r>
          </w:p>
        </w:tc>
        <w:tc>
          <w:tcPr/>
          <w:p>
            <w:pPr>
              <w:pStyle w:val="Compact"/>
              <w:jc w:val="left"/>
            </w:pPr>
            <w:r>
              <w:t xml:space="preserve">Méthode de valorisation des stocks retenue, modèle de permissions, seuil de validation interne des dépenses</w:t>
            </w:r>
          </w:p>
        </w:tc>
      </w:tr>
    </w:tbl>
    <w:p>
      <w:pPr>
        <w:pStyle w:val="BodyText"/>
      </w:pPr>
      <w:r>
        <w:t xml:space="preserve">Une modification fiscale (ex. loi de finances annuelle)</w:t>
      </w:r>
      <w:r>
        <w:t xml:space="preserve"> </w:t>
      </w:r>
      <w:r>
        <w:rPr>
          <w:bCs/>
          <w:b/>
        </w:rPr>
        <w:t xml:space="preserve">ne doit jamais nécessiter de modifier le code du logiciel</w:t>
      </w:r>
      <w:r>
        <w:t xml:space="preserve"> </w:t>
      </w:r>
      <w:r>
        <w:t xml:space="preserve">: elle se traduit uniquement par la création d’une nouvelle version d’objet</w:t>
      </w:r>
      <w:r>
        <w:t xml:space="preserve"> </w:t>
      </w:r>
      <w:r>
        <w:rPr>
          <w:rStyle w:val="VerbatimChar"/>
        </w:rPr>
        <w:t xml:space="preserve">RegleFiscale</w:t>
      </w:r>
      <w:r>
        <w:t xml:space="preserve"> </w:t>
      </w:r>
      <w:r>
        <w:t xml:space="preserve">dans le moteur (Règle 7 du prompt maître : les taux fiscaux doivent être paramétrables et versionnés).</w:t>
      </w:r>
    </w:p>
    <w:bookmarkEnd w:id="58"/>
    <w:bookmarkStart w:id="59" w:name="X124c83e960f20716cbef86adf1b967c0057b8e0"/>
    <w:p>
      <w:pPr>
        <w:pStyle w:val="Heading3"/>
      </w:pPr>
      <w:r>
        <w:t xml:space="preserve">11.4 Fonctionnement du moteur au moment de l’usage</w:t>
      </w:r>
    </w:p>
    <w:p>
      <w:pPr>
        <w:pStyle w:val="FirstParagraph"/>
      </w:pPr>
      <w:r>
        <w:t xml:space="preserve">🟠[Proposition complémentaire]</w:t>
      </w:r>
    </w:p>
    <w:p>
      <w:pPr>
        <w:numPr>
          <w:ilvl w:val="0"/>
          <w:numId w:val="1016"/>
        </w:numPr>
        <w:pStyle w:val="Compact"/>
      </w:pPr>
      <w:r>
        <w:t xml:space="preserve">Chaque entreprise cliente est rattachée à un</w:t>
      </w:r>
      <w:r>
        <w:t xml:space="preserve"> </w:t>
      </w:r>
      <w:r>
        <w:rPr>
          <w:rStyle w:val="VerbatimChar"/>
        </w:rPr>
        <w:t xml:space="preserve">pays_code</w:t>
      </w:r>
      <w:r>
        <w:t xml:space="preserve"> </w:t>
      </w:r>
      <w:r>
        <w:t xml:space="preserve">(déterminé à la création du compte, modifiable en cas de changement de siège).</w:t>
      </w:r>
    </w:p>
    <w:p>
      <w:pPr>
        <w:numPr>
          <w:ilvl w:val="0"/>
          <w:numId w:val="1016"/>
        </w:numPr>
        <w:pStyle w:val="Compact"/>
      </w:pPr>
      <w:r>
        <w:t xml:space="preserve">Chaque calcul fiscal (facturation, déclaration, paie) interroge le moteur avec</w:t>
      </w:r>
      <w:r>
        <w:t xml:space="preserve"> </w:t>
      </w:r>
      <w:r>
        <w:rPr>
          <w:rStyle w:val="VerbatimChar"/>
        </w:rPr>
        <w:t xml:space="preserve">(pays_code, date_operation, type_impot, regime_fiscal_entreprise)</w:t>
      </w:r>
      <w:r>
        <w:t xml:space="preserve"> </w:t>
      </w:r>
      <w:r>
        <w:t xml:space="preserve">et reçoit la</w:t>
      </w:r>
      <w:r>
        <w:t xml:space="preserve"> </w:t>
      </w:r>
      <w:r>
        <w:rPr>
          <w:rStyle w:val="VerbatimChar"/>
        </w:rPr>
        <w:t xml:space="preserve">RegleFiscale</w:t>
      </w:r>
      <w:r>
        <w:t xml:space="preserve"> </w:t>
      </w:r>
      <w:r>
        <w:t xml:space="preserve">en vigueur à cette date précise.</w:t>
      </w:r>
    </w:p>
    <w:p>
      <w:pPr>
        <w:numPr>
          <w:ilvl w:val="0"/>
          <w:numId w:val="1016"/>
        </w:numPr>
        <w:pStyle w:val="Compact"/>
      </w:pPr>
      <w:r>
        <w:t xml:space="preserve">Le résultat du calcul est</w:t>
      </w:r>
      <w:r>
        <w:t xml:space="preserve"> </w:t>
      </w:r>
      <w:r>
        <w:rPr>
          <w:bCs/>
          <w:b/>
        </w:rPr>
        <w:t xml:space="preserve">tracé avec la référence exacte de la règle appliquée</w:t>
      </w:r>
      <w:r>
        <w:t xml:space="preserve"> </w:t>
      </w:r>
      <w:r>
        <w:t xml:space="preserve">(id + version), permettant au copilote IA (Partie 13.6) de justifier chaque calcul fiscal de façon explicable : « TVA calculée à 18 % en application du taux unique CGI Bénin 2026, règle FIS-BJ-TVA-2026-v1 ».</w:t>
      </w:r>
    </w:p>
    <w:p>
      <w:pPr>
        <w:numPr>
          <w:ilvl w:val="0"/>
          <w:numId w:val="1016"/>
        </w:numPr>
        <w:pStyle w:val="Compact"/>
      </w:pPr>
      <w:r>
        <w:t xml:space="preserve">Lorsqu’une entreprise change de régime fiscal (ex. dépassement de seuil de chiffre d’affaires faisant basculer du régime TPS au régime réel), une</w:t>
      </w:r>
      <w:r>
        <w:t xml:space="preserve"> </w:t>
      </w:r>
      <w:r>
        <w:rPr>
          <w:bCs/>
          <w:b/>
        </w:rPr>
        <w:t xml:space="preserve">alerte de veille</w:t>
      </w:r>
      <w:r>
        <w:t xml:space="preserve"> </w:t>
      </w:r>
      <w:r>
        <w:t xml:space="preserve">est déclenchée (voir Partie 33).</w:t>
      </w:r>
    </w:p>
    <w:bookmarkEnd w:id="59"/>
    <w:bookmarkStart w:id="60" w:name="roadmap-dajout-des-pays"/>
    <w:p>
      <w:pPr>
        <w:pStyle w:val="Heading3"/>
      </w:pPr>
      <w:r>
        <w:t xml:space="preserve">11.5 Roadmap d’ajout des pays</w:t>
      </w:r>
    </w:p>
    <w:p>
      <w:pPr>
        <w:pStyle w:val="FirstParagraph"/>
      </w:pPr>
      <w:r>
        <w:t xml:space="preserve">🟠[Proposition complémentaire] L’architecture est conçue pour qu’ajouter un pays consiste à :</w:t>
      </w:r>
    </w:p>
    <w:p>
      <w:pPr>
        <w:numPr>
          <w:ilvl w:val="0"/>
          <w:numId w:val="1017"/>
        </w:numPr>
        <w:pStyle w:val="Compact"/>
      </w:pPr>
      <w:r>
        <w:t xml:space="preserve">créer les entrées</w:t>
      </w:r>
      <w:r>
        <w:t xml:space="preserve"> </w:t>
      </w:r>
      <w:r>
        <w:rPr>
          <w:rStyle w:val="VerbatimChar"/>
        </w:rPr>
        <w:t xml:space="preserve">RegleFiscale</w:t>
      </w:r>
      <w:r>
        <w:t xml:space="preserve"> </w:t>
      </w:r>
      <w:r>
        <w:t xml:space="preserve">du pays concerné (référentiel CGI local) ;</w:t>
      </w:r>
    </w:p>
    <w:p>
      <w:pPr>
        <w:numPr>
          <w:ilvl w:val="0"/>
          <w:numId w:val="1017"/>
        </w:numPr>
        <w:pStyle w:val="Compact"/>
      </w:pPr>
      <w:r>
        <w:t xml:space="preserve">mapper les comptes fiscaux locaux (le cas échéant) vers la structure SYSCOHADA commune (Partie 10.2) ;</w:t>
      </w:r>
    </w:p>
    <w:p>
      <w:pPr>
        <w:numPr>
          <w:ilvl w:val="0"/>
          <w:numId w:val="1017"/>
        </w:numPr>
        <w:pStyle w:val="Compact"/>
      </w:pPr>
      <w:r>
        <w:t xml:space="preserve">paramétrer les formulaires déclaratifs et échéances propres au pays ;</w:t>
      </w:r>
    </w:p>
    <w:p>
      <w:pPr>
        <w:numPr>
          <w:ilvl w:val="0"/>
          <w:numId w:val="1017"/>
        </w:numPr>
        <w:pStyle w:val="Compact"/>
      </w:pPr>
      <w:r>
        <w:t xml:space="preserve">activer le pays dans la configuration globale du Super Administrateur (Partie 26).</w:t>
      </w:r>
    </w:p>
    <w:p>
      <w:pPr>
        <w:pStyle w:val="FirstParagraph"/>
      </w:pPr>
      <w:r>
        <w:t xml:space="preserve">Aucune de ces étapes ne touche au moteur comptable ni au moteur IA, qui restent strictement indépendants du pays.</w:t>
      </w:r>
    </w:p>
    <w:p>
      <w:r>
        <w:pict>
          <v:rect style="width:0;height:1.5pt" o:hralign="center" o:hrstd="t" o:hr="t"/>
        </w:pict>
      </w:r>
    </w:p>
    <w:bookmarkEnd w:id="60"/>
    <w:bookmarkEnd w:id="61"/>
    <w:bookmarkStart w:id="66" w:name="fiscalité-béninoise-cgi-2026-et-réformes"/>
    <w:p>
      <w:pPr>
        <w:pStyle w:val="Heading2"/>
      </w:pPr>
      <w:r>
        <w:t xml:space="preserve">12. Fiscalité béninoise — CGI 2026 et réformes</w:t>
      </w:r>
    </w:p>
    <w:bookmarkStart w:id="62" w:name="X8a0c57a7576d6d86fd24929f0d76e1c562f8850"/>
    <w:p>
      <w:pPr>
        <w:pStyle w:val="Heading3"/>
      </w:pPr>
      <w:r>
        <w:t xml:space="preserve">12.1 Avertissement méthodologique sur les sources (Règle 5 et Étape 6 du prompt maître)</w:t>
      </w:r>
    </w:p>
    <w:p>
      <w:pPr>
        <w:pStyle w:val="FirstParagraph"/>
      </w:pPr>
      <w:r>
        <w:t xml:space="preserve">🟠[Proposition complémentaire — nécessaire à la transparence] Les taux ci-dessous combinent :</w:t>
      </w:r>
      <w:r>
        <w:t xml:space="preserve"> </w:t>
      </w:r>
      <w:r>
        <w:t xml:space="preserve">- 🟢[Document] les taux déjà indiqués dans le cahier des charges « GEL SABINET » (référencé « CGI 2026 ») ;</w:t>
      </w:r>
      <w:r>
        <w:t xml:space="preserve"> </w:t>
      </w:r>
      <w:r>
        <w:t xml:space="preserve">- 🔵[Réglementaire, via recherche web complémentaire] des éléments de réforme 2026 identifiés dans la presse spécialisée et les communications de la Direction Générale du Budget/DGI (loi de finances gestion 2026 n°2025-22 du 8 décembre 2025, et loi de finances rectificative 2026).</w:t>
      </w:r>
    </w:p>
    <w:p>
      <w:pPr>
        <w:pStyle w:val="BodyText"/>
      </w:pPr>
      <w:r>
        <w:rPr>
          <w:bCs/>
          <w:b/>
        </w:rPr>
        <w:t xml:space="preserve">Ces informations n’ont pas pu être vérifiées ligne par ligne sur le texte intégral officiel du CGI 2026</w:t>
      </w:r>
      <w:r>
        <w:t xml:space="preserve"> </w:t>
      </w:r>
      <w:r>
        <w:t xml:space="preserve">(le PDF de l’Acte uniforme comptable transmis ne contient pas le CGI béninois, qui est un texte distinct de droit national ; le site budgetbenin.bj héberge le PDF de la loi de finances mais son contenu détaillé n’a pas pu être extrait intégralement dans le cadre de cette session).</w:t>
      </w:r>
      <w:r>
        <w:t xml:space="preserve"> </w:t>
      </w:r>
      <w:r>
        <w:rPr>
          <w:bCs/>
          <w:b/>
        </w:rPr>
        <w:t xml:space="preserve">Une vérification juridique et fiscale formelle auprès de la DGI ou d’un fiscaliste local reste indispensable avant mise en production</w:t>
      </w:r>
      <w:r>
        <w:t xml:space="preserve">, conformément à la note de prudence déjà présente dans le cahier des charges source sur la protection des données personnelles (Partie 26.4). Le moteur fiscal (Partie 11) est précisément conçu pour que cette vérification et ses éventuelles corrections n’impactent qu’un paramétrage, jamais le code.</w:t>
      </w:r>
    </w:p>
    <w:bookmarkEnd w:id="62"/>
    <w:bookmarkStart w:id="63" w:name="Xfd428fb3d404a0a2e2b8cfb9c3aee8a5d07f12e"/>
    <w:p>
      <w:pPr>
        <w:pStyle w:val="Heading3"/>
      </w:pPr>
      <w:r>
        <w:t xml:space="preserve">12.2 Référentiel fiscal béninois de référence — table à paramétrer dans le moteur fiscal (pays_code = BJ)</w:t>
      </w:r>
    </w:p>
    <w:p>
      <w:pPr>
        <w:pStyle w:val="FirstParagraph"/>
      </w:pPr>
      <w:r>
        <w:t xml:space="preserve">🟢[Document]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Impôt / taxe</w:t>
            </w:r>
          </w:p>
        </w:tc>
        <w:tc>
          <w:tcPr/>
          <w:p>
            <w:pPr>
              <w:pStyle w:val="Compact"/>
              <w:jc w:val="left"/>
            </w:pPr>
            <w:r>
              <w:t xml:space="preserve">Taux ou barème (CGI 2026)</w:t>
            </w:r>
          </w:p>
        </w:tc>
      </w:tr>
      <w:tr>
        <w:tc>
          <w:tcPr/>
          <w:p>
            <w:pPr>
              <w:pStyle w:val="Compact"/>
              <w:jc w:val="left"/>
            </w:pPr>
            <w:r>
              <w:rPr>
                <w:bCs/>
                <w:b/>
              </w:rPr>
              <w:t xml:space="preserve">TVA</w:t>
            </w:r>
            <w:r>
              <w:t xml:space="preserve"> </w:t>
            </w:r>
            <w:r>
              <w:t xml:space="preserve">(Taxe sur la Valeur Ajoutée)</w:t>
            </w:r>
          </w:p>
        </w:tc>
        <w:tc>
          <w:tcPr/>
          <w:p>
            <w:pPr>
              <w:pStyle w:val="Compact"/>
              <w:jc w:val="left"/>
            </w:pPr>
            <w:r>
              <w:rPr>
                <w:bCs/>
                <w:b/>
              </w:rPr>
              <w:t xml:space="preserve">18 %</w:t>
            </w:r>
            <w:r>
              <w:t xml:space="preserve">, taux unique</w:t>
            </w:r>
          </w:p>
        </w:tc>
      </w:tr>
      <w:tr>
        <w:tc>
          <w:tcPr/>
          <w:p>
            <w:pPr>
              <w:pStyle w:val="Compact"/>
              <w:jc w:val="left"/>
            </w:pPr>
            <w:r>
              <w:rPr>
                <w:bCs/>
                <w:b/>
              </w:rPr>
              <w:t xml:space="preserve">IS</w:t>
            </w:r>
            <w:r>
              <w:t xml:space="preserve"> </w:t>
            </w:r>
            <w:r>
              <w:t xml:space="preserve">(Impôt sur les Sociétés)</w:t>
            </w:r>
          </w:p>
        </w:tc>
        <w:tc>
          <w:tcPr/>
          <w:p>
            <w:pPr>
              <w:pStyle w:val="Compact"/>
              <w:jc w:val="left"/>
            </w:pPr>
            <w:r>
              <w:rPr>
                <w:bCs/>
                <w:b/>
              </w:rPr>
              <w:t xml:space="preserve">30 %</w:t>
            </w:r>
            <w:r>
              <w:t xml:space="preserve"> </w:t>
            </w:r>
            <w:r>
              <w:t xml:space="preserve">du bénéfice imposable ; taux réduit à</w:t>
            </w:r>
            <w:r>
              <w:t xml:space="preserve"> </w:t>
            </w:r>
            <w:r>
              <w:rPr>
                <w:bCs/>
                <w:b/>
              </w:rPr>
              <w:t xml:space="preserve">25 %</w:t>
            </w:r>
            <w:r>
              <w:t xml:space="preserve"> </w:t>
            </w:r>
            <w:r>
              <w:t xml:space="preserve">pour les établissements privés d’enseignement ; minimum de perception :</w:t>
            </w:r>
            <w:r>
              <w:t xml:space="preserve"> </w:t>
            </w:r>
            <w:r>
              <w:rPr>
                <w:bCs/>
                <w:b/>
              </w:rPr>
              <w:t xml:space="preserve">1,5 %</w:t>
            </w:r>
            <w:r>
              <w:t xml:space="preserve"> </w:t>
            </w:r>
            <w:r>
              <w:t xml:space="preserve">des produits encaissables (🔵 réforme 2026 : le minimum forfaitaire de perception passerait de 1 % à 1,5 % du CA HT pour les sociétés déficitaires, avec un plancher de 500 000 FCFA — à confirmer sur texte officiel)</w:t>
            </w:r>
          </w:p>
        </w:tc>
      </w:tr>
      <w:tr>
        <w:tc>
          <w:tcPr/>
          <w:p>
            <w:pPr>
              <w:pStyle w:val="Compact"/>
              <w:jc w:val="left"/>
            </w:pPr>
            <w:r>
              <w:rPr>
                <w:bCs/>
                <w:b/>
              </w:rPr>
              <w:t xml:space="preserve">ITS</w:t>
            </w:r>
            <w:r>
              <w:t xml:space="preserve"> </w:t>
            </w:r>
            <w:r>
              <w:t xml:space="preserve">(Impôt sur les Traitements et Salaires) —</w:t>
            </w:r>
            <w:r>
              <w:t xml:space="preserve"> </w:t>
            </w:r>
            <w:r>
              <w:rPr>
                <w:iCs/>
                <w:i/>
              </w:rPr>
              <w:t xml:space="preserve">terminologie corrigée, remplace toute mention antérieure d’« IRPP » qui n’existe pas dans le CGI béninois pour les salaires</w:t>
            </w:r>
          </w:p>
        </w:tc>
        <w:tc>
          <w:tcPr/>
          <w:p>
            <w:pPr>
              <w:pStyle w:val="Compact"/>
              <w:jc w:val="left"/>
            </w:pPr>
            <w:r>
              <w:t xml:space="preserve">Barème progressif mensuel : 0 % jusqu’à 60 000 FCFA · 10 % de 60 001 à 150 000 · 15 % de 150 001 à 250 000 · 19 % de 250 001 à 500 000 · 30 % au-delà de 500 000 FCFA</w:t>
            </w:r>
          </w:p>
        </w:tc>
      </w:tr>
      <w:tr>
        <w:tc>
          <w:tcPr/>
          <w:p>
            <w:pPr>
              <w:pStyle w:val="Compact"/>
              <w:jc w:val="left"/>
            </w:pPr>
            <w:r>
              <w:rPr>
                <w:bCs/>
                <w:b/>
              </w:rPr>
              <w:t xml:space="preserve">TPS</w:t>
            </w:r>
            <w:r>
              <w:t xml:space="preserve"> </w:t>
            </w:r>
            <w:r>
              <w:t xml:space="preserve">(Taxe Professionnelle Synthétique)</w:t>
            </w:r>
          </w:p>
        </w:tc>
        <w:tc>
          <w:tcPr/>
          <w:p>
            <w:pPr>
              <w:pStyle w:val="Compact"/>
              <w:jc w:val="left"/>
            </w:pPr>
            <w:r>
              <w:t xml:space="preserve">Régime simplifié pour petites entreprises sous un seuil de chiffre d’affaires, en remplacement de l’IS/IBA classique. 🔵 Réforme 2026 identifiée par recherche web : le taux de la TPS serait porté de</w:t>
            </w:r>
            <w:r>
              <w:t xml:space="preserve"> </w:t>
            </w:r>
            <w:r>
              <w:rPr>
                <w:bCs/>
                <w:b/>
              </w:rPr>
              <w:t xml:space="preserve">2 % à 5 %</w:t>
            </w:r>
            <w:r>
              <w:t xml:space="preserve">, avec en contrepartie une</w:t>
            </w:r>
            <w:r>
              <w:t xml:space="preserve"> </w:t>
            </w:r>
            <w:r>
              <w:rPr>
                <w:bCs/>
                <w:b/>
              </w:rPr>
              <w:t xml:space="preserve">imputabilité des acomptes d’AIB (1 % à 5 %) sur l’impôt dû</w:t>
            </w:r>
            <w:r>
              <w:t xml:space="preserve"> </w:t>
            </w:r>
            <w:r>
              <w:t xml:space="preserve">— à vérifier sur texte officiel avant intégration au moteur</w:t>
            </w:r>
          </w:p>
        </w:tc>
      </w:tr>
      <w:tr>
        <w:tc>
          <w:tcPr/>
          <w:p>
            <w:pPr>
              <w:pStyle w:val="Compact"/>
              <w:jc w:val="left"/>
            </w:pPr>
            <w:r>
              <w:rPr>
                <w:bCs/>
                <w:b/>
              </w:rPr>
              <w:t xml:space="preserve">Patente</w:t>
            </w:r>
            <w:r>
              <w:t xml:space="preserve"> </w:t>
            </w:r>
            <w:r>
              <w:t xml:space="preserve">(Contribution des Patentes et Licences)</w:t>
            </w:r>
          </w:p>
        </w:tc>
        <w:tc>
          <w:tcPr/>
          <w:p>
            <w:pPr>
              <w:pStyle w:val="Compact"/>
              <w:jc w:val="left"/>
            </w:pPr>
            <w:r>
              <w:t xml:space="preserve">Due par toute personne physique ou morale exerçant une activité commerciale, industrielle ou professionnelle non salariée ; montant variable selon l’activité et la commune</w:t>
            </w:r>
          </w:p>
        </w:tc>
      </w:tr>
      <w:tr>
        <w:tc>
          <w:tcPr/>
          <w:p>
            <w:pPr>
              <w:pStyle w:val="Compact"/>
              <w:jc w:val="left"/>
            </w:pPr>
            <w:r>
              <w:rPr>
                <w:bCs/>
                <w:b/>
              </w:rPr>
              <w:t xml:space="preserve">VPS</w:t>
            </w:r>
            <w:r>
              <w:t xml:space="preserve"> </w:t>
            </w:r>
            <w:r>
              <w:t xml:space="preserve">(Versement Patronal sur Salaires)</w:t>
            </w:r>
          </w:p>
        </w:tc>
        <w:tc>
          <w:tcPr/>
          <w:p>
            <w:pPr>
              <w:pStyle w:val="Compact"/>
              <w:jc w:val="left"/>
            </w:pPr>
            <w:r>
              <w:t xml:space="preserve">Contribution à la charge de l’employeur, assise sur la masse salariale versée</w:t>
            </w:r>
          </w:p>
        </w:tc>
      </w:tr>
      <w:tr>
        <w:tc>
          <w:tcPr/>
          <w:p>
            <w:pPr>
              <w:pStyle w:val="Compact"/>
              <w:jc w:val="left"/>
            </w:pPr>
            <w:r>
              <w:rPr>
                <w:bCs/>
                <w:b/>
              </w:rPr>
              <w:t xml:space="preserve">CNSS</w:t>
            </w:r>
            <w:r>
              <w:t xml:space="preserve"> </w:t>
            </w:r>
            <w:r>
              <w:t xml:space="preserve">(cotisations sociales)</w:t>
            </w:r>
          </w:p>
        </w:tc>
        <w:tc>
          <w:tcPr/>
          <w:p>
            <w:pPr>
              <w:pStyle w:val="Compact"/>
              <w:jc w:val="left"/>
            </w:pPr>
            <w:r>
              <w:t xml:space="preserve">Distincte du CGI ; relève de la Caisse Nationale de Sécurité Sociale (organisme séparé de la DGI) — calendrier et moteur de calcul propres, non fiscal au sens strict</w:t>
            </w:r>
          </w:p>
        </w:tc>
      </w:tr>
    </w:tbl>
    <w:bookmarkEnd w:id="63"/>
    <w:bookmarkStart w:id="64" w:name="X4a57aa86bbcfc2906c1880d174e9935a87bd3c0"/>
    <w:p>
      <w:pPr>
        <w:pStyle w:val="Heading3"/>
      </w:pPr>
      <w:r>
        <w:t xml:space="preserve">12.3 Réformes 2026 identifiées (à intégrer au moteur de veille — Partie 33)</w:t>
      </w:r>
    </w:p>
    <w:p>
      <w:pPr>
        <w:pStyle w:val="FirstParagraph"/>
      </w:pPr>
      <w:r>
        <w:t xml:space="preserve">🔵[Réglementaire, recherche web complémentaire — non issu des documents source, à valider] Éléments de la loi de finances rectificative 2026 et de la modernisation déclarative DGI 2026, pertinents pour le paramétrage du moteur fiscal :</w:t>
      </w:r>
    </w:p>
    <w:p>
      <w:pPr>
        <w:numPr>
          <w:ilvl w:val="0"/>
          <w:numId w:val="1018"/>
        </w:numPr>
        <w:pStyle w:val="Compact"/>
      </w:pPr>
      <w:r>
        <w:rPr>
          <w:bCs/>
          <w:b/>
        </w:rPr>
        <w:t xml:space="preserve">Télédéclaration et télépaiement obligatoires</w:t>
      </w:r>
      <w:r>
        <w:t xml:space="preserve"> </w:t>
      </w:r>
      <w:r>
        <w:t xml:space="preserve">pour toutes les entreprises relevant du régime du réel normal d’imposition, quel que soit leur chiffre d’affaires — impact direct sur le module Déclaration Fiscale/Sociale déjà prototypé (nécessité d’une intégration API avec le système de télédéclaration DGI, à cadrer — voir Partie 28).</w:t>
      </w:r>
    </w:p>
    <w:p>
      <w:pPr>
        <w:numPr>
          <w:ilvl w:val="0"/>
          <w:numId w:val="1018"/>
        </w:numPr>
        <w:pStyle w:val="Compact"/>
      </w:pPr>
      <w:r>
        <w:rPr>
          <w:bCs/>
          <w:b/>
        </w:rPr>
        <w:t xml:space="preserve">Retenue à la source sur les plateformes numériques</w:t>
      </w:r>
      <w:r>
        <w:t xml:space="preserve"> </w:t>
      </w:r>
      <w:r>
        <w:t xml:space="preserve">(hébergement, ventes en ligne, transferts d’argent), avec obligation pesant sur les opérateurs de plateformes.</w:t>
      </w:r>
    </w:p>
    <w:p>
      <w:pPr>
        <w:numPr>
          <w:ilvl w:val="0"/>
          <w:numId w:val="1018"/>
        </w:numPr>
        <w:pStyle w:val="Compact"/>
      </w:pPr>
      <w:r>
        <w:rPr>
          <w:bCs/>
          <w:b/>
        </w:rPr>
        <w:t xml:space="preserve">Imposition des bénéfices non réinvestis</w:t>
      </w:r>
      <w:r>
        <w:t xml:space="preserve"> </w:t>
      </w:r>
      <w:r>
        <w:t xml:space="preserve">dans les trois années suivant leur réalisation, avec un taux réduit incitatif de 7,5 % pour les régularisations volontaires effectuées avant le 31 décembre 2026.</w:t>
      </w:r>
    </w:p>
    <w:p>
      <w:pPr>
        <w:numPr>
          <w:ilvl w:val="0"/>
          <w:numId w:val="1018"/>
        </w:numPr>
        <w:pStyle w:val="Compact"/>
      </w:pPr>
      <w:r>
        <w:rPr>
          <w:bCs/>
          <w:b/>
        </w:rPr>
        <w:t xml:space="preserve">Taxation des plus-values sur cession de valeurs mobilières</w:t>
      </w:r>
      <w:r>
        <w:t xml:space="preserve"> </w:t>
      </w:r>
      <w:r>
        <w:t xml:space="preserve">d’entreprises béninoises, quelle que soit la résidence du cédant.</w:t>
      </w:r>
    </w:p>
    <w:p>
      <w:pPr>
        <w:numPr>
          <w:ilvl w:val="0"/>
          <w:numId w:val="1018"/>
        </w:numPr>
        <w:pStyle w:val="Compact"/>
      </w:pPr>
      <w:r>
        <w:rPr>
          <w:bCs/>
          <w:b/>
        </w:rPr>
        <w:t xml:space="preserve">Réduction des délais de vérification fiscale sur place</w:t>
      </w:r>
      <w:r>
        <w:t xml:space="preserve"> </w:t>
      </w:r>
      <w:r>
        <w:t xml:space="preserve">: de trois à deux mois pour les entreprises dont le chiffre d’affaires annuel est inférieur à deux milliards de FCFA.</w:t>
      </w:r>
    </w:p>
    <w:p>
      <w:pPr>
        <w:pStyle w:val="FirstParagraph"/>
      </w:pPr>
      <w:r>
        <w:rPr>
          <w:bCs/>
          <w:b/>
        </w:rPr>
        <w:t xml:space="preserve">Recommandation opérationnelle</w:t>
      </w:r>
      <w:r>
        <w:t xml:space="preserve"> </w:t>
      </w:r>
      <w:r>
        <w:t xml:space="preserve">🟠[Proposition complémentaire] : chacun de ces points doit être transformé en entrée</w:t>
      </w:r>
      <w:r>
        <w:t xml:space="preserve"> </w:t>
      </w:r>
      <w:r>
        <w:rPr>
          <w:rStyle w:val="VerbatimChar"/>
        </w:rPr>
        <w:t xml:space="preserve">RegleFiscale</w:t>
      </w:r>
      <w:r>
        <w:t xml:space="preserve"> </w:t>
      </w:r>
      <w:r>
        <w:t xml:space="preserve">(Partie 11.2) distincte, avec sa date d’entrée en vigueur exacte, dès validation du texte officiel intégral par un fiscaliste béninois désigné par le projet.</w:t>
      </w:r>
    </w:p>
    <w:bookmarkEnd w:id="64"/>
    <w:bookmarkStart w:id="65" w:name="X7bed63052f69711d368ad7a90da3f14cc268d1c"/>
    <w:p>
      <w:pPr>
        <w:pStyle w:val="Heading3"/>
      </w:pPr>
      <w:r>
        <w:t xml:space="preserve">12.4 Conformité obligatoire (rappel du cahier des charges source)</w:t>
      </w:r>
    </w:p>
    <w:p>
      <w:pPr>
        <w:pStyle w:val="FirstParagraph"/>
      </w:pPr>
      <w:r>
        <w:t xml:space="preserve">🟢[Document]</w:t>
      </w:r>
    </w:p>
    <w:p>
      <w:pPr>
        <w:numPr>
          <w:ilvl w:val="0"/>
          <w:numId w:val="1019"/>
        </w:numPr>
        <w:pStyle w:val="Compact"/>
      </w:pPr>
      <w:r>
        <w:t xml:space="preserve">Normes SYSCOHADA sur l’ensemble des modules comptables.</w:t>
      </w:r>
    </w:p>
    <w:p>
      <w:pPr>
        <w:numPr>
          <w:ilvl w:val="0"/>
          <w:numId w:val="1019"/>
        </w:numPr>
        <w:pStyle w:val="Compact"/>
      </w:pPr>
      <w:r>
        <w:t xml:space="preserve">TVA 18 % et devise FCFA appliquées systématiquement.</w:t>
      </w:r>
    </w:p>
    <w:p>
      <w:pPr>
        <w:numPr>
          <w:ilvl w:val="0"/>
          <w:numId w:val="1019"/>
        </w:numPr>
        <w:pStyle w:val="Compact"/>
      </w:pPr>
      <w:r>
        <w:rPr>
          <w:bCs/>
          <w:b/>
        </w:rPr>
        <w:t xml:space="preserve">Intégration e-MECeF/Sygmef</w:t>
      </w:r>
      <w:r>
        <w:t xml:space="preserve"> </w:t>
      </w:r>
      <w:r>
        <w:t xml:space="preserve">opérationnelle pour toute facture émise (dispositif de facturation électronique certifiée en vigueur au Bénin).</w:t>
      </w:r>
    </w:p>
    <w:p>
      <w:pPr>
        <w:numPr>
          <w:ilvl w:val="0"/>
          <w:numId w:val="1019"/>
        </w:numPr>
        <w:pStyle w:val="Compact"/>
      </w:pPr>
      <w:r>
        <w:t xml:space="preserve">Adaptation au contexte béninois : calendrier fiscal préchargé, paiement Mobile Money, mode dégradé en cas de connexion instable.</w:t>
      </w:r>
    </w:p>
    <w:bookmarkEnd w:id="65"/>
    <w:bookmarkEnd w:id="66"/>
    <w:bookmarkStart w:id="76" w:name="intelligence-artificielle-métier-gel"/>
    <w:p>
      <w:pPr>
        <w:pStyle w:val="Heading2"/>
      </w:pPr>
      <w:r>
        <w:t xml:space="preserve">13. Intelligence artificielle métier GEL</w:t>
      </w:r>
    </w:p>
    <w:bookmarkStart w:id="67" w:name="principe-directeur-1"/>
    <w:p>
      <w:pPr>
        <w:pStyle w:val="Heading3"/>
      </w:pPr>
      <w:r>
        <w:t xml:space="preserve">13.1 Principe directeur</w:t>
      </w:r>
    </w:p>
    <w:p>
      <w:pPr>
        <w:pStyle w:val="FirstParagraph"/>
      </w:pPr>
      <w:r>
        <w:t xml:space="preserve">🟢[Document] L’IA constitue l’un des piliers stratégiques du projet. L’objectif n’est</w:t>
      </w:r>
      <w:r>
        <w:t xml:space="preserve"> </w:t>
      </w:r>
      <w:r>
        <w:rPr>
          <w:bCs/>
          <w:b/>
        </w:rPr>
        <w:t xml:space="preserve">pas d’ajouter un chatbot</w:t>
      </w:r>
      <w:r>
        <w:t xml:space="preserve"> </w:t>
      </w:r>
      <w:r>
        <w:t xml:space="preserve">à GEL : l’IA doit être</w:t>
      </w:r>
      <w:r>
        <w:t xml:space="preserve"> </w:t>
      </w:r>
      <w:r>
        <w:rPr>
          <w:bCs/>
          <w:b/>
        </w:rPr>
        <w:t xml:space="preserve">intégrée nativement à chaque module métier</w:t>
      </w:r>
      <w:r>
        <w:t xml:space="preserve">, sur une architecture centralisée (service dédié appelant l’</w:t>
      </w:r>
      <w:r>
        <w:rPr>
          <w:bCs/>
          <w:b/>
        </w:rPr>
        <w:t xml:space="preserve">API Anthropic Claude</w:t>
      </w:r>
      <w:r>
        <w:t xml:space="preserve">), avec journalisation systématique dans l’Historique sous la mention</w:t>
      </w:r>
      <w:r>
        <w:t xml:space="preserve"> </w:t>
      </w:r>
      <w:r>
        <w:rPr>
          <w:bCs/>
          <w:b/>
        </w:rPr>
        <w:t xml:space="preserve">« IA ACTION »</w:t>
      </w:r>
      <w:r>
        <w:t xml:space="preserve">.</w:t>
      </w:r>
    </w:p>
    <w:p>
      <w:pPr>
        <w:pStyle w:val="BodyText"/>
      </w:pPr>
      <w:r>
        <w:rPr>
          <w:bCs/>
          <w:b/>
        </w:rPr>
        <w:t xml:space="preserve">Règles non négociables</w:t>
      </w:r>
      <w:r>
        <w:t xml:space="preserve"> </w:t>
      </w:r>
      <w:r>
        <w:t xml:space="preserve">🟢[Document] :</w:t>
      </w:r>
    </w:p>
    <w:p>
      <w:pPr>
        <w:numPr>
          <w:ilvl w:val="0"/>
          <w:numId w:val="1020"/>
        </w:numPr>
        <w:pStyle w:val="Compact"/>
      </w:pPr>
      <w:r>
        <w:t xml:space="preserve">Aucune action irréversible (envoi, signature, paiement, comptabilisation définitive) exécutée automatiquement sans validation humaine explicite.</w:t>
      </w:r>
    </w:p>
    <w:p>
      <w:pPr>
        <w:numPr>
          <w:ilvl w:val="0"/>
          <w:numId w:val="1020"/>
        </w:numPr>
        <w:pStyle w:val="Compact"/>
      </w:pPr>
      <w:r>
        <w:t xml:space="preserve">Isolation stricte : chaque requête IA n’a accès qu’aux données réelles de l’espace de l’utilisateur connecté (pas de fuite inter-entreprises).</w:t>
      </w:r>
    </w:p>
    <w:p>
      <w:pPr>
        <w:numPr>
          <w:ilvl w:val="0"/>
          <w:numId w:val="1020"/>
        </w:numPr>
        <w:pStyle w:val="Compact"/>
      </w:pPr>
      <w:r>
        <w:t xml:space="preserve">Le Copilote ne doit jamais halluciner : si une donnée n’existe pas, il le dit clairement plutôt que d’inventer une réponse.</w:t>
      </w:r>
    </w:p>
    <w:p>
      <w:pPr>
        <w:numPr>
          <w:ilvl w:val="0"/>
          <w:numId w:val="1020"/>
        </w:numPr>
        <w:pStyle w:val="Compact"/>
      </w:pPr>
      <w:r>
        <w:t xml:space="preserve">L’IA doit être un</w:t>
      </w:r>
      <w:r>
        <w:t xml:space="preserve"> </w:t>
      </w:r>
      <w:r>
        <w:rPr>
          <w:bCs/>
          <w:b/>
        </w:rPr>
        <w:t xml:space="preserve">assistant contrôlé</w:t>
      </w:r>
      <w:r>
        <w:t xml:space="preserve">, jamais une</w:t>
      </w:r>
      <w:r>
        <w:t xml:space="preserve"> </w:t>
      </w:r>
      <w:r>
        <w:rPr>
          <w:bCs/>
          <w:b/>
        </w:rPr>
        <w:t xml:space="preserve">autorité comptable autonome</w:t>
      </w:r>
      <w:r>
        <w:t xml:space="preserve"> </w:t>
      </w:r>
      <w:r>
        <w:t xml:space="preserve">(Règle 9 du prompt maître).</w:t>
      </w:r>
    </w:p>
    <w:bookmarkEnd w:id="67"/>
    <w:bookmarkStart w:id="68" w:name="ia-documentaire-et-comptable"/>
    <w:p>
      <w:pPr>
        <w:pStyle w:val="Heading3"/>
      </w:pPr>
      <w:r>
        <w:t xml:space="preserve">13.2 IA documentaire et comptable</w:t>
      </w:r>
    </w:p>
    <w:p>
      <w:pPr>
        <w:pStyle w:val="FirstParagraph"/>
      </w:pPr>
      <w:r>
        <w:t xml:space="preserve">🟢[Document]/🟠[Proposition complémentaire pour le détail des contrôles]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Capacité</w:t>
            </w:r>
          </w:p>
        </w:tc>
        <w:tc>
          <w:tcPr/>
          <w:p>
            <w:pPr>
              <w:pStyle w:val="Compact"/>
              <w:jc w:val="left"/>
            </w:pPr>
            <w:r>
              <w:t xml:space="preserve">Détail</w:t>
            </w:r>
          </w:p>
        </w:tc>
      </w:tr>
      <w:tr>
        <w:tc>
          <w:tcPr/>
          <w:p>
            <w:pPr>
              <w:pStyle w:val="Compact"/>
              <w:jc w:val="left"/>
            </w:pPr>
            <w:r>
              <w:rPr>
                <w:bCs/>
                <w:b/>
              </w:rPr>
              <w:t xml:space="preserve">OCR et lecture de factures</w:t>
            </w:r>
          </w:p>
        </w:tc>
        <w:tc>
          <w:tcPr/>
          <w:p>
            <w:pPr>
              <w:pStyle w:val="Compact"/>
              <w:jc w:val="left"/>
            </w:pPr>
            <w:r>
              <w:t xml:space="preserve">Extraction automatique : fournisseur, date, montants HT/TVA/TTC, numéro de facture, devise</w:t>
            </w:r>
          </w:p>
        </w:tc>
      </w:tr>
      <w:tr>
        <w:tc>
          <w:tcPr/>
          <w:p>
            <w:pPr>
              <w:pStyle w:val="Compact"/>
              <w:jc w:val="left"/>
            </w:pPr>
            <w:r>
              <w:rPr>
                <w:bCs/>
                <w:b/>
              </w:rPr>
              <w:t xml:space="preserve">Reconnaissance et classification documentaire</w:t>
            </w:r>
          </w:p>
        </w:tc>
        <w:tc>
          <w:tcPr/>
          <w:p>
            <w:pPr>
              <w:pStyle w:val="Compact"/>
              <w:jc w:val="left"/>
            </w:pPr>
            <w:r>
              <w:t xml:space="preserve">Identification automatique du type (RCCM, IFU, contrat, facture, déclaration fiscale, déclaration CNSS) pour proposer un classement — l’IA propose, l’humain valide</w:t>
            </w:r>
          </w:p>
        </w:tc>
      </w:tr>
      <w:tr>
        <w:tc>
          <w:tcPr/>
          <w:p>
            <w:pPr>
              <w:pStyle w:val="Compact"/>
              <w:jc w:val="left"/>
            </w:pPr>
            <w:r>
              <w:rPr>
                <w:bCs/>
                <w:b/>
              </w:rPr>
              <w:t xml:space="preserve">Suggestion de comptes SYSCOHADA</w:t>
            </w:r>
          </w:p>
        </w:tc>
        <w:tc>
          <w:tcPr/>
          <w:p>
            <w:pPr>
              <w:pStyle w:val="Compact"/>
              <w:jc w:val="left"/>
            </w:pPr>
            <w:r>
              <w:t xml:space="preserve">Proposition du compte le plus probable selon la nature de l’opération et l’historique des choix déjà validés pour ce fournisseur/cette entreprise</w:t>
            </w:r>
          </w:p>
        </w:tc>
      </w:tr>
      <w:tr>
        <w:tc>
          <w:tcPr/>
          <w:p>
            <w:pPr>
              <w:pStyle w:val="Compact"/>
              <w:jc w:val="left"/>
            </w:pPr>
            <w:r>
              <w:rPr>
                <w:bCs/>
                <w:b/>
              </w:rPr>
              <w:t xml:space="preserve">Suggestion d’écritures complètes</w:t>
            </w:r>
          </w:p>
        </w:tc>
        <w:tc>
          <w:tcPr/>
          <w:p>
            <w:pPr>
              <w:pStyle w:val="Compact"/>
              <w:jc w:val="left"/>
            </w:pPr>
            <w:r>
              <w:t xml:space="preserve">Génération d’une écriture équilibrée (débit/crédit) prête à validation</w:t>
            </w:r>
          </w:p>
        </w:tc>
      </w:tr>
      <w:tr>
        <w:tc>
          <w:tcPr/>
          <w:p>
            <w:pPr>
              <w:pStyle w:val="Compact"/>
              <w:jc w:val="left"/>
            </w:pPr>
            <w:r>
              <w:rPr>
                <w:bCs/>
                <w:b/>
              </w:rPr>
              <w:t xml:space="preserve">Analyse des comptes et détection d’erreurs</w:t>
            </w:r>
          </w:p>
        </w:tc>
        <w:tc>
          <w:tcPr/>
          <w:p>
            <w:pPr>
              <w:pStyle w:val="Compact"/>
              <w:jc w:val="left"/>
            </w:pPr>
            <w:r>
              <w:t xml:space="preserve">Recherche de doublons, d’écritures déséquilibrées, de comptes utilisés de façon inhabituelle</w:t>
            </w:r>
          </w:p>
        </w:tc>
      </w:tr>
      <w:tr>
        <w:tc>
          <w:tcPr/>
          <w:p>
            <w:pPr>
              <w:pStyle w:val="Compact"/>
              <w:jc w:val="left"/>
            </w:pPr>
            <w:r>
              <w:rPr>
                <w:bCs/>
                <w:b/>
              </w:rPr>
              <w:t xml:space="preserve">Contrôle de cohérence</w:t>
            </w:r>
          </w:p>
        </w:tc>
        <w:tc>
          <w:tcPr/>
          <w:p>
            <w:pPr>
              <w:pStyle w:val="Compact"/>
              <w:jc w:val="left"/>
            </w:pPr>
            <w:r>
              <w:t xml:space="preserve">Vérification croisée entre modules (ex. montant facturé vs montant encaissé, stock théorique vs stock physique)</w:t>
            </w:r>
          </w:p>
        </w:tc>
      </w:tr>
    </w:tbl>
    <w:bookmarkEnd w:id="68"/>
    <w:bookmarkStart w:id="69" w:name="ia-fiscale"/>
    <w:p>
      <w:pPr>
        <w:pStyle w:val="Heading3"/>
      </w:pPr>
      <w:r>
        <w:t xml:space="preserve">13.3 IA fiscale</w:t>
      </w:r>
    </w:p>
    <w:p>
      <w:pPr>
        <w:pStyle w:val="FirstParagraph"/>
      </w:pPr>
      <w:r>
        <w:t xml:space="preserve">🟢[Document]</w:t>
      </w:r>
    </w:p>
    <w:p>
      <w:pPr>
        <w:numPr>
          <w:ilvl w:val="0"/>
          <w:numId w:val="1021"/>
        </w:numPr>
        <w:pStyle w:val="Compact"/>
      </w:pPr>
      <w:r>
        <w:t xml:space="preserve">Identification du traitement fiscal applicable à une opération (TVA déductible/non déductible, charge déductible/non déductible fiscalement).</w:t>
      </w:r>
    </w:p>
    <w:p>
      <w:pPr>
        <w:numPr>
          <w:ilvl w:val="0"/>
          <w:numId w:val="1021"/>
        </w:numPr>
        <w:pStyle w:val="Compact"/>
      </w:pPr>
      <w:r>
        <w:t xml:space="preserve">Contrôle des taux appliqués par rapport au moteur fiscal en vigueur (Partie 11).</w:t>
      </w:r>
    </w:p>
    <w:p>
      <w:pPr>
        <w:numPr>
          <w:ilvl w:val="0"/>
          <w:numId w:val="1021"/>
        </w:numPr>
        <w:pStyle w:val="Compact"/>
      </w:pPr>
      <w:r>
        <w:t xml:space="preserve">Détection des opérations potentiellement non conformes (ex. charge susceptible d’être requalifiée en charge somptuaire non déductible).</w:t>
      </w:r>
    </w:p>
    <w:p>
      <w:pPr>
        <w:numPr>
          <w:ilvl w:val="0"/>
          <w:numId w:val="1021"/>
        </w:numPr>
        <w:pStyle w:val="Compact"/>
      </w:pPr>
      <w:r>
        <w:t xml:space="preserve">Assistance à la préparation des déclarations (pré-remplissage à partir des données comptables réelles).</w:t>
      </w:r>
    </w:p>
    <w:p>
      <w:pPr>
        <w:numPr>
          <w:ilvl w:val="0"/>
          <w:numId w:val="1021"/>
        </w:numPr>
        <w:pStyle w:val="Compact"/>
      </w:pPr>
      <w:r>
        <w:t xml:space="preserve">Calculs fiscaux (TVA due, acomptes IS, ITS sur salaires).</w:t>
      </w:r>
    </w:p>
    <w:p>
      <w:pPr>
        <w:numPr>
          <w:ilvl w:val="0"/>
          <w:numId w:val="1021"/>
        </w:numPr>
        <w:pStyle w:val="Compact"/>
      </w:pPr>
      <w:r>
        <w:t xml:space="preserve">Alertes sur les échéances déclaratives, calées sur le calendrier fiscal du pays paramétré.</w:t>
      </w:r>
    </w:p>
    <w:bookmarkEnd w:id="69"/>
    <w:bookmarkStart w:id="70" w:name="ia-de-contrôle-détection-danomalies"/>
    <w:p>
      <w:pPr>
        <w:pStyle w:val="Heading3"/>
      </w:pPr>
      <w:r>
        <w:t xml:space="preserve">13.4 IA de contrôle (détection d’anomalies)</w:t>
      </w:r>
    </w:p>
    <w:p>
      <w:pPr>
        <w:pStyle w:val="FirstParagraph"/>
      </w:pPr>
      <w:r>
        <w:t xml:space="preserve">🟢[Document] Détection de :</w:t>
      </w:r>
    </w:p>
    <w:p>
      <w:pPr>
        <w:numPr>
          <w:ilvl w:val="0"/>
          <w:numId w:val="1022"/>
        </w:numPr>
        <w:pStyle w:val="Compact"/>
      </w:pPr>
      <w:r>
        <w:t xml:space="preserve">doublons (factures, écritures, paiements) ;</w:t>
      </w:r>
    </w:p>
    <w:p>
      <w:pPr>
        <w:numPr>
          <w:ilvl w:val="0"/>
          <w:numId w:val="1022"/>
        </w:numPr>
        <w:pStyle w:val="Compact"/>
      </w:pPr>
      <w:r>
        <w:t xml:space="preserve">montants inhabituels par rapport à l’historique de l’entité ;</w:t>
      </w:r>
    </w:p>
    <w:p>
      <w:pPr>
        <w:numPr>
          <w:ilvl w:val="0"/>
          <w:numId w:val="1022"/>
        </w:numPr>
        <w:pStyle w:val="Compact"/>
      </w:pPr>
      <w:r>
        <w:t xml:space="preserve">écritures inhabituelles (compte rarement utilisé, contrepartie atypique) ;</w:t>
      </w:r>
    </w:p>
    <w:p>
      <w:pPr>
        <w:numPr>
          <w:ilvl w:val="0"/>
          <w:numId w:val="1022"/>
        </w:numPr>
        <w:pStyle w:val="Compact"/>
      </w:pPr>
      <w:r>
        <w:t xml:space="preserve">incohérences TVA (taux appliqué non conforme au moteur fiscal) ;</w:t>
      </w:r>
    </w:p>
    <w:p>
      <w:pPr>
        <w:numPr>
          <w:ilvl w:val="0"/>
          <w:numId w:val="1022"/>
        </w:numPr>
        <w:pStyle w:val="Compact"/>
      </w:pPr>
      <w:r>
        <w:t xml:space="preserve">erreurs de comptes (compte de charge crédité au lieu d’être débité, par exemple) ;</w:t>
      </w:r>
    </w:p>
    <w:p>
      <w:pPr>
        <w:numPr>
          <w:ilvl w:val="0"/>
          <w:numId w:val="1022"/>
        </w:numPr>
        <w:pStyle w:val="Compact"/>
      </w:pPr>
      <w:r>
        <w:t xml:space="preserve">comptes d’attente non soldés ;</w:t>
      </w:r>
    </w:p>
    <w:p>
      <w:pPr>
        <w:numPr>
          <w:ilvl w:val="0"/>
          <w:numId w:val="1022"/>
        </w:numPr>
        <w:pStyle w:val="Compact"/>
      </w:pPr>
      <w:r>
        <w:t xml:space="preserve">créances ou dettes anormalement anciennes ;</w:t>
      </w:r>
    </w:p>
    <w:p>
      <w:pPr>
        <w:numPr>
          <w:ilvl w:val="0"/>
          <w:numId w:val="1022"/>
        </w:numPr>
        <w:pStyle w:val="Compact"/>
      </w:pPr>
      <w:r>
        <w:t xml:space="preserve">incohérences caisse (solde créditeur, ce qui est impossible pour une caisse physique) ou banque (écart de rapprochement récurrent).</w:t>
      </w:r>
    </w:p>
    <w:bookmarkEnd w:id="70"/>
    <w:bookmarkStart w:id="71" w:name="ia-prédictive"/>
    <w:p>
      <w:pPr>
        <w:pStyle w:val="Heading3"/>
      </w:pPr>
      <w:r>
        <w:t xml:space="preserve">13.5 IA prédictive</w:t>
      </w:r>
    </w:p>
    <w:p>
      <w:pPr>
        <w:pStyle w:val="FirstParagraph"/>
      </w:pPr>
      <w:r>
        <w:t xml:space="preserve">🟢[Document] Lorsque les données historiques sont suffisantes :</w:t>
      </w:r>
    </w:p>
    <w:p>
      <w:pPr>
        <w:numPr>
          <w:ilvl w:val="0"/>
          <w:numId w:val="1023"/>
        </w:numPr>
        <w:pStyle w:val="Compact"/>
      </w:pPr>
      <w:r>
        <w:t xml:space="preserve">prévision de trésorerie (encaissements/décaissements à venir) ;</w:t>
      </w:r>
    </w:p>
    <w:p>
      <w:pPr>
        <w:numPr>
          <w:ilvl w:val="0"/>
          <w:numId w:val="1023"/>
        </w:numPr>
        <w:pStyle w:val="Compact"/>
      </w:pPr>
      <w:r>
        <w:t xml:space="preserve">prévision de chiffre d’affaires ;</w:t>
      </w:r>
    </w:p>
    <w:p>
      <w:pPr>
        <w:numPr>
          <w:ilvl w:val="0"/>
          <w:numId w:val="1023"/>
        </w:numPr>
        <w:pStyle w:val="Compact"/>
      </w:pPr>
      <w:r>
        <w:t xml:space="preserve">prévision de charges ;</w:t>
      </w:r>
    </w:p>
    <w:p>
      <w:pPr>
        <w:numPr>
          <w:ilvl w:val="0"/>
          <w:numId w:val="1023"/>
        </w:numPr>
        <w:pStyle w:val="Compact"/>
      </w:pPr>
      <w:r>
        <w:t xml:space="preserve">prévision fiscale (estimation de l’IS ou de la TVA à venir) ;</w:t>
      </w:r>
    </w:p>
    <w:p>
      <w:pPr>
        <w:numPr>
          <w:ilvl w:val="0"/>
          <w:numId w:val="1023"/>
        </w:numPr>
        <w:pStyle w:val="Compact"/>
      </w:pPr>
      <w:r>
        <w:t xml:space="preserve">détection des risques (ex. entreprise proche d’un seuil de changement de régime fiscal) ;</w:t>
      </w:r>
    </w:p>
    <w:p>
      <w:pPr>
        <w:numPr>
          <w:ilvl w:val="0"/>
          <w:numId w:val="1023"/>
        </w:numPr>
        <w:pStyle w:val="Compact"/>
      </w:pPr>
      <w:r>
        <w:t xml:space="preserve">analyse de tendances (évolution de la marge, de la trésorerie).</w:t>
      </w:r>
    </w:p>
    <w:bookmarkEnd w:id="71"/>
    <w:bookmarkStart w:id="72" w:name="copilote-comptable-gel"/>
    <w:p>
      <w:pPr>
        <w:pStyle w:val="Heading3"/>
      </w:pPr>
      <w:r>
        <w:t xml:space="preserve">13.6 Copilote comptable GEL</w:t>
      </w:r>
    </w:p>
    <w:p>
      <w:pPr>
        <w:pStyle w:val="FirstParagraph"/>
      </w:pPr>
      <w:r>
        <w:t xml:space="preserve">🟢[Document] Assistant conversationnel spécialisé, capable de répondre à des demandes en langage naturel telles que :</w:t>
      </w:r>
      <w:r>
        <w:t xml:space="preserve"> </w:t>
      </w:r>
      <w:r>
        <w:rPr>
          <w:iCs/>
          <w:i/>
        </w:rPr>
        <w:t xml:space="preserve">« Analyse les comptes fournisseurs »</w:t>
      </w:r>
      <w:r>
        <w:t xml:space="preserve">,</w:t>
      </w:r>
      <w:r>
        <w:t xml:space="preserve"> </w:t>
      </w:r>
      <w:r>
        <w:rPr>
          <w:iCs/>
          <w:i/>
        </w:rPr>
        <w:t xml:space="preserve">« Pourquoi ma TVA est-elle élevée ? »</w:t>
      </w:r>
      <w:r>
        <w:t xml:space="preserve">,</w:t>
      </w:r>
      <w:r>
        <w:t xml:space="preserve"> </w:t>
      </w:r>
      <w:r>
        <w:rPr>
          <w:iCs/>
          <w:i/>
        </w:rPr>
        <w:t xml:space="preserve">« Trouve les écritures inhabituelles »</w:t>
      </w:r>
      <w:r>
        <w:t xml:space="preserve">,</w:t>
      </w:r>
      <w:r>
        <w:t xml:space="preserve"> </w:t>
      </w:r>
      <w:r>
        <w:rPr>
          <w:iCs/>
          <w:i/>
        </w:rPr>
        <w:t xml:space="preserve">« Vérifie les comptes 64 »</w:t>
      </w:r>
      <w:r>
        <w:t xml:space="preserve">,</w:t>
      </w:r>
      <w:r>
        <w:t xml:space="preserve"> </w:t>
      </w:r>
      <w:r>
        <w:rPr>
          <w:iCs/>
          <w:i/>
        </w:rPr>
        <w:t xml:space="preserve">« Prépare la clôture »</w:t>
      </w:r>
      <w:r>
        <w:t xml:space="preserve">,</w:t>
      </w:r>
      <w:r>
        <w:t xml:space="preserve"> </w:t>
      </w:r>
      <w:r>
        <w:rPr>
          <w:iCs/>
          <w:i/>
        </w:rPr>
        <w:t xml:space="preserve">« Identifie les charges potentiellement non déductibles »</w:t>
      </w:r>
      <w:r>
        <w:t xml:space="preserve">,</w:t>
      </w:r>
      <w:r>
        <w:t xml:space="preserve"> </w:t>
      </w:r>
      <w:r>
        <w:rPr>
          <w:iCs/>
          <w:i/>
        </w:rPr>
        <w:t xml:space="preserve">« Explique cette écriture »</w:t>
      </w:r>
      <w:r>
        <w:t xml:space="preserve">,</w:t>
      </w:r>
      <w:r>
        <w:t xml:space="preserve"> </w:t>
      </w:r>
      <w:r>
        <w:rPr>
          <w:iCs/>
          <w:i/>
        </w:rPr>
        <w:t xml:space="preserve">« Analyse la variation du résultat »</w:t>
      </w:r>
      <w:r>
        <w:t xml:space="preserve">,</w:t>
      </w:r>
      <w:r>
        <w:t xml:space="preserve"> </w:t>
      </w:r>
      <w:r>
        <w:rPr>
          <w:iCs/>
          <w:i/>
        </w:rPr>
        <w:t xml:space="preserve">« Prépare une synthèse pour le dirigeant »</w:t>
      </w:r>
      <w:r>
        <w:t xml:space="preserve">.</w:t>
      </w:r>
    </w:p>
    <w:p>
      <w:pPr>
        <w:pStyle w:val="BodyText"/>
      </w:pPr>
      <w:r>
        <w:rPr>
          <w:bCs/>
          <w:b/>
        </w:rPr>
        <w:t xml:space="preserve">Exigence d’explicabilité</w:t>
      </w:r>
      <w:r>
        <w:t xml:space="preserve"> </w:t>
      </w:r>
      <w:r>
        <w:t xml:space="preserve">🟢[Document] : les réponses de l’IA doivent être</w:t>
      </w:r>
      <w:r>
        <w:t xml:space="preserve"> </w:t>
      </w:r>
      <w:r>
        <w:rPr>
          <w:bCs/>
          <w:b/>
        </w:rPr>
        <w:t xml:space="preserve">explicables et traçables</w:t>
      </w:r>
      <w:r>
        <w:t xml:space="preserve">. L’IA ne doit pas simplement donner une réponse : elle doit pouvoir indiquer</w:t>
      </w:r>
      <w:r>
        <w:t xml:space="preserve"> </w:t>
      </w:r>
      <w:r>
        <w:rPr>
          <w:bCs/>
          <w:b/>
        </w:rPr>
        <w:t xml:space="preserve">sur quelles données et quelles règles elle s’est appuyée</w:t>
      </w:r>
      <w:r>
        <w:t xml:space="preserve"> </w:t>
      </w:r>
      <w:r>
        <w:t xml:space="preserve">— en particulier, pour toute réponse fiscale, elle doit citer la règle exacte du moteur fiscal utilisée (id + version, voir Partie 11.4).</w:t>
      </w:r>
    </w:p>
    <w:bookmarkEnd w:id="72"/>
    <w:bookmarkStart w:id="73" w:name="X5cc751de6dfb422d6801f5349e329c572a1a64f"/>
    <w:p>
      <w:pPr>
        <w:pStyle w:val="Heading3"/>
      </w:pPr>
      <w:r>
        <w:t xml:space="preserve">13.7 Niveaux de maturité de l’assistant (repris du cahier « GEL SABINET », étendus à la dimension comptable)</w:t>
      </w:r>
    </w:p>
    <w:p>
      <w:pPr>
        <w:pStyle w:val="FirstParagraph"/>
      </w:pPr>
      <w:r>
        <w:t xml:space="preserve">🟢[Document]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Capacité</w:t>
            </w:r>
          </w:p>
        </w:tc>
      </w:tr>
      <w:tr>
        <w:tc>
          <w:tcPr/>
          <w:p>
            <w:pPr>
              <w:pStyle w:val="Compact"/>
              <w:jc w:val="left"/>
            </w:pPr>
            <w:r>
              <w:t xml:space="preserve">1 — Assistant réactif</w:t>
            </w:r>
          </w:p>
        </w:tc>
        <w:tc>
          <w:tcPr/>
          <w:p>
            <w:pPr>
              <w:pStyle w:val="Compact"/>
              <w:jc w:val="left"/>
            </w:pPr>
            <w:r>
              <w:t xml:space="preserve">Rédaction, résumé, traduction, classement automatique, transcription, sur demande explicite, module par module</w:t>
            </w:r>
          </w:p>
        </w:tc>
      </w:tr>
      <w:tr>
        <w:tc>
          <w:tcPr/>
          <w:p>
            <w:pPr>
              <w:pStyle w:val="Compact"/>
              <w:jc w:val="left"/>
            </w:pPr>
            <w:r>
              <w:t xml:space="preserve">2 — Agent proactif</w:t>
            </w:r>
          </w:p>
        </w:tc>
        <w:tc>
          <w:tcPr/>
          <w:p>
            <w:pPr>
              <w:pStyle w:val="Compact"/>
              <w:jc w:val="left"/>
            </w:pPr>
            <w:r>
              <w:t xml:space="preserve">Brief quotidien automatique, triage automatique de la messagerie et des courriers entrants, veille active sur les échéances avec escalade automatique</w:t>
            </w:r>
          </w:p>
        </w:tc>
      </w:tr>
      <w:tr>
        <w:tc>
          <w:tcPr/>
          <w:p>
            <w:pPr>
              <w:pStyle w:val="Compact"/>
              <w:jc w:val="left"/>
            </w:pPr>
            <w:r>
              <w:t xml:space="preserve">3 — Orchestration inter-modules</w:t>
            </w:r>
          </w:p>
        </w:tc>
        <w:tc>
          <w:tcPr/>
          <w:p>
            <w:pPr>
              <w:pStyle w:val="Compact"/>
              <w:jc w:val="left"/>
            </w:pPr>
            <w:r>
              <w:t xml:space="preserve">Chaînes automatiques (Réunion → PV → Tâches → Relances ; Document → Obligation → Alerte → Action ;</w:t>
            </w:r>
            <w:r>
              <w:t xml:space="preserve"> </w:t>
            </w:r>
            <w:r>
              <w:rPr>
                <w:bCs/>
                <w:b/>
              </w:rPr>
              <w:t xml:space="preserve">Facture importée → Écriture proposée → Rapprochement → Déclaration</w:t>
            </w:r>
            <w:r>
              <w:t xml:space="preserve">) ; fiche de contexte à 360° par contact</w:t>
            </w:r>
          </w:p>
        </w:tc>
      </w:tr>
      <w:tr>
        <w:tc>
          <w:tcPr/>
          <w:p>
            <w:pPr>
              <w:pStyle w:val="Compact"/>
              <w:jc w:val="left"/>
            </w:pPr>
            <w:r>
              <w:t xml:space="preserve">4 — Automatisations personnalisables</w:t>
            </w:r>
          </w:p>
        </w:tc>
        <w:tc>
          <w:tcPr/>
          <w:p>
            <w:pPr>
              <w:pStyle w:val="Compact"/>
              <w:jc w:val="left"/>
            </w:pPr>
            <w:r>
              <w:t xml:space="preserve">Constructeur de règles « Si [événement] Alors [action IA] » configurable sans code, intégration WhatsApp pour brief quotidien et alertes critiques</w:t>
            </w:r>
          </w:p>
        </w:tc>
      </w:tr>
      <w:tr>
        <w:tc>
          <w:tcPr/>
          <w:p>
            <w:pPr>
              <w:pStyle w:val="Compact"/>
              <w:jc w:val="left"/>
            </w:pPr>
            <w:r>
              <w:t xml:space="preserve">5 — Voix et mobilité</w:t>
            </w:r>
          </w:p>
        </w:tc>
        <w:tc>
          <w:tcPr/>
          <w:p>
            <w:pPr>
              <w:pStyle w:val="Compact"/>
              <w:jc w:val="left"/>
            </w:pPr>
            <w:r>
              <w:t xml:space="preserve">Dictée vocale intelligente structurée, mode dégradé avec file d’attente locale pour requêtes IA hors connexion</w:t>
            </w:r>
          </w:p>
        </w:tc>
      </w:tr>
    </w:tbl>
    <w:bookmarkEnd w:id="73"/>
    <w:bookmarkStart w:id="74" w:name="Xabef11ca1fdc99e9f4f30063ab9ea6e1d025ac8"/>
    <w:p>
      <w:pPr>
        <w:pStyle w:val="Heading3"/>
      </w:pPr>
      <w:r>
        <w:t xml:space="preserve">13.8 Exigence de qualité — une IA alimentée par les données réelles (RAG)</w:t>
      </w:r>
    </w:p>
    <w:p>
      <w:pPr>
        <w:pStyle w:val="FirstParagraph"/>
      </w:pPr>
      <w:r>
        <w:t xml:space="preserve">🟢[Document] L’Assistant IA ne doit pas se limiter à des réponses génériques. Il doit être visiblement nourri par les données réelles et à jour de chaque entreprise :</w:t>
      </w:r>
    </w:p>
    <w:p>
      <w:pPr>
        <w:numPr>
          <w:ilvl w:val="0"/>
          <w:numId w:val="1024"/>
        </w:numPr>
        <w:pStyle w:val="Compact"/>
      </w:pPr>
      <w:r>
        <w:rPr>
          <w:bCs/>
          <w:b/>
        </w:rPr>
        <w:t xml:space="preserve">Mécanisme technique</w:t>
      </w:r>
      <w:r>
        <w:t xml:space="preserve"> </w:t>
      </w:r>
      <w:r>
        <w:t xml:space="preserve">: génération augmentée par récupération (</w:t>
      </w:r>
      <w:r>
        <w:rPr>
          <w:bCs/>
          <w:b/>
        </w:rPr>
        <w:t xml:space="preserve">RAG</w:t>
      </w:r>
      <w:r>
        <w:t xml:space="preserve">) — à chaque requête, l’IA reçoit en contexte les données réelles et récentes pertinentes de l’espace de l’utilisateur (documents, écritures, tâches, historique des échanges), sans mélanger les dossiers entre entreprises.</w:t>
      </w:r>
    </w:p>
    <w:p>
      <w:pPr>
        <w:numPr>
          <w:ilvl w:val="0"/>
          <w:numId w:val="1024"/>
        </w:numPr>
        <w:pStyle w:val="Compact"/>
      </w:pPr>
      <w:r>
        <w:rPr>
          <w:bCs/>
          <w:b/>
        </w:rPr>
        <w:t xml:space="preserve">Boucle de rétroaction</w:t>
      </w:r>
      <w:r>
        <w:t xml:space="preserve"> </w:t>
      </w:r>
      <w:r>
        <w:t xml:space="preserve">: lorsqu’un secrétaire ou un comptable corrige une proposition de l’IA (ex. reclasse un document, corrige une écriture), la correction est enregistrée et réutilisée pour affiner les futures suggestions</w:t>
      </w:r>
      <w:r>
        <w:t xml:space="preserve"> </w:t>
      </w:r>
      <w:r>
        <w:rPr>
          <w:bCs/>
          <w:b/>
        </w:rPr>
        <w:t xml:space="preserve">sur cette même entreprise</w:t>
      </w:r>
      <w:r>
        <w:t xml:space="preserve"> </w:t>
      </w:r>
      <w:r>
        <w:t xml:space="preserve">(mécanisme d’apprentissage par correction, pas un réentraînement du modèle lui-même).</w:t>
      </w:r>
    </w:p>
    <w:p>
      <w:pPr>
        <w:numPr>
          <w:ilvl w:val="0"/>
          <w:numId w:val="1024"/>
        </w:numPr>
        <w:pStyle w:val="Compact"/>
      </w:pPr>
      <w:r>
        <w:rPr>
          <w:bCs/>
          <w:b/>
        </w:rPr>
        <w:t xml:space="preserve">Précision technique honnête</w:t>
      </w:r>
      <w:r>
        <w:t xml:space="preserve"> </w:t>
      </w:r>
      <w:r>
        <w:t xml:space="preserve">: l’IA de GEL s’appuie sur un modèle de langage existant (API Anthropic Claude) auquel on fournit un contexte réel et actualisé — il ne s’agit pas d’entraîner un modèle propriétaire à partir de zéro. La qualité perçue vient de la richesse et de la fraîcheur du contexte fourni.</w:t>
      </w:r>
    </w:p>
    <w:bookmarkEnd w:id="74"/>
    <w:bookmarkStart w:id="75" w:name="Xcbeb845cbb3a9e5c7a6fe0984cd9bb3373cd6e4"/>
    <w:p>
      <w:pPr>
        <w:pStyle w:val="Heading3"/>
      </w:pPr>
      <w:r>
        <w:t xml:space="preserve">13.9 Facturation de l’Assistant IA (séparée de l’abonnement de base)</w:t>
      </w:r>
    </w:p>
    <w:p>
      <w:pPr>
        <w:pStyle w:val="FirstParagraph"/>
      </w:pPr>
      <w:r>
        <w:t xml:space="preserve">🟢[Document]</w:t>
      </w:r>
    </w:p>
    <w:p>
      <w:pPr>
        <w:numPr>
          <w:ilvl w:val="0"/>
          <w:numId w:val="1025"/>
        </w:numPr>
        <w:pStyle w:val="Compact"/>
      </w:pPr>
      <w:r>
        <w:t xml:space="preserve">L’usage de l’IA est facturé</w:t>
      </w:r>
      <w:r>
        <w:t xml:space="preserve"> </w:t>
      </w:r>
      <w:r>
        <w:rPr>
          <w:bCs/>
          <w:b/>
        </w:rPr>
        <w:t xml:space="preserve">à part</w:t>
      </w:r>
      <w:r>
        <w:t xml:space="preserve">, distinct de l’abonnement de base — une entreprise peut utiliser GEL sans jamais activer l’IA, sans surcoût.</w:t>
      </w:r>
    </w:p>
    <w:p>
      <w:pPr>
        <w:numPr>
          <w:ilvl w:val="0"/>
          <w:numId w:val="1025"/>
        </w:numPr>
        <w:pStyle w:val="Compact"/>
      </w:pPr>
      <w:r>
        <w:t xml:space="preserve">Chaque plan tarifaire définit un</w:t>
      </w:r>
      <w:r>
        <w:t xml:space="preserve"> </w:t>
      </w:r>
      <w:r>
        <w:rPr>
          <w:bCs/>
          <w:b/>
        </w:rPr>
        <w:t xml:space="preserve">quota IA inclus</w:t>
      </w:r>
      <w:r>
        <w:t xml:space="preserve"> </w:t>
      </w:r>
      <w:r>
        <w:t xml:space="preserve">(requêtes/tokens par mois), affiché en temps réel.</w:t>
      </w:r>
    </w:p>
    <w:p>
      <w:pPr>
        <w:numPr>
          <w:ilvl w:val="0"/>
          <w:numId w:val="1025"/>
        </w:numPr>
        <w:pStyle w:val="Compact"/>
      </w:pPr>
      <w:r>
        <w:t xml:space="preserve">Au-delà du quota : blocage avec proposition de mise à niveau,</w:t>
      </w:r>
      <w:r>
        <w:t xml:space="preserve"> </w:t>
      </w:r>
      <w:r>
        <w:rPr>
          <w:bCs/>
          <w:b/>
        </w:rPr>
        <w:t xml:space="preserve">ou</w:t>
      </w:r>
      <w:r>
        <w:t xml:space="preserve"> </w:t>
      </w:r>
      <w:r>
        <w:t xml:space="preserve">facturation à l’usage — arbitrage à trancher avec le Super Administrateur avant développement.</w:t>
      </w:r>
    </w:p>
    <w:p>
      <w:pPr>
        <w:numPr>
          <w:ilvl w:val="0"/>
          <w:numId w:val="1025"/>
        </w:numPr>
        <w:pStyle w:val="Compact"/>
      </w:pPr>
      <w:r>
        <w:t xml:space="preserve">Le</w:t>
      </w:r>
      <w:r>
        <w:t xml:space="preserve"> </w:t>
      </w:r>
      <w:r>
        <w:rPr>
          <w:bCs/>
          <w:b/>
        </w:rPr>
        <w:t xml:space="preserve">coût réel de l’IA</w:t>
      </w:r>
      <w:r>
        <w:t xml:space="preserve"> </w:t>
      </w:r>
      <w:r>
        <w:t xml:space="preserve">(appels API Anthropic) doit être suivi précisément par entreprise, pour garantir une marge définie par le Super Administrateur entre coût réel et facturation client.</w:t>
      </w:r>
    </w:p>
    <w:p>
      <w:pPr>
        <w:numPr>
          <w:ilvl w:val="0"/>
          <w:numId w:val="1025"/>
        </w:numPr>
        <w:pStyle w:val="Compact"/>
      </w:pPr>
      <w:r>
        <w:t xml:space="preserve">Historique de consommation IA consultable par l’Administrateur d’Entreprise.</w:t>
      </w:r>
    </w:p>
    <w:p>
      <w:r>
        <w:pict>
          <v:rect style="width:0;height:1.5pt" o:hralign="center" o:hrstd="t" o:hr="t"/>
        </w:pict>
      </w:r>
    </w:p>
    <w:bookmarkEnd w:id="75"/>
    <w:bookmarkEnd w:id="76"/>
    <w:bookmarkStart w:id="80" w:name="X11391b3c4d1c2d84b0c1a027f2c05470093d70d"/>
    <w:p>
      <w:pPr>
        <w:pStyle w:val="Heading2"/>
      </w:pPr>
      <w:r>
        <w:t xml:space="preserve">14. Automatisation des processus et moteur de règles</w:t>
      </w:r>
    </w:p>
    <w:bookmarkStart w:id="77" w:name="X714c311eb82cb86cdc2f2d8f7627bba714ec583"/>
    <w:p>
      <w:pPr>
        <w:pStyle w:val="Heading3"/>
      </w:pPr>
      <w:r>
        <w:t xml:space="preserve">14.1 Principe transversal — IA assistante avec validation humaine</w:t>
      </w:r>
    </w:p>
    <w:p>
      <w:pPr>
        <w:pStyle w:val="FirstParagraph"/>
      </w:pPr>
      <w:r>
        <w:t xml:space="preserve">🟢[Document]</w:t>
      </w:r>
    </w:p>
    <w:p>
      <w:pPr>
        <w:pStyle w:val="SourceCode"/>
      </w:pPr>
      <w:r>
        <w:rPr>
          <w:rStyle w:val="VerbatimChar"/>
        </w:rPr>
        <w:t xml:space="preserve">[Déclencheur] → [IA propose] (catégorie, brouillon, écriture, résumé, relance)</w:t>
      </w:r>
      <w:r>
        <w:br/>
      </w:r>
      <w:r>
        <w:rPr>
          <w:rStyle w:val="VerbatimChar"/>
        </w:rPr>
        <w:t xml:space="preserve"> → [Journalisation de la proposition] → [Validation humaine obligatoire]</w:t>
      </w:r>
      <w:r>
        <w:br/>
      </w:r>
      <w:r>
        <w:rPr>
          <w:rStyle w:val="VerbatimChar"/>
        </w:rPr>
        <w:t xml:space="preserve"> → [Action appliquée] (jamais automatique pour les actions sensibles)</w:t>
      </w:r>
    </w:p>
    <w:bookmarkEnd w:id="77"/>
    <w:bookmarkStart w:id="78" w:name="constructeur-de-règles-si-alors"/>
    <w:p>
      <w:pPr>
        <w:pStyle w:val="Heading3"/>
      </w:pPr>
      <w:r>
        <w:t xml:space="preserve">14.2 Constructeur de règles « Si / Alors »</w:t>
      </w:r>
    </w:p>
    <w:p>
      <w:pPr>
        <w:pStyle w:val="FirstParagraph"/>
      </w:pPr>
      <w:r>
        <w:t xml:space="preserve">🟢[Document] Niveau 4 de maturité IA (Partie 13.7) : configurable sans code par le secrétaire ou le comptable, permettant par exemple :</w:t>
      </w:r>
      <w:r>
        <w:t xml:space="preserve"> </w:t>
      </w:r>
      <w:r>
        <w:t xml:space="preserve">- « Si une facture fournisseur de moins de 50 000 FCFA est reçue du fournisseur X, Alors proposer automatiquement le compte 6XX habituel » ;</w:t>
      </w:r>
      <w:r>
        <w:t xml:space="preserve"> </w:t>
      </w:r>
      <w:r>
        <w:t xml:space="preserve">- « Si l’échéance de déclaration TVA approche à J-3, Alors notifier le comptable et le dirigeant via WhatsApp » ;</w:t>
      </w:r>
      <w:r>
        <w:t xml:space="preserve"> </w:t>
      </w:r>
      <w:r>
        <w:t xml:space="preserve">- « Si un compte d’attente n’est pas soldé après 30 jours, Alors créer une tâche de relance ».</w:t>
      </w:r>
    </w:p>
    <w:bookmarkEnd w:id="78"/>
    <w:bookmarkStart w:id="79" w:name="Xb93a222b27c7341c7f9c12a8fbd2ba5f15e54f7"/>
    <w:p>
      <w:pPr>
        <w:pStyle w:val="Heading3"/>
      </w:pPr>
      <w:r>
        <w:t xml:space="preserve">14.3 Workflows métiers automatisés (détail complet en Partie 30)</w:t>
      </w:r>
    </w:p>
    <w:p>
      <w:pPr>
        <w:pStyle w:val="FirstParagraph"/>
      </w:pPr>
      <w:r>
        <w:t xml:space="preserve">🟢[Document] Aperçu des chaînes déjà spécifiées, à orchestrer automatiquement sous supervision IA :</w:t>
      </w:r>
      <w:r>
        <w:t xml:space="preserve"> </w:t>
      </w:r>
      <w:r>
        <w:t xml:space="preserve">- Workflow Courrier entrant/sortant (6 étapes).</w:t>
      </w:r>
      <w:r>
        <w:t xml:space="preserve"> </w:t>
      </w:r>
      <w:r>
        <w:t xml:space="preserve">- Workflow Comptable (pièce reçue → enregistrement → traitement → intégration aux états financiers → déclaration → mise à jour du tableau de bord).</w:t>
      </w:r>
      <w:r>
        <w:t xml:space="preserve"> </w:t>
      </w:r>
      <w:r>
        <w:t xml:space="preserve">- Workflow Conformité → Plan d’action.</w:t>
      </w:r>
      <w:r>
        <w:t xml:space="preserve"> </w:t>
      </w:r>
      <w:r>
        <w:t xml:space="preserve">- Workflow Marketplace (inscription professionnel indépendant).</w:t>
      </w:r>
      <w:r>
        <w:t xml:space="preserve"> </w:t>
      </w:r>
      <w:r>
        <w:t xml:space="preserve">- Workflow Onboarding client et affectation d’équipe.</w:t>
      </w:r>
    </w:p>
    <w:bookmarkEnd w:id="79"/>
    <w:bookmarkEnd w:id="80"/>
    <w:bookmarkStart w:id="81" w:name="X8706338af8e1de50af8bb61ad6fbe2332fe7f27"/>
    <w:p>
      <w:pPr>
        <w:pStyle w:val="Heading2"/>
      </w:pPr>
      <w:r>
        <w:t xml:space="preserve">15. Modèles économiques et facturation (rappel consolidé)</w:t>
      </w:r>
    </w:p>
    <w:p>
      <w:pPr>
        <w:pStyle w:val="FirstParagraph"/>
      </w:pPr>
      <w:r>
        <w:t xml:space="preserve">🟢[Document] Voir détail complet en Partie 7.2. Tableau récapitulatif fusionné des deux documents source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 de compte</w:t>
            </w:r>
          </w:p>
        </w:tc>
        <w:tc>
          <w:tcPr/>
          <w:p>
            <w:pPr>
              <w:pStyle w:val="Compact"/>
              <w:jc w:val="left"/>
            </w:pPr>
            <w:r>
              <w:t xml:space="preserve">Rattachement</w:t>
            </w:r>
          </w:p>
        </w:tc>
        <w:tc>
          <w:tcPr/>
          <w:p>
            <w:pPr>
              <w:pStyle w:val="Compact"/>
              <w:jc w:val="left"/>
            </w:pPr>
            <w:r>
              <w:t xml:space="preserve">Qui invite/affecte</w:t>
            </w:r>
          </w:p>
        </w:tc>
        <w:tc>
          <w:tcPr/>
          <w:p>
            <w:pPr>
              <w:pStyle w:val="Compact"/>
              <w:jc w:val="left"/>
            </w:pPr>
            <w:r>
              <w:t xml:space="preserve">Modèle</w:t>
            </w:r>
          </w:p>
        </w:tc>
        <w:tc>
          <w:tcPr/>
          <w:p>
            <w:pPr>
              <w:pStyle w:val="Compact"/>
              <w:jc w:val="left"/>
            </w:pPr>
            <w:r>
              <w:t xml:space="preserve">Qui paie l’abonnement</w:t>
            </w:r>
          </w:p>
        </w:tc>
      </w:tr>
      <w:tr>
        <w:tc>
          <w:tcPr/>
          <w:p>
            <w:pPr>
              <w:pStyle w:val="Compact"/>
              <w:jc w:val="left"/>
            </w:pPr>
            <w:r>
              <w:t xml:space="preserve">Secrétaire / Comptable d’entreprise</w:t>
            </w:r>
          </w:p>
        </w:tc>
        <w:tc>
          <w:tcPr/>
          <w:p>
            <w:pPr>
              <w:pStyle w:val="Compact"/>
              <w:jc w:val="left"/>
            </w:pPr>
            <w:r>
              <w:t xml:space="preserve">1 entreprise précise</w:t>
            </w:r>
          </w:p>
        </w:tc>
        <w:tc>
          <w:tcPr/>
          <w:p>
            <w:pPr>
              <w:pStyle w:val="Compact"/>
              <w:jc w:val="left"/>
            </w:pPr>
            <w:r>
              <w:t xml:space="preserve">L’entreprise elle-même</w:t>
            </w:r>
          </w:p>
        </w:tc>
        <w:tc>
          <w:tcPr/>
          <w:p>
            <w:pPr>
              <w:pStyle w:val="Compact"/>
              <w:jc w:val="left"/>
            </w:pPr>
            <w:r>
              <w:t xml:space="preserve">Modèle 1</w:t>
            </w:r>
          </w:p>
        </w:tc>
        <w:tc>
          <w:tcPr/>
          <w:p>
            <w:pPr>
              <w:pStyle w:val="Compact"/>
              <w:jc w:val="left"/>
            </w:pPr>
            <w:r>
              <w:t xml:space="preserve">L’entreprise (inclus dans son plan)</w:t>
            </w:r>
          </w:p>
        </w:tc>
      </w:tr>
      <w:tr>
        <w:tc>
          <w:tcPr/>
          <w:p>
            <w:pPr>
              <w:pStyle w:val="Compact"/>
              <w:jc w:val="left"/>
            </w:pPr>
            <w:r>
              <w:t xml:space="preserve">Secrétaire / Comptable du pool GEL</w:t>
            </w:r>
          </w:p>
        </w:tc>
        <w:tc>
          <w:tcPr/>
          <w:p>
            <w:pPr>
              <w:pStyle w:val="Compact"/>
              <w:jc w:val="left"/>
            </w:pPr>
            <w:r>
              <w:t xml:space="preserve">Plusieurs entreprises</w:t>
            </w:r>
          </w:p>
        </w:tc>
        <w:tc>
          <w:tcPr/>
          <w:p>
            <w:pPr>
              <w:pStyle w:val="Compact"/>
              <w:jc w:val="left"/>
            </w:pPr>
            <w:r>
              <w:t xml:space="preserve">Administrateur GEL (affectation humaine)</w:t>
            </w:r>
          </w:p>
        </w:tc>
        <w:tc>
          <w:tcPr/>
          <w:p>
            <w:pPr>
              <w:pStyle w:val="Compact"/>
              <w:jc w:val="left"/>
            </w:pPr>
            <w:r>
              <w:t xml:space="preserve">Modèle 2</w:t>
            </w:r>
          </w:p>
        </w:tc>
        <w:tc>
          <w:tcPr/>
          <w:p>
            <w:pPr>
              <w:pStyle w:val="Compact"/>
              <w:jc w:val="left"/>
            </w:pPr>
            <w:r>
              <w:t xml:space="preserve">GEL SABINET (personnel/partenaire)</w:t>
            </w:r>
          </w:p>
        </w:tc>
      </w:tr>
      <w:tr>
        <w:tc>
          <w:tcPr/>
          <w:p>
            <w:pPr>
              <w:pStyle w:val="Compact"/>
              <w:jc w:val="left"/>
            </w:pPr>
            <w:r>
              <w:t xml:space="preserve">Secrétaire indépendant</w:t>
            </w:r>
          </w:p>
        </w:tc>
        <w:tc>
          <w:tcPr/>
          <w:p>
            <w:pPr>
              <w:pStyle w:val="Compact"/>
              <w:jc w:val="left"/>
            </w:pPr>
            <w:r>
              <w:t xml:space="preserve">Lui-même</w:t>
            </w:r>
          </w:p>
        </w:tc>
        <w:tc>
          <w:tcPr/>
          <w:p>
            <w:pPr>
              <w:pStyle w:val="Compact"/>
              <w:jc w:val="left"/>
            </w:pPr>
            <w:r>
              <w:t xml:space="preserve">Auto-inscription</w:t>
            </w:r>
          </w:p>
        </w:tc>
        <w:tc>
          <w:tcPr/>
          <w:p>
            <w:pPr>
              <w:pStyle w:val="Compact"/>
              <w:jc w:val="left"/>
            </w:pPr>
            <w:r>
              <w:t xml:space="preserve">Modèle 3</w:t>
            </w:r>
          </w:p>
        </w:tc>
        <w:tc>
          <w:tcPr/>
          <w:p>
            <w:pPr>
              <w:pStyle w:val="Compact"/>
              <w:jc w:val="left"/>
            </w:pPr>
            <w:r>
              <w:t xml:space="preserve">Lui-même (essai 30j puis payant)</w:t>
            </w:r>
          </w:p>
        </w:tc>
      </w:tr>
      <w:tr>
        <w:tc>
          <w:tcPr/>
          <w:p>
            <w:pPr>
              <w:pStyle w:val="Compact"/>
              <w:jc w:val="left"/>
            </w:pPr>
            <w:r>
              <w:t xml:space="preserve">Comptable indépendant</w:t>
            </w:r>
          </w:p>
        </w:tc>
        <w:tc>
          <w:tcPr/>
          <w:p>
            <w:pPr>
              <w:pStyle w:val="Compact"/>
              <w:jc w:val="left"/>
            </w:pPr>
            <w:r>
              <w:t xml:space="preserve">Lui-même + ses clients</w:t>
            </w:r>
          </w:p>
        </w:tc>
        <w:tc>
          <w:tcPr/>
          <w:p>
            <w:pPr>
              <w:pStyle w:val="Compact"/>
              <w:jc w:val="left"/>
            </w:pPr>
            <w:r>
              <w:t xml:space="preserve">Auto-inscription</w:t>
            </w:r>
          </w:p>
        </w:tc>
        <w:tc>
          <w:tcPr/>
          <w:p>
            <w:pPr>
              <w:pStyle w:val="Compact"/>
              <w:jc w:val="left"/>
            </w:pPr>
            <w:r>
              <w:t xml:space="preserve">Modèle 3</w:t>
            </w:r>
          </w:p>
        </w:tc>
        <w:tc>
          <w:tcPr/>
          <w:p>
            <w:pPr>
              <w:pStyle w:val="Compact"/>
              <w:jc w:val="left"/>
            </w:pPr>
            <w:r>
              <w:t xml:space="preserve">Lui-même (essai 30j puis payant, tarif différencié)</w:t>
            </w:r>
          </w:p>
        </w:tc>
      </w:tr>
    </w:tbl>
    <w:p>
      <w:pPr>
        <w:pStyle w:val="BodyText"/>
      </w:pPr>
      <w:r>
        <w:t xml:space="preserve">Le plan souscrit par l’entreprise inclut nativement les accès de son propre personnel invité (Modèle 1) ; le nombre de membres inclus (ou le coût d’un membre additionnel) est défini par plan tarifaire (Partie 26.2). L’usage de l’IA est</w:t>
      </w:r>
      <w:r>
        <w:t xml:space="preserve"> </w:t>
      </w:r>
      <w:r>
        <w:rPr>
          <w:bCs/>
          <w:b/>
        </w:rPr>
        <w:t xml:space="preserve">toujours facturé séparément</w:t>
      </w:r>
      <w:r>
        <w:t xml:space="preserve"> </w:t>
      </w:r>
      <w:r>
        <w:t xml:space="preserve">(Partie 13.9). Paiement par</w:t>
      </w:r>
      <w:r>
        <w:t xml:space="preserve"> </w:t>
      </w:r>
      <w:r>
        <w:rPr>
          <w:bCs/>
          <w:b/>
        </w:rPr>
        <w:t xml:space="preserve">Mobile Money (MTN MoMo, Moov Money)</w:t>
      </w:r>
      <w:r>
        <w:t xml:space="preserve">. 🟢[Document]</w:t>
      </w:r>
    </w:p>
    <w:bookmarkEnd w:id="81"/>
    <w:bookmarkStart w:id="85" w:name="gestion-documentaire-ged"/>
    <w:p>
      <w:pPr>
        <w:pStyle w:val="Heading2"/>
      </w:pPr>
      <w:r>
        <w:t xml:space="preserve">16. Gestion documentaire (GED)</w:t>
      </w:r>
    </w:p>
    <w:bookmarkStart w:id="82" w:name="principes-de-gouvernance-documentaire"/>
    <w:p>
      <w:pPr>
        <w:pStyle w:val="Heading3"/>
      </w:pPr>
      <w:r>
        <w:t xml:space="preserve">16.1 Principes de gouvernance documentaire</w:t>
      </w:r>
    </w:p>
    <w:p>
      <w:pPr>
        <w:pStyle w:val="FirstParagraph"/>
      </w:pPr>
      <w:r>
        <w:t xml:space="preserve">🟢[Document] Appliqués à l’ensemble du module Documents :</w:t>
      </w:r>
    </w:p>
    <w:p>
      <w:pPr>
        <w:numPr>
          <w:ilvl w:val="0"/>
          <w:numId w:val="1026"/>
        </w:numPr>
        <w:pStyle w:val="Compact"/>
      </w:pPr>
      <w:r>
        <w:rPr>
          <w:bCs/>
          <w:b/>
        </w:rPr>
        <w:t xml:space="preserve">Unicité du document</w:t>
      </w:r>
      <w:r>
        <w:t xml:space="preserve"> </w:t>
      </w:r>
      <w:r>
        <w:t xml:space="preserve">— pas de duplication silencieuse ; toute nouvelle version passe par l’historique de versions.</w:t>
      </w:r>
    </w:p>
    <w:p>
      <w:pPr>
        <w:numPr>
          <w:ilvl w:val="0"/>
          <w:numId w:val="1026"/>
        </w:numPr>
        <w:pStyle w:val="Compact"/>
      </w:pPr>
      <w:r>
        <w:rPr>
          <w:bCs/>
          <w:b/>
        </w:rPr>
        <w:t xml:space="preserve">Classement normalisé</w:t>
      </w:r>
      <w:r>
        <w:t xml:space="preserve"> </w:t>
      </w:r>
      <w:r>
        <w:t xml:space="preserve">— catégories standard par type d’entreprise/institution (Documents : Relevés bancaires, Factures, Déclarations fiscales, Courriers, Contrats, Bilans, Administratif, Courant/Annuel).</w:t>
      </w:r>
    </w:p>
    <w:p>
      <w:pPr>
        <w:numPr>
          <w:ilvl w:val="0"/>
          <w:numId w:val="1026"/>
        </w:numPr>
        <w:pStyle w:val="Compact"/>
      </w:pPr>
      <w:r>
        <w:rPr>
          <w:bCs/>
          <w:b/>
        </w:rPr>
        <w:t xml:space="preserve">Indexation automatique</w:t>
      </w:r>
      <w:r>
        <w:t xml:space="preserve"> </w:t>
      </w:r>
      <w:r>
        <w:t xml:space="preserve">— proposée par l’IA, validée par l’humain.</w:t>
      </w:r>
    </w:p>
    <w:p>
      <w:pPr>
        <w:numPr>
          <w:ilvl w:val="0"/>
          <w:numId w:val="1026"/>
        </w:numPr>
        <w:pStyle w:val="Compact"/>
      </w:pPr>
      <w:r>
        <w:rPr>
          <w:bCs/>
          <w:b/>
        </w:rPr>
        <w:t xml:space="preserve">Historique des modifications</w:t>
      </w:r>
      <w:r>
        <w:t xml:space="preserve"> </w:t>
      </w:r>
      <w:r>
        <w:t xml:space="preserve">— couvert par l’historique d’actions sur Document/Courrier.</w:t>
      </w:r>
    </w:p>
    <w:p>
      <w:pPr>
        <w:numPr>
          <w:ilvl w:val="0"/>
          <w:numId w:val="1026"/>
        </w:numPr>
        <w:pStyle w:val="Compact"/>
      </w:pPr>
      <w:r>
        <w:rPr>
          <w:bCs/>
          <w:b/>
        </w:rPr>
        <w:t xml:space="preserve">Archivage sécurisé</w:t>
      </w:r>
      <w:r>
        <w:t xml:space="preserve"> </w:t>
      </w:r>
      <w:r>
        <w:t xml:space="preserve">— statut archivé, lecture seule.</w:t>
      </w:r>
    </w:p>
    <w:p>
      <w:pPr>
        <w:numPr>
          <w:ilvl w:val="0"/>
          <w:numId w:val="1026"/>
        </w:numPr>
        <w:pStyle w:val="Compact"/>
      </w:pPr>
      <w:r>
        <w:rPr>
          <w:bCs/>
          <w:b/>
        </w:rPr>
        <w:t xml:space="preserve">Durée de conservation définie</w:t>
      </w:r>
      <w:r>
        <w:t xml:space="preserve"> </w:t>
      </w:r>
      <w:r>
        <w:t xml:space="preserve">— à paramétrer selon la nature du document (fiscal, social, contractuel, RH…) ; champ</w:t>
      </w:r>
      <w:r>
        <w:t xml:space="preserve"> </w:t>
      </w:r>
      <w:r>
        <w:rPr>
          <w:rStyle w:val="VerbatimChar"/>
        </w:rPr>
        <w:t xml:space="preserve">durée_conservation</w:t>
      </w:r>
      <w:r>
        <w:t xml:space="preserve"> </w:t>
      </w:r>
      <w:r>
        <w:t xml:space="preserve">sur l’entité Document.</w:t>
      </w:r>
    </w:p>
    <w:bookmarkEnd w:id="82"/>
    <w:bookmarkStart w:id="83" w:name="X7e1f564aa5448286f6de0d168b00f8b6a9e1872"/>
    <w:p>
      <w:pPr>
        <w:pStyle w:val="Heading3"/>
      </w:pPr>
      <w:r>
        <w:t xml:space="preserve">16.2 Rattachement d’un document à une opération comptable</w:t>
      </w:r>
    </w:p>
    <w:p>
      <w:pPr>
        <w:pStyle w:val="FirstParagraph"/>
      </w:pPr>
      <w:r>
        <w:t xml:space="preserve">🟠[Proposition complémentaire — condition indispensable à l’audit trail comptable] Une écriture comptable doit pouvoir être reliée à : facture, reçu, contrat, bon de commande, bon de livraison, relevé bancaire, bulletin de paie, déclaration fiscale, pièce diverse — relation</w:t>
      </w:r>
      <w:r>
        <w:t xml:space="preserve"> </w:t>
      </w:r>
      <w:r>
        <w:rPr>
          <w:rStyle w:val="VerbatimChar"/>
        </w:rPr>
        <w:t xml:space="preserve">Document ↔ PieceComptable ↔ EcritureComptable</w:t>
      </w:r>
      <w:r>
        <w:t xml:space="preserve"> </w:t>
      </w:r>
      <w:r>
        <w:t xml:space="preserve">(modèle de données détaillé en Partie 29).</w:t>
      </w:r>
    </w:p>
    <w:bookmarkEnd w:id="83"/>
    <w:bookmarkStart w:id="84" w:name="fonctionnalités-complémentaires"/>
    <w:p>
      <w:pPr>
        <w:pStyle w:val="Heading3"/>
      </w:pPr>
      <w:r>
        <w:t xml:space="preserve">16.3 Fonctionnalités complémentaires</w:t>
      </w:r>
    </w:p>
    <w:p>
      <w:pPr>
        <w:pStyle w:val="FirstParagraph"/>
      </w:pPr>
      <w:r>
        <w:t xml:space="preserve">🟢[Document] Signature électronique, suivi de signature, alertes d’échéance contractuelle ; bibliothèque de modèles de documents réutilisables ; recherche, versioning, accès sécurisé, traçabilité.</w:t>
      </w:r>
    </w:p>
    <w:bookmarkEnd w:id="84"/>
    <w:bookmarkEnd w:id="85"/>
    <w:bookmarkStart w:id="86" w:name="trésorerie"/>
    <w:p>
      <w:pPr>
        <w:pStyle w:val="Heading2"/>
      </w:pPr>
      <w:r>
        <w:t xml:space="preserve">17. Trésorerie</w:t>
      </w:r>
    </w:p>
    <w:p>
      <w:pPr>
        <w:pStyle w:val="FirstParagraph"/>
      </w:pPr>
      <w:r>
        <w:t xml:space="preserve">Voir détail comptable en</w:t>
      </w:r>
      <w:r>
        <w:t xml:space="preserve"> </w:t>
      </w:r>
      <w:r>
        <w:rPr>
          <w:bCs/>
          <w:b/>
        </w:rPr>
        <w:t xml:space="preserve">Partie 10.6</w:t>
      </w:r>
      <w:r>
        <w:t xml:space="preserve">. Complément fonctionnel côté pilotage 🟢[Document] :</w:t>
      </w:r>
    </w:p>
    <w:p>
      <w:pPr>
        <w:numPr>
          <w:ilvl w:val="0"/>
          <w:numId w:val="1027"/>
        </w:numPr>
        <w:pStyle w:val="Compact"/>
      </w:pPr>
      <w:r>
        <w:t xml:space="preserve">Vue dirigeant : chiffre d’affaires, charges, trésorerie, impayés — alimentée en temps réel par les données saisies par le comptable (écran « Tableau de bord dirigeant »).</w:t>
      </w:r>
    </w:p>
    <w:p>
      <w:pPr>
        <w:numPr>
          <w:ilvl w:val="0"/>
          <w:numId w:val="1027"/>
        </w:numPr>
        <w:pStyle w:val="Compact"/>
      </w:pPr>
      <w:r>
        <w:t xml:space="preserve">Échéanciers, prévisions de trésorerie, alerte de déficit anticipé (IA prédictive, Partie 13.5).</w:t>
      </w:r>
    </w:p>
    <w:bookmarkEnd w:id="86"/>
    <w:bookmarkStart w:id="87" w:name="stocks"/>
    <w:p>
      <w:pPr>
        <w:pStyle w:val="Heading2"/>
      </w:pPr>
      <w:r>
        <w:t xml:space="preserve">18. Stocks</w:t>
      </w:r>
    </w:p>
    <w:p>
      <w:pPr>
        <w:pStyle w:val="FirstParagraph"/>
      </w:pPr>
      <w:r>
        <w:t xml:space="preserve">Voir détail comptable en</w:t>
      </w:r>
      <w:r>
        <w:t xml:space="preserve"> </w:t>
      </w:r>
      <w:r>
        <w:rPr>
          <w:bCs/>
          <w:b/>
        </w:rPr>
        <w:t xml:space="preserve">Partie 10.5</w:t>
      </w:r>
      <w:r>
        <w:t xml:space="preserve">. Le module Stocks reste</w:t>
      </w:r>
      <w:r>
        <w:t xml:space="preserve"> </w:t>
      </w:r>
      <w:r>
        <w:rPr>
          <w:bCs/>
          <w:b/>
        </w:rPr>
        <w:t xml:space="preserve">activable selon le secteur du client</w:t>
      </w:r>
      <w:r>
        <w:t xml:space="preserve"> </w:t>
      </w:r>
      <w:r>
        <w:t xml:space="preserve">— une entreprise de service pur peut fonctionner sans lui, conformément au principe d’éviter la création artificielle de modules non pertinents (Règle du prompt maître, Section 12).</w:t>
      </w:r>
    </w:p>
    <w:bookmarkEnd w:id="87"/>
    <w:bookmarkStart w:id="88" w:name="immobilisations"/>
    <w:p>
      <w:pPr>
        <w:pStyle w:val="Heading2"/>
      </w:pPr>
      <w:r>
        <w:t xml:space="preserve">19. Immobilisations</w:t>
      </w:r>
    </w:p>
    <w:p>
      <w:pPr>
        <w:pStyle w:val="FirstParagraph"/>
      </w:pPr>
      <w:r>
        <w:t xml:space="preserve">Voir détail comptable en</w:t>
      </w:r>
      <w:r>
        <w:t xml:space="preserve"> </w:t>
      </w:r>
      <w:r>
        <w:rPr>
          <w:bCs/>
          <w:b/>
        </w:rPr>
        <w:t xml:space="preserve">Partie 10.4</w:t>
      </w:r>
      <w:r>
        <w:t xml:space="preserve">.</w:t>
      </w:r>
    </w:p>
    <w:bookmarkEnd w:id="88"/>
    <w:bookmarkStart w:id="91" w:name="ressources-humaines-et-paie"/>
    <w:p>
      <w:pPr>
        <w:pStyle w:val="Heading2"/>
      </w:pPr>
      <w:r>
        <w:t xml:space="preserve">20. Ressources humaines et paie</w:t>
      </w:r>
    </w:p>
    <w:bookmarkStart w:id="89" w:name="rh-de-premier-niveau-module-secrétariat"/>
    <w:p>
      <w:pPr>
        <w:pStyle w:val="Heading3"/>
      </w:pPr>
      <w:r>
        <w:t xml:space="preserve">20.1 RH de premier niveau (module Secrétariat)</w:t>
      </w:r>
    </w:p>
    <w:p>
      <w:pPr>
        <w:pStyle w:val="FirstParagraph"/>
      </w:pPr>
      <w:r>
        <w:t xml:space="preserve">🟢[Document] Suivi congés/absences, documents RH (attestations, certificats), coordination de recrutement, checklist d’intégration — porté par le Secrétariat pour les besoins courants, avec option d’évolution vers un rôle Assistant RH dédié (Partie 8.2) si le volume le justifie.</w:t>
      </w:r>
    </w:p>
    <w:bookmarkEnd w:id="89"/>
    <w:bookmarkStart w:id="90" w:name="Xfd14d5f0a2d2176ba649450c578eba894ddf4b2"/>
    <w:p>
      <w:pPr>
        <w:pStyle w:val="Heading3"/>
      </w:pPr>
      <w:r>
        <w:t xml:space="preserve">20.2 Paie &amp; Charges sociales (module Comptabilité)</w:t>
      </w:r>
    </w:p>
    <w:p>
      <w:pPr>
        <w:pStyle w:val="FirstParagraph"/>
      </w:pPr>
      <w:r>
        <w:t xml:space="preserve">🟢[Document]</w:t>
      </w:r>
    </w:p>
    <w:p>
      <w:pPr>
        <w:numPr>
          <w:ilvl w:val="0"/>
          <w:numId w:val="1028"/>
        </w:numPr>
        <w:pStyle w:val="Compact"/>
      </w:pPr>
      <w:r>
        <w:t xml:space="preserve">Bulletins de paie conformes : calcul de l’</w:t>
      </w:r>
      <w:r>
        <w:rPr>
          <w:bCs/>
          <w:b/>
        </w:rPr>
        <w:t xml:space="preserve">ITS</w:t>
      </w:r>
      <w:r>
        <w:t xml:space="preserve"> </w:t>
      </w:r>
      <w:r>
        <w:t xml:space="preserve">(barème progressif — Partie 12.2) et des</w:t>
      </w:r>
      <w:r>
        <w:t xml:space="preserve"> </w:t>
      </w:r>
      <w:r>
        <w:rPr>
          <w:bCs/>
          <w:b/>
        </w:rPr>
        <w:t xml:space="preserve">cotisations CNSS</w:t>
      </w:r>
      <w:r>
        <w:t xml:space="preserve">.</w:t>
      </w:r>
    </w:p>
    <w:p>
      <w:pPr>
        <w:numPr>
          <w:ilvl w:val="0"/>
          <w:numId w:val="1028"/>
        </w:numPr>
        <w:pStyle w:val="Compact"/>
      </w:pPr>
      <w:r>
        <w:t xml:space="preserve">Déclaration sociale, calendrier des échéances CNSS (distinct du calendrier fiscal DGI).</w:t>
      </w:r>
    </w:p>
    <w:p>
      <w:pPr>
        <w:numPr>
          <w:ilvl w:val="0"/>
          <w:numId w:val="1028"/>
        </w:numPr>
        <w:pStyle w:val="Compact"/>
      </w:pPr>
      <w:r>
        <w:t xml:space="preserve">Génération automatique des écritures de paie (charges de personnel classe 66, dettes envers le personnel 42, organismes sociaux 43, État 44 pour l’ITS retenu à la source).</w:t>
      </w:r>
    </w:p>
    <w:p>
      <w:pPr>
        <w:pStyle w:val="FirstParagraph"/>
      </w:pPr>
      <w:r>
        <w:t xml:space="preserve">🟠[Proposition complémentaire] Le moteur fiscal (Partie 11) doit porter le barème ITS comme une</w:t>
      </w:r>
      <w:r>
        <w:t xml:space="preserve"> </w:t>
      </w:r>
      <w:r>
        <w:rPr>
          <w:rStyle w:val="VerbatimChar"/>
        </w:rPr>
        <w:t xml:space="preserve">RegleFiscale</w:t>
      </w:r>
      <w:r>
        <w:t xml:space="preserve"> </w:t>
      </w:r>
      <w:r>
        <w:t xml:space="preserve">de type barème progressif, versionnée par année, afin qu’un changement de barème dans une future loi de finances ne nécessite qu’une mise à jour de paramétrage.</w:t>
      </w:r>
    </w:p>
    <w:bookmarkEnd w:id="90"/>
    <w:bookmarkEnd w:id="91"/>
    <w:bookmarkStart w:id="95" w:name="gestion-commerciale-achats-ventes-tiers"/>
    <w:p>
      <w:pPr>
        <w:pStyle w:val="Heading2"/>
      </w:pPr>
      <w:r>
        <w:t xml:space="preserve">21. Gestion commerciale (achats, ventes, tiers)</w:t>
      </w:r>
    </w:p>
    <w:p>
      <w:pPr>
        <w:pStyle w:val="FirstParagraph"/>
      </w:pPr>
      <w:r>
        <w:t xml:space="preserve">🟢[Document — confirmé par le prototype GEL Accountant]</w:t>
      </w:r>
    </w:p>
    <w:bookmarkStart w:id="92" w:name="ventes-facturation"/>
    <w:p>
      <w:pPr>
        <w:pStyle w:val="Heading3"/>
      </w:pPr>
      <w:r>
        <w:t xml:space="preserve">21.1 Ventes / Facturation</w:t>
      </w:r>
    </w:p>
    <w:p>
      <w:pPr>
        <w:numPr>
          <w:ilvl w:val="0"/>
          <w:numId w:val="1029"/>
        </w:numPr>
        <w:pStyle w:val="Compact"/>
      </w:pPr>
      <w:r>
        <w:t xml:space="preserve">Factures avec</w:t>
      </w:r>
      <w:r>
        <w:t xml:space="preserve"> </w:t>
      </w:r>
      <w:r>
        <w:rPr>
          <w:bCs/>
          <w:b/>
        </w:rPr>
        <w:t xml:space="preserve">calcul TVA 18 %</w:t>
      </w:r>
      <w:r>
        <w:t xml:space="preserve">, numérotation séquentielle conforme, intégration</w:t>
      </w:r>
      <w:r>
        <w:t xml:space="preserve"> </w:t>
      </w:r>
      <w:r>
        <w:rPr>
          <w:bCs/>
          <w:b/>
        </w:rPr>
        <w:t xml:space="preserve">e-MECeF/Sygmef</w:t>
      </w:r>
      <w:r>
        <w:t xml:space="preserve"> </w:t>
      </w:r>
      <w:r>
        <w:t xml:space="preserve">obligatoire.</w:t>
      </w:r>
    </w:p>
    <w:p>
      <w:pPr>
        <w:numPr>
          <w:ilvl w:val="0"/>
          <w:numId w:val="1029"/>
        </w:numPr>
        <w:pStyle w:val="Compact"/>
      </w:pPr>
      <w:r>
        <w:t xml:space="preserve">Devis convertibles en facture en un clic.</w:t>
      </w:r>
    </w:p>
    <w:p>
      <w:pPr>
        <w:numPr>
          <w:ilvl w:val="0"/>
          <w:numId w:val="1029"/>
        </w:numPr>
        <w:pStyle w:val="Compact"/>
      </w:pPr>
      <w:r>
        <w:t xml:space="preserve">Notes de crédit (avoir), remboursements.</w:t>
      </w:r>
    </w:p>
    <w:p>
      <w:pPr>
        <w:numPr>
          <w:ilvl w:val="0"/>
          <w:numId w:val="1029"/>
        </w:numPr>
        <w:pStyle w:val="Compact"/>
      </w:pPr>
      <w:r>
        <w:t xml:space="preserve">Clients partagés avec le module Contacts.</w:t>
      </w:r>
    </w:p>
    <w:p>
      <w:pPr>
        <w:numPr>
          <w:ilvl w:val="0"/>
          <w:numId w:val="1029"/>
        </w:numPr>
        <w:pStyle w:val="Compact"/>
      </w:pPr>
      <w:r>
        <w:t xml:space="preserve">Produits &amp; services (catalogue réutilisable).</w:t>
      </w:r>
    </w:p>
    <w:p>
      <w:pPr>
        <w:numPr>
          <w:ilvl w:val="0"/>
          <w:numId w:val="1029"/>
        </w:numPr>
        <w:pStyle w:val="Compact"/>
      </w:pPr>
      <w:r>
        <w:t xml:space="preserve">Paiements reçus (encaissement partiel possible, écriture comptable générée automatiquement — lettrage, Partie 10.3).</w:t>
      </w:r>
    </w:p>
    <w:p>
      <w:pPr>
        <w:numPr>
          <w:ilvl w:val="0"/>
          <w:numId w:val="1029"/>
        </w:numPr>
        <w:pStyle w:val="Compact"/>
      </w:pPr>
      <w:r>
        <w:t xml:space="preserve">Factures récurrentes (abonnements) avec génération automatique à échéance programmée.</w:t>
      </w:r>
    </w:p>
    <w:p>
      <w:pPr>
        <w:numPr>
          <w:ilvl w:val="0"/>
          <w:numId w:val="1029"/>
        </w:numPr>
        <w:pStyle w:val="Compact"/>
      </w:pPr>
      <w:r>
        <w:t xml:space="preserve">Relances de factures impayées, niveaux progressifs.</w:t>
      </w:r>
    </w:p>
    <w:bookmarkEnd w:id="92"/>
    <w:bookmarkStart w:id="93" w:name="achats-dépenses"/>
    <w:p>
      <w:pPr>
        <w:pStyle w:val="Heading3"/>
      </w:pPr>
      <w:r>
        <w:t xml:space="preserve">21.2 Achats / Dépenses</w:t>
      </w:r>
    </w:p>
    <w:p>
      <w:pPr>
        <w:numPr>
          <w:ilvl w:val="0"/>
          <w:numId w:val="1030"/>
        </w:numPr>
        <w:pStyle w:val="Compact"/>
      </w:pPr>
      <w:r>
        <w:t xml:space="preserve">Saisie de dépenses (catégorisées, TVA, justificatif joint) — écran déjà prototypé.</w:t>
      </w:r>
    </w:p>
    <w:p>
      <w:pPr>
        <w:numPr>
          <w:ilvl w:val="0"/>
          <w:numId w:val="1030"/>
        </w:numPr>
        <w:pStyle w:val="Compact"/>
      </w:pPr>
      <w:r>
        <w:t xml:space="preserve">Factures fournisseurs (« Bill ») avec échéance de paiement.</w:t>
      </w:r>
    </w:p>
    <w:p>
      <w:pPr>
        <w:numPr>
          <w:ilvl w:val="0"/>
          <w:numId w:val="1030"/>
        </w:numPr>
        <w:pStyle w:val="Compact"/>
      </w:pPr>
      <w:r>
        <w:t xml:space="preserve">Bons de commande avec suivi de réception.</w:t>
      </w:r>
    </w:p>
    <w:p>
      <w:pPr>
        <w:numPr>
          <w:ilvl w:val="0"/>
          <w:numId w:val="1030"/>
        </w:numPr>
        <w:pStyle w:val="Compact"/>
      </w:pPr>
      <w:r>
        <w:t xml:space="preserve">Fournisseurs (base dédiée, historique de transactions, crédit fournisseur).</w:t>
      </w:r>
    </w:p>
    <w:p>
      <w:pPr>
        <w:numPr>
          <w:ilvl w:val="0"/>
          <w:numId w:val="1030"/>
        </w:numPr>
        <w:pStyle w:val="Compact"/>
      </w:pPr>
      <w:r>
        <w:t xml:space="preserve">Notes de frais avec validation et suivi de remboursement.</w:t>
      </w:r>
    </w:p>
    <w:bookmarkEnd w:id="93"/>
    <w:bookmarkStart w:id="94" w:name="contacts-tiers-partagés"/>
    <w:p>
      <w:pPr>
        <w:pStyle w:val="Heading3"/>
      </w:pPr>
      <w:r>
        <w:t xml:space="preserve">21.3 Contacts / Tiers partagés</w:t>
      </w:r>
    </w:p>
    <w:p>
      <w:pPr>
        <w:numPr>
          <w:ilvl w:val="0"/>
          <w:numId w:val="1031"/>
        </w:numPr>
        <w:pStyle w:val="Compact"/>
      </w:pPr>
      <w:r>
        <w:t xml:space="preserve">Base de contacts unique, partagée entre modules Secrétariat et Comptabilité.</w:t>
      </w:r>
    </w:p>
    <w:p>
      <w:pPr>
        <w:numPr>
          <w:ilvl w:val="0"/>
          <w:numId w:val="1031"/>
        </w:numPr>
        <w:pStyle w:val="Compact"/>
      </w:pPr>
      <w:r>
        <w:t xml:space="preserve">Historique complet par contact (documents, courriers, factures, paiements) — « Fiche de contexte à 360° » (IA niveau 3, Partie 13.7).</w:t>
      </w:r>
    </w:p>
    <w:bookmarkEnd w:id="94"/>
    <w:bookmarkEnd w:id="95"/>
    <w:bookmarkStart w:id="96" w:name="comptabilité-analytique"/>
    <w:p>
      <w:pPr>
        <w:pStyle w:val="Heading2"/>
      </w:pPr>
      <w:r>
        <w:t xml:space="preserve">22. Comptabilité analytique</w:t>
      </w:r>
    </w:p>
    <w:p>
      <w:pPr>
        <w:pStyle w:val="FirstParagraph"/>
      </w:pPr>
      <w:r>
        <w:t xml:space="preserve">🟢[Document] Rattachée à la classe 9 du plan SYSCOHADA (classe libre, Partie 10.2) :</w:t>
      </w:r>
    </w:p>
    <w:p>
      <w:pPr>
        <w:numPr>
          <w:ilvl w:val="0"/>
          <w:numId w:val="1032"/>
        </w:numPr>
        <w:pStyle w:val="Compact"/>
      </w:pPr>
      <w:r>
        <w:t xml:space="preserve">Centres de coûts, projets, activités, produits, agences, départements, clients.</w:t>
      </w:r>
    </w:p>
    <w:p>
      <w:pPr>
        <w:numPr>
          <w:ilvl w:val="0"/>
          <w:numId w:val="1032"/>
        </w:numPr>
        <w:pStyle w:val="Compact"/>
      </w:pPr>
      <w:r>
        <w:t xml:space="preserve">Analyse des marges et de la rentabilité, ventilation des charges/produits par axe analytique en parallèle de la comptabilité générale (sans double saisie — chaque écriture générale peut être ventilée sur un ou plusieurs axes analytiques).</w:t>
      </w:r>
    </w:p>
    <w:bookmarkEnd w:id="96"/>
    <w:bookmarkStart w:id="97" w:name="budgets-et-prévisionnel"/>
    <w:p>
      <w:pPr>
        <w:pStyle w:val="Heading2"/>
      </w:pPr>
      <w:r>
        <w:t xml:space="preserve">23. Budgets et prévisionnel</w:t>
      </w:r>
    </w:p>
    <w:p>
      <w:pPr>
        <w:pStyle w:val="FirstParagraph"/>
      </w:pPr>
      <w:r>
        <w:t xml:space="preserve">🟠[Proposition complémentaire — module cité dans le prompt maître, absent en détail des deux cahiers source]</w:t>
      </w:r>
    </w:p>
    <w:p>
      <w:pPr>
        <w:numPr>
          <w:ilvl w:val="0"/>
          <w:numId w:val="1033"/>
        </w:numPr>
        <w:pStyle w:val="Compact"/>
      </w:pPr>
      <w:r>
        <w:t xml:space="preserve">Élaboration budgétaire par exercice, par compte ou par centre analytique.</w:t>
      </w:r>
    </w:p>
    <w:p>
      <w:pPr>
        <w:numPr>
          <w:ilvl w:val="0"/>
          <w:numId w:val="1033"/>
        </w:numPr>
        <w:pStyle w:val="Compact"/>
      </w:pPr>
      <w:r>
        <w:t xml:space="preserve">Suivi budgétaire : comparaison réalisé/budget en temps réel, alertes de dépassement.</w:t>
      </w:r>
    </w:p>
    <w:p>
      <w:pPr>
        <w:numPr>
          <w:ilvl w:val="0"/>
          <w:numId w:val="1033"/>
        </w:numPr>
        <w:pStyle w:val="Compact"/>
      </w:pPr>
      <w:r>
        <w:t xml:space="preserve">Révisions budgétaires (budget rectificatif), historisées.</w:t>
      </w:r>
    </w:p>
    <w:p>
      <w:pPr>
        <w:numPr>
          <w:ilvl w:val="0"/>
          <w:numId w:val="1033"/>
        </w:numPr>
        <w:pStyle w:val="Compact"/>
      </w:pPr>
      <w:r>
        <w:t xml:space="preserve">Intégration avec l’IA prédictive (Partie 13.5) pour proposer des projections basées sur l’historique.</w:t>
      </w:r>
    </w:p>
    <w:bookmarkEnd w:id="97"/>
    <w:bookmarkStart w:id="98" w:name="reporting-et-tableaux-de-bord"/>
    <w:p>
      <w:pPr>
        <w:pStyle w:val="Heading2"/>
      </w:pPr>
      <w:r>
        <w:t xml:space="preserve">24. Reporting et tableaux de bord</w:t>
      </w:r>
    </w:p>
    <w:p>
      <w:pPr>
        <w:pStyle w:val="FirstParagraph"/>
      </w:pPr>
      <w:r>
        <w:t xml:space="preserve">🟢[Document] Plusieurs niveaux de reporting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Contenu</w:t>
            </w:r>
          </w:p>
        </w:tc>
      </w:tr>
      <w:tr>
        <w:tc>
          <w:tcPr/>
          <w:p>
            <w:pPr>
              <w:pStyle w:val="Compact"/>
              <w:jc w:val="left"/>
            </w:pPr>
            <w:r>
              <w:rPr>
                <w:bCs/>
                <w:b/>
              </w:rPr>
              <w:t xml:space="preserve">Comptable</w:t>
            </w:r>
          </w:p>
        </w:tc>
        <w:tc>
          <w:tcPr/>
          <w:p>
            <w:pPr>
              <w:pStyle w:val="Compact"/>
              <w:jc w:val="left"/>
            </w:pPr>
            <w:r>
              <w:t xml:space="preserve">Balance, grand livre, journaux, états financiers, analyses de comptes</w:t>
            </w:r>
          </w:p>
        </w:tc>
      </w:tr>
      <w:tr>
        <w:tc>
          <w:tcPr/>
          <w:p>
            <w:pPr>
              <w:pStyle w:val="Compact"/>
              <w:jc w:val="left"/>
            </w:pPr>
            <w:r>
              <w:rPr>
                <w:bCs/>
                <w:b/>
              </w:rPr>
              <w:t xml:space="preserve">Fiscal</w:t>
            </w:r>
          </w:p>
        </w:tc>
        <w:tc>
          <w:tcPr/>
          <w:p>
            <w:pPr>
              <w:pStyle w:val="Compact"/>
              <w:jc w:val="left"/>
            </w:pPr>
            <w:r>
              <w:t xml:space="preserve">Obligations, déclarations, échéances, impôts, taxes, alertes</w:t>
            </w:r>
          </w:p>
        </w:tc>
      </w:tr>
      <w:tr>
        <w:tc>
          <w:tcPr/>
          <w:p>
            <w:pPr>
              <w:pStyle w:val="Compact"/>
              <w:jc w:val="left"/>
            </w:pPr>
            <w:r>
              <w:rPr>
                <w:bCs/>
                <w:b/>
              </w:rPr>
              <w:t xml:space="preserve">Direction</w:t>
            </w:r>
          </w:p>
        </w:tc>
        <w:tc>
          <w:tcPr/>
          <w:p>
            <w:pPr>
              <w:pStyle w:val="Compact"/>
              <w:jc w:val="left"/>
            </w:pPr>
            <w:r>
              <w:t xml:space="preserve">Chiffre d’affaires, marge, résultat, trésorerie, créances, dettes, charges, fiscalité, rentabilité, indicateurs clés</w:t>
            </w:r>
          </w:p>
        </w:tc>
      </w:tr>
      <w:tr>
        <w:tc>
          <w:tcPr/>
          <w:p>
            <w:pPr>
              <w:pStyle w:val="Compact"/>
              <w:jc w:val="left"/>
            </w:pPr>
            <w:r>
              <w:rPr>
                <w:bCs/>
                <w:b/>
              </w:rPr>
              <w:t xml:space="preserve">IA</w:t>
            </w:r>
          </w:p>
        </w:tc>
        <w:tc>
          <w:tcPr/>
          <w:p>
            <w:pPr>
              <w:pStyle w:val="Compact"/>
              <w:jc w:val="left"/>
            </w:pPr>
            <w:r>
              <w:t xml:space="preserve">Transformation des données complexes en explications simples et exploitables par un dirigeant non-comptable</w:t>
            </w:r>
          </w:p>
        </w:tc>
      </w:tr>
    </w:tbl>
    <w:p>
      <w:pPr>
        <w:pStyle w:val="BodyText"/>
      </w:pPr>
      <w:r>
        <w:t xml:space="preserve">Rapports standards (compte de résultat, bilan, balance âgée clients/fournisseurs, TVA), centre de performance (marge, trésorerie, évolution du CA), rapports personnalisés et rapports sauvegardés, tous exportables en PDF. 🟢[Document]</w:t>
      </w:r>
    </w:p>
    <w:bookmarkEnd w:id="98"/>
    <w:bookmarkStart w:id="103" w:name="Xf3340f7afe4d709e270333b11657efacdd1d9dc"/>
    <w:p>
      <w:pPr>
        <w:pStyle w:val="Heading2"/>
      </w:pPr>
      <w:r>
        <w:t xml:space="preserve">25. Audit, conformité et outils propriétaires GEL®</w:t>
      </w:r>
    </w:p>
    <w:bookmarkStart w:id="99" w:name="score-de-conformité-gel"/>
    <w:p>
      <w:pPr>
        <w:pStyle w:val="Heading3"/>
      </w:pPr>
      <w:r>
        <w:t xml:space="preserve">25.1 Score de Conformité GEL®</w:t>
      </w:r>
    </w:p>
    <w:p>
      <w:pPr>
        <w:pStyle w:val="FirstParagraph"/>
      </w:pPr>
      <w:r>
        <w:t xml:space="preserve">🟢[Document] Calculé automatiquement à partir de l’état des documents obligatoires, du respect des échéances, et de la clôture des plans d’action. Cycle :</w:t>
      </w:r>
      <w:r>
        <w:t xml:space="preserve"> </w:t>
      </w:r>
      <w:r>
        <w:rPr>
          <w:bCs/>
          <w:b/>
        </w:rPr>
        <w:t xml:space="preserve">Diagnostic → Évaluation (calcul du Score) → Plan d’action → Mise en œuvre → Suivi → Amélioration</w:t>
      </w:r>
      <w:r>
        <w:t xml:space="preserve">.</w:t>
      </w:r>
    </w:p>
    <w:p>
      <w:pPr>
        <w:pStyle w:val="SourceCode"/>
      </w:pPr>
      <w:r>
        <w:rPr>
          <w:rStyle w:val="VerbatimChar"/>
        </w:rPr>
        <w:t xml:space="preserve">[Calcul automatique du Score de Conformité] → [Détection d'écarts] → [Ligne "À régulariser"]</w:t>
      </w:r>
      <w:r>
        <w:br/>
      </w:r>
      <w:r>
        <w:rPr>
          <w:rStyle w:val="VerbatimChar"/>
        </w:rPr>
        <w:t xml:space="preserve"> → [Plan d'action] (responsable, échéance, document attendu)</w:t>
      </w:r>
      <w:r>
        <w:br/>
      </w:r>
      <w:r>
        <w:rPr>
          <w:rStyle w:val="VerbatimChar"/>
        </w:rPr>
        <w:t xml:space="preserve"> → [Suivi/Relances J-7, J-2, J] → [Document reçu/validé] → [Mise à jour Score, clôture]</w:t>
      </w:r>
    </w:p>
    <w:p>
      <w:pPr>
        <w:pStyle w:val="FirstParagraph"/>
      </w:pPr>
      <w:r>
        <w:t xml:space="preserve">Écran type (déjà maquetté) : liste des obligations (RCCM, IFU, CNSS, document salarié, assurance, autorisation sectorielle…) avec statut ✅/⚠️/❌ et bouton « Créer un plan d’action ».</w:t>
      </w:r>
    </w:p>
    <w:bookmarkEnd w:id="99"/>
    <w:bookmarkStart w:id="100" w:name="passeport-entreprise-gel"/>
    <w:p>
      <w:pPr>
        <w:pStyle w:val="Heading3"/>
      </w:pPr>
      <w:r>
        <w:t xml:space="preserve">25.2 Passeport Entreprise GEL®</w:t>
      </w:r>
    </w:p>
    <w:p>
      <w:pPr>
        <w:pStyle w:val="FirstParagraph"/>
      </w:pPr>
      <w:r>
        <w:t xml:space="preserve">🟢[Document] Document de synthèse généré automatiquement (identité administrative + Score de Conformité + indicateurs financiers clés issus des états financiers), consultable et exportable par le dirigeant — une « carte d’identité stratégique » de l’entreprise à un instant T.</w:t>
      </w:r>
    </w:p>
    <w:bookmarkEnd w:id="100"/>
    <w:bookmarkStart w:id="101" w:name="tableau-de-bord-gel"/>
    <w:p>
      <w:pPr>
        <w:pStyle w:val="Heading3"/>
      </w:pPr>
      <w:r>
        <w:t xml:space="preserve">25.3 Tableau de Bord GEL®</w:t>
      </w:r>
    </w:p>
    <w:p>
      <w:pPr>
        <w:pStyle w:val="FirstParagraph"/>
      </w:pPr>
      <w:r>
        <w:t xml:space="preserve">🟢[Document] Vue agrégée pour le dirigeant : dossiers, documents, agenda, indicateurs, Score GEL®, notifications.</w:t>
      </w:r>
    </w:p>
    <w:bookmarkEnd w:id="101"/>
    <w:bookmarkStart w:id="102" w:name="audit-trail-traçabilité-fine"/>
    <w:p>
      <w:pPr>
        <w:pStyle w:val="Heading3"/>
      </w:pPr>
      <w:r>
        <w:t xml:space="preserve">25.4 Audit trail (traçabilité fine)</w:t>
      </w:r>
    </w:p>
    <w:p>
      <w:pPr>
        <w:pStyle w:val="FirstParagraph"/>
      </w:pPr>
      <w:r>
        <w:t xml:space="preserve">🟢[Document] Chaque Administrateur d’Entreprise doit pouvoir consulter, pour chaque secrétaire et chaque comptable rattaché, un historique détaillé de toutes les manipulations :</w:t>
      </w:r>
    </w:p>
    <w:p>
      <w:pPr>
        <w:numPr>
          <w:ilvl w:val="0"/>
          <w:numId w:val="1034"/>
        </w:numPr>
        <w:pStyle w:val="Compact"/>
      </w:pPr>
      <w:r>
        <w:t xml:space="preserve">Connexions et déconnexions (date, heure, appareil).</w:t>
      </w:r>
    </w:p>
    <w:p>
      <w:pPr>
        <w:numPr>
          <w:ilvl w:val="0"/>
          <w:numId w:val="1034"/>
        </w:numPr>
        <w:pStyle w:val="Compact"/>
      </w:pPr>
      <w:r>
        <w:t xml:space="preserve">Consultation d’un document ou d’un dossier (qui a ouvert quoi, quand).</w:t>
      </w:r>
    </w:p>
    <w:p>
      <w:pPr>
        <w:numPr>
          <w:ilvl w:val="0"/>
          <w:numId w:val="1034"/>
        </w:numPr>
        <w:pStyle w:val="Compact"/>
      </w:pPr>
      <w:r>
        <w:t xml:space="preserve">Création, modification et suppression d’une donnée (écriture comptable, document, contact, tâche).</w:t>
      </w:r>
    </w:p>
    <w:p>
      <w:pPr>
        <w:numPr>
          <w:ilvl w:val="0"/>
          <w:numId w:val="1034"/>
        </w:numPr>
        <w:pStyle w:val="Compact"/>
      </w:pPr>
      <w:r>
        <w:t xml:space="preserve">Export ou téléchargement d’un document ou d’un rapport.</w:t>
      </w:r>
    </w:p>
    <w:p>
      <w:pPr>
        <w:numPr>
          <w:ilvl w:val="0"/>
          <w:numId w:val="1034"/>
        </w:numPr>
        <w:pStyle w:val="Compact"/>
      </w:pPr>
      <w:r>
        <w:t xml:space="preserve">Impression d’un document depuis la plateforme.</w:t>
      </w:r>
    </w:p>
    <w:p>
      <w:pPr>
        <w:numPr>
          <w:ilvl w:val="0"/>
          <w:numId w:val="1034"/>
        </w:numPr>
        <w:pStyle w:val="Compact"/>
      </w:pPr>
      <w:r>
        <w:t xml:space="preserve">Copier/coller réalisé</w:t>
      </w:r>
      <w:r>
        <w:t xml:space="preserve"> </w:t>
      </w:r>
      <w:r>
        <w:rPr>
          <w:bCs/>
          <w:b/>
        </w:rPr>
        <w:t xml:space="preserve">dans l’interface web</w:t>
      </w:r>
      <w:r>
        <w:t xml:space="preserve"> </w:t>
      </w:r>
      <w:r>
        <w:t xml:space="preserve">(événements navigateur</w:t>
      </w:r>
      <w:r>
        <w:t xml:space="preserve"> </w:t>
      </w:r>
      <w:r>
        <w:rPr>
          <w:rStyle w:val="VerbatimChar"/>
        </w:rPr>
        <w:t xml:space="preserve">copy</w:t>
      </w:r>
      <w:r>
        <w:t xml:space="preserve">/</w:t>
      </w:r>
      <w:r>
        <w:rPr>
          <w:rStyle w:val="VerbatimChar"/>
        </w:rPr>
        <w:t xml:space="preserve">paste</w:t>
      </w:r>
      <w:r>
        <w:t xml:space="preserve">) — limite technique honnête : impossible de tracer une capture d’écran ou une photo d’écran, aucune plateforme ne peut le garantir.</w:t>
      </w:r>
    </w:p>
    <w:p>
      <w:pPr>
        <w:numPr>
          <w:ilvl w:val="0"/>
          <w:numId w:val="1034"/>
        </w:numPr>
        <w:pStyle w:val="Compact"/>
      </w:pPr>
      <w:r>
        <w:t xml:space="preserve">Changement de permission effectué par l’Administrateur.</w:t>
      </w:r>
    </w:p>
    <w:p>
      <w:pPr>
        <w:pStyle w:val="FirstParagraph"/>
      </w:pPr>
      <w:r>
        <w:t xml:space="preserve">L’intégralité de l’Historique doit être rédigée et consultable</w:t>
      </w:r>
      <w:r>
        <w:t xml:space="preserve"> </w:t>
      </w:r>
      <w:r>
        <w:rPr>
          <w:bCs/>
          <w:b/>
        </w:rPr>
        <w:t xml:space="preserve">en français</w:t>
      </w:r>
      <w:r>
        <w:t xml:space="preserve">, sans terme technique anglicisé non traduit.</w:t>
      </w:r>
    </w:p>
    <w:p>
      <w:pPr>
        <w:pStyle w:val="BodyText"/>
      </w:pPr>
      <w:r>
        <w:t xml:space="preserve">🟠[Proposition complémentaire — extension comptable de l’audit trail] Pour toute opération comptable ou fiscale sensible, l’audit trail conserve systématiquement : utilisateur, date, heure, opération, ancienne valeur, nouvelle valeur, justification, statut de validation — conformément à la Partie 14 (« Audit trail ») du prompt maître. Aucune modification importante (écriture validée, taux fiscal appliqué, montant de déclaration) ne peut être effectuée sans laisser de trace.</w:t>
      </w:r>
    </w:p>
    <w:bookmarkEnd w:id="102"/>
    <w:bookmarkEnd w:id="103"/>
    <w:bookmarkStart w:id="109" w:name="sécurité-et-gouvernance"/>
    <w:p>
      <w:pPr>
        <w:pStyle w:val="Heading2"/>
      </w:pPr>
      <w:r>
        <w:t xml:space="preserve">26. Sécurité et gouvernance</w:t>
      </w:r>
    </w:p>
    <w:bookmarkStart w:id="104" w:name="X2f0e86597e55b87f5cfadae214d2c11ffdc84dd"/>
    <w:p>
      <w:pPr>
        <w:pStyle w:val="Heading3"/>
      </w:pPr>
      <w:r>
        <w:t xml:space="preserve">26.1 Règles absolues, valables sur toute la plateforme</w:t>
      </w:r>
    </w:p>
    <w:p>
      <w:pPr>
        <w:pStyle w:val="FirstParagraph"/>
      </w:pPr>
      <w:r>
        <w:t xml:space="preserve">🟢[Document]</w:t>
      </w:r>
    </w:p>
    <w:p>
      <w:pPr>
        <w:numPr>
          <w:ilvl w:val="0"/>
          <w:numId w:val="1035"/>
        </w:numPr>
        <w:pStyle w:val="Compact"/>
      </w:pPr>
      <w:r>
        <w:t xml:space="preserve">Aucune donnée fictive, de démonstration ou d’exemple à quelque endroit que ce soit — état vide clair si aucune donnée réelle n’existe.</w:t>
      </w:r>
    </w:p>
    <w:p>
      <w:pPr>
        <w:numPr>
          <w:ilvl w:val="0"/>
          <w:numId w:val="1035"/>
        </w:numPr>
        <w:pStyle w:val="Compact"/>
      </w:pPr>
      <w:r>
        <w:t xml:space="preserve">Isolation stricte des données entre entreprises, à tous les niveaux (base de données, API, interface).</w:t>
      </w:r>
    </w:p>
    <w:p>
      <w:pPr>
        <w:numPr>
          <w:ilvl w:val="0"/>
          <w:numId w:val="1035"/>
        </w:numPr>
        <w:pStyle w:val="Compact"/>
      </w:pPr>
      <w:r>
        <w:t xml:space="preserve">Aucune action irréversible automatisée sans confirmation humaine explicite (envoi, signature, paiement, suppression, comptabilisation définitive).</w:t>
      </w:r>
    </w:p>
    <w:p>
      <w:pPr>
        <w:numPr>
          <w:ilvl w:val="0"/>
          <w:numId w:val="1035"/>
        </w:numPr>
        <w:pStyle w:val="Compact"/>
      </w:pPr>
      <w:r>
        <w:t xml:space="preserve">Toute suppression de compte ou d’entreprise passe par une période de rétention avant suppression définitive.</w:t>
      </w:r>
    </w:p>
    <w:p>
      <w:pPr>
        <w:numPr>
          <w:ilvl w:val="0"/>
          <w:numId w:val="1035"/>
        </w:numPr>
        <w:pStyle w:val="Compact"/>
      </w:pPr>
      <w:r>
        <w:t xml:space="preserve">Chaque action sensible journalisée dans l’Historique correspondant, avec la mention « IA ACTION » pour les actions générées par l’assistant.</w:t>
      </w:r>
    </w:p>
    <w:bookmarkEnd w:id="104"/>
    <w:bookmarkStart w:id="105" w:name="sécurité-des-comptes-et-des-données"/>
    <w:p>
      <w:pPr>
        <w:pStyle w:val="Heading3"/>
      </w:pPr>
      <w:r>
        <w:t xml:space="preserve">26.2 Sécurité des comptes et des données</w:t>
      </w:r>
    </w:p>
    <w:p>
      <w:pPr>
        <w:pStyle w:val="FirstParagraph"/>
      </w:pPr>
      <w:r>
        <w:t xml:space="preserve">🟢[Document]</w:t>
      </w:r>
    </w:p>
    <w:p>
      <w:pPr>
        <w:numPr>
          <w:ilvl w:val="0"/>
          <w:numId w:val="1036"/>
        </w:numPr>
        <w:pStyle w:val="Compact"/>
      </w:pPr>
      <w:r>
        <w:rPr>
          <w:bCs/>
          <w:b/>
        </w:rPr>
        <w:t xml:space="preserve">Authentification à deux facteurs (2FA)</w:t>
      </w:r>
      <w:r>
        <w:t xml:space="preserve"> </w:t>
      </w:r>
      <w:r>
        <w:t xml:space="preserve">disponible pour tous les rôles,</w:t>
      </w:r>
      <w:r>
        <w:t xml:space="preserve"> </w:t>
      </w:r>
      <w:r>
        <w:rPr>
          <w:bCs/>
          <w:b/>
        </w:rPr>
        <w:t xml:space="preserve">obligatoire</w:t>
      </w:r>
      <w:r>
        <w:t xml:space="preserve"> </w:t>
      </w:r>
      <w:r>
        <w:t xml:space="preserve">pour les comptes Administrateur d’Entreprise et Super Administrateur.</w:t>
      </w:r>
    </w:p>
    <w:p>
      <w:pPr>
        <w:numPr>
          <w:ilvl w:val="0"/>
          <w:numId w:val="1036"/>
        </w:numPr>
        <w:pStyle w:val="Compact"/>
      </w:pPr>
      <w:r>
        <w:t xml:space="preserve">Gestion des sessions actives et déconnexion à distance ; journal de connexion et journal de sécurité consolidé.</w:t>
      </w:r>
    </w:p>
    <w:p>
      <w:pPr>
        <w:numPr>
          <w:ilvl w:val="0"/>
          <w:numId w:val="1036"/>
        </w:numPr>
        <w:pStyle w:val="Compact"/>
      </w:pPr>
      <w:r>
        <w:t xml:space="preserve">Politique de mot de passe robuste, verrouillage temporaire après tentatives échouées.</w:t>
      </w:r>
    </w:p>
    <w:p>
      <w:pPr>
        <w:numPr>
          <w:ilvl w:val="0"/>
          <w:numId w:val="1036"/>
        </w:numPr>
        <w:pStyle w:val="Compact"/>
      </w:pPr>
      <w:r>
        <w:rPr>
          <w:bCs/>
          <w:b/>
        </w:rPr>
        <w:t xml:space="preserve">Chiffrement des données en transit</w:t>
      </w:r>
      <w:r>
        <w:t xml:space="preserve"> </w:t>
      </w:r>
      <w:r>
        <w:t xml:space="preserve">: HTTPS/TLS, sans exception, sur tous les portails.</w:t>
      </w:r>
    </w:p>
    <w:p>
      <w:pPr>
        <w:numPr>
          <w:ilvl w:val="0"/>
          <w:numId w:val="1036"/>
        </w:numPr>
        <w:pStyle w:val="Compact"/>
      </w:pPr>
      <w:r>
        <w:rPr>
          <w:bCs/>
          <w:b/>
        </w:rPr>
        <w:t xml:space="preserve">Chiffrement des données sensibles au repos</w:t>
      </w:r>
      <w:r>
        <w:t xml:space="preserve"> </w:t>
      </w:r>
      <w:r>
        <w:t xml:space="preserve">(documents légaux, informations bancaires, pièces d’identité) — au niveau du champ ou du fichier pour les données les plus sensibles, pas seulement au niveau du serveur.</w:t>
      </w:r>
    </w:p>
    <w:p>
      <w:pPr>
        <w:numPr>
          <w:ilvl w:val="0"/>
          <w:numId w:val="1036"/>
        </w:numPr>
        <w:pStyle w:val="Compact"/>
      </w:pPr>
      <w:r>
        <w:rPr>
          <w:bCs/>
          <w:b/>
        </w:rPr>
        <w:t xml:space="preserve">Isolation stricte multi-tenant à trois niveaux</w:t>
      </w:r>
      <w:r>
        <w:t xml:space="preserve"> </w:t>
      </w:r>
      <w:r>
        <w:t xml:space="preserve">: base de données (filtrage systématique par</w:t>
      </w:r>
      <w:r>
        <w:t xml:space="preserve"> </w:t>
      </w:r>
      <w:r>
        <w:rPr>
          <w:rStyle w:val="VerbatimChar"/>
        </w:rPr>
        <w:t xml:space="preserve">entreprise_id</w:t>
      </w:r>
      <w:r>
        <w:t xml:space="preserve"> </w:t>
      </w:r>
      <w:r>
        <w:t xml:space="preserve">sur chaque requête), API (vérification d’autorisation à chaque appel, jamais une confiance aveugle au frontend), interface (aucune donnée d’une autre entreprise ne doit jamais transiter, même masquée, vers un utilisateur non autorisé).</w:t>
      </w:r>
    </w:p>
    <w:p>
      <w:pPr>
        <w:numPr>
          <w:ilvl w:val="0"/>
          <w:numId w:val="1036"/>
        </w:numPr>
        <w:pStyle w:val="Compact"/>
      </w:pPr>
      <w:r>
        <w:t xml:space="preserve">Sauvegardes régulières et automatiques, avec</w:t>
      </w:r>
      <w:r>
        <w:t xml:space="preserve"> </w:t>
      </w:r>
      <w:r>
        <w:rPr>
          <w:bCs/>
          <w:b/>
        </w:rPr>
        <w:t xml:space="preserve">tests de restauration périodiques</w:t>
      </w:r>
      <w:r>
        <w:t xml:space="preserve">.</w:t>
      </w:r>
    </w:p>
    <w:p>
      <w:pPr>
        <w:numPr>
          <w:ilvl w:val="0"/>
          <w:numId w:val="1036"/>
        </w:numPr>
        <w:pStyle w:val="Compact"/>
      </w:pPr>
      <w:r>
        <w:t xml:space="preserve">Principe du moindre privilège appliqué à tous les niveaux, humain ou technique.</w:t>
      </w:r>
    </w:p>
    <w:p>
      <w:pPr>
        <w:numPr>
          <w:ilvl w:val="0"/>
          <w:numId w:val="1036"/>
        </w:numPr>
        <w:pStyle w:val="Compact"/>
      </w:pPr>
      <w:r>
        <w:t xml:space="preserve">Journalisation de sécurité : toute tentative d’accès anormale détectée et</w:t>
      </w:r>
      <w:r>
        <w:t xml:space="preserve"> </w:t>
      </w:r>
      <w:r>
        <w:rPr>
          <w:bCs/>
          <w:b/>
        </w:rPr>
        <w:t xml:space="preserve">alertée</w:t>
      </w:r>
      <w:r>
        <w:t xml:space="preserve">, pas seulement enregistrée passivement.</w:t>
      </w:r>
    </w:p>
    <w:p>
      <w:pPr>
        <w:numPr>
          <w:ilvl w:val="0"/>
          <w:numId w:val="1036"/>
        </w:numPr>
        <w:pStyle w:val="Compact"/>
      </w:pPr>
      <w:r>
        <w:t xml:space="preserve">Plan de réponse à incident documenté avant mise en production.</w:t>
      </w:r>
    </w:p>
    <w:bookmarkEnd w:id="105"/>
    <w:bookmarkStart w:id="106" w:name="compte-super-administrateur"/>
    <w:p>
      <w:pPr>
        <w:pStyle w:val="Heading3"/>
      </w:pPr>
      <w:r>
        <w:t xml:space="preserve">26.3 Compte Super Administrateur</w:t>
      </w:r>
    </w:p>
    <w:p>
      <w:pPr>
        <w:pStyle w:val="FirstParagraph"/>
      </w:pPr>
      <w:r>
        <w:t xml:space="preserve">🟢[Document] Accès strictement limité (1 à 2 comptes maximum), URL non devinable, 2FA obligatoire sans exception.</w:t>
      </w:r>
    </w:p>
    <w:p>
      <w:pPr>
        <w:numPr>
          <w:ilvl w:val="0"/>
          <w:numId w:val="1037"/>
        </w:numPr>
        <w:pStyle w:val="Compact"/>
      </w:pPr>
      <w:r>
        <w:t xml:space="preserve">Vue d’ensemble de la plateforme : MRR et évolution, nombre d’entreprises par statut, taux de conversion essai → payant, taux de désabonnement, statut technique en temps réel (base de données, mailing, API IA, Mobile Money, espace disque, dernière sauvegarde), flux d’activité récente.</w:t>
      </w:r>
    </w:p>
    <w:p>
      <w:pPr>
        <w:numPr>
          <w:ilvl w:val="0"/>
          <w:numId w:val="1037"/>
        </w:numPr>
        <w:pStyle w:val="Compact"/>
      </w:pPr>
      <w:r>
        <w:t xml:space="preserve">Gestion des entreprises clientes : liste globale filtrable, suspension/réactivation avec motif obligatoire, suppression avec période de rétention.</w:t>
      </w:r>
    </w:p>
    <w:p>
      <w:pPr>
        <w:numPr>
          <w:ilvl w:val="0"/>
          <w:numId w:val="1037"/>
        </w:numPr>
        <w:pStyle w:val="Compact"/>
      </w:pPr>
      <w:r>
        <w:rPr>
          <w:bCs/>
          <w:b/>
        </w:rPr>
        <w:t xml:space="preserve">Mode Support (impersonation contrôlée)</w:t>
      </w:r>
      <w:r>
        <w:t xml:space="preserve"> </w:t>
      </w:r>
      <w:r>
        <w:t xml:space="preserve">: bannière visible en permanence, journalisation stricte, session limitée dans le temps, notification à l’entreprise concernée.</w:t>
      </w:r>
    </w:p>
    <w:p>
      <w:pPr>
        <w:numPr>
          <w:ilvl w:val="0"/>
          <w:numId w:val="1037"/>
        </w:numPr>
        <w:pStyle w:val="Compact"/>
      </w:pPr>
      <w:r>
        <w:t xml:space="preserve">Plans tarifaires et finance : création/modification/désactivation des plans (portails inclus, quota IA, membres autorisés, durée d’essai), vue financière globale, suivi Mobile Money, gestion des litiges/remboursements.</w:t>
      </w:r>
    </w:p>
    <w:p>
      <w:pPr>
        <w:numPr>
          <w:ilvl w:val="0"/>
          <w:numId w:val="1037"/>
        </w:numPr>
        <w:pStyle w:val="Compact"/>
      </w:pPr>
      <w:r>
        <w:t xml:space="preserve">Configuration globale : feature flags, quotas IA globaux, calendrier fiscal partagé et</w:t>
      </w:r>
      <w:r>
        <w:t xml:space="preserve"> </w:t>
      </w:r>
      <w:r>
        <w:rPr>
          <w:bCs/>
          <w:b/>
        </w:rPr>
        <w:t xml:space="preserve">activation des pays OHADA</w:t>
      </w:r>
      <w:r>
        <w:t xml:space="preserve"> </w:t>
      </w:r>
      <w:r>
        <w:t xml:space="preserve">(Partie 11.5), bibliothèque de modèles de documents partagés.</w:t>
      </w:r>
    </w:p>
    <w:p>
      <w:pPr>
        <w:numPr>
          <w:ilvl w:val="0"/>
          <w:numId w:val="1037"/>
        </w:numPr>
        <w:pStyle w:val="Compact"/>
      </w:pPr>
      <w:r>
        <w:t xml:space="preserve">Pool de personnel GEL (Modèle 2) : registre, capacité, affectation manuelle jamais automatique, réaffectation avec transfert d’historique, détection d’un dossier négligé.</w:t>
      </w:r>
    </w:p>
    <w:bookmarkEnd w:id="106"/>
    <w:bookmarkStart w:id="107" w:name="X5ad1420612db5d3568b2e6bcc2a40c25e429e76"/>
    <w:p>
      <w:pPr>
        <w:pStyle w:val="Heading3"/>
      </w:pPr>
      <w:r>
        <w:t xml:space="preserve">26.4 Protection des données personnelles (APDP Bénin)</w:t>
      </w:r>
    </w:p>
    <w:p>
      <w:pPr>
        <w:pStyle w:val="FirstParagraph"/>
      </w:pPr>
      <w:r>
        <w:t xml:space="preserve">🟢[Document] Le Bénin dispose d’un cadre légal de protection des données à caractère personnel, sous l’autorité de l’</w:t>
      </w:r>
      <w:r>
        <w:rPr>
          <w:bCs/>
          <w:b/>
        </w:rPr>
        <w:t xml:space="preserve">Autorité de Protection des Données Personnelles (APDP)</w:t>
      </w:r>
      <w:r>
        <w:t xml:space="preserve">. GEL, en tant que plateforme traitant des données personnelles et professionnelles sensibles pour le compte de tiers, doit s’y conformer :</w:t>
      </w:r>
    </w:p>
    <w:p>
      <w:pPr>
        <w:numPr>
          <w:ilvl w:val="0"/>
          <w:numId w:val="1038"/>
        </w:numPr>
        <w:pStyle w:val="Compact"/>
      </w:pPr>
      <w:r>
        <w:t xml:space="preserve">Recueil du consentement explicite pour toute donnée personnelle collectée, avec finalité clairement indiquée.</w:t>
      </w:r>
    </w:p>
    <w:p>
      <w:pPr>
        <w:numPr>
          <w:ilvl w:val="0"/>
          <w:numId w:val="1038"/>
        </w:numPr>
        <w:pStyle w:val="Compact"/>
      </w:pPr>
      <w:r>
        <w:t xml:space="preserve">Droit d’accès, de rectification et de suppression des données personnelles.</w:t>
      </w:r>
    </w:p>
    <w:p>
      <w:pPr>
        <w:numPr>
          <w:ilvl w:val="0"/>
          <w:numId w:val="1038"/>
        </w:numPr>
        <w:pStyle w:val="Compact"/>
      </w:pPr>
      <w:r>
        <w:t xml:space="preserve">Durée de conservation limitée et justifiée.</w:t>
      </w:r>
    </w:p>
    <w:p>
      <w:pPr>
        <w:numPr>
          <w:ilvl w:val="0"/>
          <w:numId w:val="1038"/>
        </w:numPr>
        <w:pStyle w:val="Compact"/>
      </w:pPr>
      <w:r>
        <w:t xml:space="preserve">Documentation des traitements de données personnelles, disponible en cas de contrôle.</w:t>
      </w:r>
    </w:p>
    <w:p>
      <w:pPr>
        <w:pStyle w:val="FirstParagraph"/>
      </w:pPr>
      <w:r>
        <w:t xml:space="preserve">🔵[Réglementaire — note de prudence conservée du document source] Une vérification juridique précise du cadre réglementaire béninois en vigueur au moment du développement reste recommandée, idéalement avec un conseil juridique local, avant la mise en production réelle.</w:t>
      </w:r>
      <w:r>
        <w:t xml:space="preserve"> </w:t>
      </w:r>
      <w:r>
        <w:rPr>
          <w:bCs/>
          <w:b/>
        </w:rPr>
        <w:t xml:space="preserve">Cette même prudence s’applique à l’ensemble des taux fiscaux de la Partie 12.</w:t>
      </w:r>
    </w:p>
    <w:bookmarkEnd w:id="107"/>
    <w:bookmarkStart w:id="108" w:name="X6233f4c3d14f8276ff88e83aa597daa2700481d"/>
    <w:p>
      <w:pPr>
        <w:pStyle w:val="Heading3"/>
      </w:pPr>
      <w:r>
        <w:t xml:space="preserve">26.5 Profils de sécurité (rappel, complète Partie 8)</w:t>
      </w:r>
    </w:p>
    <w:p>
      <w:pPr>
        <w:pStyle w:val="FirstParagraph"/>
      </w:pPr>
      <w:r>
        <w:t xml:space="preserve">🟢[Document]/🟠[Proposition complémentaire] Administrateur · Dirigeant · Comptable · Assistant comptable · Fiscaliste · Auditeur · RH · Caissier · Utilisateur métier — avec séparation des fonctions (principe de contrôle interne comptable : la personne qui saisit une écriture ne devrait pas être la seule à la valider pour les montants significatifs).</w:t>
      </w:r>
    </w:p>
    <w:bookmarkEnd w:id="108"/>
    <w:bookmarkEnd w:id="109"/>
    <w:bookmarkStart w:id="114" w:name="architecture-technique"/>
    <w:p>
      <w:pPr>
        <w:pStyle w:val="Heading2"/>
      </w:pPr>
      <w:r>
        <w:t xml:space="preserve">27. Architecture technique</w:t>
      </w:r>
    </w:p>
    <w:bookmarkStart w:id="110" w:name="stack-retenue"/>
    <w:p>
      <w:pPr>
        <w:pStyle w:val="Heading3"/>
      </w:pPr>
      <w:r>
        <w:t xml:space="preserve">27.1 Stack retenue</w:t>
      </w:r>
    </w:p>
    <w:p>
      <w:pPr>
        <w:pStyle w:val="FirstParagraph"/>
      </w:pPr>
      <w:r>
        <w:t xml:space="preserve">🟢[Document]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Couche</w:t>
            </w:r>
          </w:p>
        </w:tc>
        <w:tc>
          <w:tcPr/>
          <w:p>
            <w:pPr>
              <w:pStyle w:val="Compact"/>
              <w:jc w:val="left"/>
            </w:pPr>
            <w:r>
              <w:t xml:space="preserve">Technologie recommandée</w:t>
            </w:r>
          </w:p>
        </w:tc>
      </w:tr>
      <w:tr>
        <w:tc>
          <w:tcPr/>
          <w:p>
            <w:pPr>
              <w:pStyle w:val="Compact"/>
              <w:jc w:val="left"/>
            </w:pPr>
            <w:r>
              <w:t xml:space="preserve">Langage principal</w:t>
            </w:r>
          </w:p>
        </w:tc>
        <w:tc>
          <w:tcPr/>
          <w:p>
            <w:pPr>
              <w:pStyle w:val="Compact"/>
              <w:jc w:val="left"/>
            </w:pPr>
            <w:r>
              <w:t xml:space="preserve">TypeScript</w:t>
            </w:r>
          </w:p>
        </w:tc>
      </w:tr>
      <w:tr>
        <w:tc>
          <w:tcPr/>
          <w:p>
            <w:pPr>
              <w:pStyle w:val="Compact"/>
              <w:jc w:val="left"/>
            </w:pPr>
            <w:r>
              <w:t xml:space="preserve">Backend</w:t>
            </w:r>
          </w:p>
        </w:tc>
        <w:tc>
          <w:tcPr/>
          <w:p>
            <w:pPr>
              <w:pStyle w:val="Compact"/>
              <w:jc w:val="left"/>
            </w:pPr>
            <w:r>
              <w:t xml:space="preserve">Node.js avec le framework NestJS</w:t>
            </w:r>
          </w:p>
        </w:tc>
      </w:tr>
      <w:tr>
        <w:tc>
          <w:tcPr/>
          <w:p>
            <w:pPr>
              <w:pStyle w:val="Compact"/>
              <w:jc w:val="left"/>
            </w:pPr>
            <w:r>
              <w:t xml:space="preserve">Frontend web</w:t>
            </w:r>
          </w:p>
        </w:tc>
        <w:tc>
          <w:tcPr/>
          <w:p>
            <w:pPr>
              <w:pStyle w:val="Compact"/>
              <w:jc w:val="left"/>
            </w:pPr>
            <w:r>
              <w:t xml:space="preserve">Next.js (React)</w:t>
            </w:r>
          </w:p>
        </w:tc>
      </w:tr>
      <w:tr>
        <w:tc>
          <w:tcPr/>
          <w:p>
            <w:pPr>
              <w:pStyle w:val="Compact"/>
              <w:jc w:val="left"/>
            </w:pPr>
            <w:r>
              <w:t xml:space="preserve">Application mobile native</w:t>
            </w:r>
          </w:p>
        </w:tc>
        <w:tc>
          <w:tcPr/>
          <w:p>
            <w:pPr>
              <w:pStyle w:val="Compact"/>
              <w:jc w:val="left"/>
            </w:pPr>
            <w:r>
              <w:t xml:space="preserve">React Native</w:t>
            </w:r>
          </w:p>
        </w:tc>
      </w:tr>
      <w:tr>
        <w:tc>
          <w:tcPr/>
          <w:p>
            <w:pPr>
              <w:pStyle w:val="Compact"/>
              <w:jc w:val="left"/>
            </w:pPr>
            <w:r>
              <w:t xml:space="preserve">Base de données</w:t>
            </w:r>
          </w:p>
        </w:tc>
        <w:tc>
          <w:tcPr/>
          <w:p>
            <w:pPr>
              <w:pStyle w:val="Compact"/>
              <w:jc w:val="left"/>
            </w:pPr>
            <w:r>
              <w:t xml:space="preserve">PostgreSQL</w:t>
            </w:r>
          </w:p>
        </w:tc>
      </w:tr>
      <w:tr>
        <w:tc>
          <w:tcPr/>
          <w:p>
            <w:pPr>
              <w:pStyle w:val="Compact"/>
              <w:jc w:val="left"/>
            </w:pPr>
            <w:r>
              <w:t xml:space="preserve">Temps réel</w:t>
            </w:r>
          </w:p>
        </w:tc>
        <w:tc>
          <w:tcPr/>
          <w:p>
            <w:pPr>
              <w:pStyle w:val="Compact"/>
              <w:jc w:val="left"/>
            </w:pPr>
            <w:r>
              <w:t xml:space="preserve">Socket.io (notifications — voir aussi Laravel Reverb mentionné dans le second document, à trancher en phase de cadrage technique, les deux cahiers source proposant des architectures temps réel différentes —</w:t>
            </w:r>
            <w:r>
              <w:t xml:space="preserve"> </w:t>
            </w:r>
            <w:r>
              <w:rPr>
                <w:bCs/>
                <w:b/>
              </w:rPr>
              <w:t xml:space="preserve">point de contradiction identifié entre les deux documents, arbitrage nécessaire avant développement</w:t>
            </w:r>
            <w:r>
              <w:t xml:space="preserve"> </w:t>
            </w:r>
            <w:r>
              <w:t xml:space="preserve">🟠)</w:t>
            </w:r>
          </w:p>
        </w:tc>
      </w:tr>
      <w:tr>
        <w:tc>
          <w:tcPr/>
          <w:p>
            <w:pPr>
              <w:pStyle w:val="Compact"/>
              <w:jc w:val="left"/>
            </w:pPr>
            <w:r>
              <w:t xml:space="preserve">IA</w:t>
            </w:r>
          </w:p>
        </w:tc>
        <w:tc>
          <w:tcPr/>
          <w:p>
            <w:pPr>
              <w:pStyle w:val="Compact"/>
              <w:jc w:val="left"/>
            </w:pPr>
            <w:r>
              <w:t xml:space="preserve">API Anthropic Claude (appels HTTP depuis le backend)</w:t>
            </w:r>
          </w:p>
        </w:tc>
      </w:tr>
      <w:tr>
        <w:tc>
          <w:tcPr/>
          <w:p>
            <w:pPr>
              <w:pStyle w:val="Compact"/>
              <w:jc w:val="left"/>
            </w:pPr>
            <w:r>
              <w:t xml:space="preserve">Paiement</w:t>
            </w:r>
          </w:p>
        </w:tc>
        <w:tc>
          <w:tcPr/>
          <w:p>
            <w:pPr>
              <w:pStyle w:val="Compact"/>
              <w:jc w:val="left"/>
            </w:pPr>
            <w:r>
              <w:t xml:space="preserve">Mobile Money — MTN MoMo, Moov Money</w:t>
            </w:r>
          </w:p>
        </w:tc>
      </w:tr>
    </w:tbl>
    <w:p>
      <w:pPr>
        <w:pStyle w:val="BodyText"/>
      </w:pPr>
      <w:r>
        <w:rPr>
          <w:bCs/>
          <w:b/>
        </w:rPr>
        <w:t xml:space="preserve">Note d’arbitrage</w:t>
      </w:r>
      <w:r>
        <w:t xml:space="preserve"> </w:t>
      </w:r>
      <w:r>
        <w:t xml:space="preserve">🟠[Proposition complémentaire] : le cahier « GEL SABINET » propose une architecture temps réel Laravel Broadcasting/Reverb (écosystème PHP), tandis que le cahier « GEL » global et la stack recommandée en Partie 27.1 reposent sur TypeScript/Node.js de bout en bout. Retenir</w:t>
      </w:r>
      <w:r>
        <w:t xml:space="preserve"> </w:t>
      </w:r>
      <w:r>
        <w:rPr>
          <w:bCs/>
          <w:b/>
        </w:rPr>
        <w:t xml:space="preserve">Socket.io sur NestJS</w:t>
      </w:r>
      <w:r>
        <w:t xml:space="preserve"> </w:t>
      </w:r>
      <w:r>
        <w:t xml:space="preserve">est cohérent avec le choix « un seul langage pour toute la stack » (Partie 27.2) et évite d’introduire un second écosystème technique (PHP) uniquement pour les notifications. Ce point doit être validé explicitement par l’équipe technique avant le lancement du développement.</w:t>
      </w:r>
    </w:p>
    <w:bookmarkEnd w:id="110"/>
    <w:bookmarkStart w:id="111" w:name="justification-du-choix"/>
    <w:p>
      <w:pPr>
        <w:pStyle w:val="Heading3"/>
      </w:pPr>
      <w:r>
        <w:t xml:space="preserve">27.2 Justification du choix</w:t>
      </w:r>
    </w:p>
    <w:p>
      <w:pPr>
        <w:pStyle w:val="FirstParagraph"/>
      </w:pPr>
      <w:r>
        <w:t xml:space="preserve">🟢[Document]</w:t>
      </w:r>
    </w:p>
    <w:p>
      <w:pPr>
        <w:numPr>
          <w:ilvl w:val="0"/>
          <w:numId w:val="1039"/>
        </w:numPr>
        <w:pStyle w:val="Compact"/>
      </w:pPr>
      <w:r>
        <w:t xml:space="preserve">Un seul langage (TypeScript) pour l’ensemble de la stack — backend, frontend web, application mobile — réduisant la complexité de maintenance et facilitant la reprise du projet par un futur développeur.</w:t>
      </w:r>
    </w:p>
    <w:p>
      <w:pPr>
        <w:numPr>
          <w:ilvl w:val="0"/>
          <w:numId w:val="1039"/>
        </w:numPr>
        <w:pStyle w:val="Compact"/>
      </w:pPr>
      <w:r>
        <w:t xml:space="preserve">Vivier de développeurs TypeScript large, y compris en Afrique francophone, garantissant la pérennité du recrutement.</w:t>
      </w:r>
    </w:p>
    <w:p>
      <w:pPr>
        <w:numPr>
          <w:ilvl w:val="0"/>
          <w:numId w:val="1039"/>
        </w:numPr>
        <w:pStyle w:val="Compact"/>
      </w:pPr>
      <w:r>
        <w:t xml:space="preserve">Écosystème mature pour les besoins de la plateforme : authentification, temps réel, génération de documents, intégrations de paiement.</w:t>
      </w:r>
    </w:p>
    <w:p>
      <w:pPr>
        <w:numPr>
          <w:ilvl w:val="0"/>
          <w:numId w:val="1039"/>
        </w:numPr>
        <w:pStyle w:val="Compact"/>
      </w:pPr>
      <w:r>
        <w:t xml:space="preserve">PostgreSQL : robustesse et richesse fonctionnelle pour un système de gestion multi-tenant appelé à grandir.</w:t>
      </w:r>
    </w:p>
    <w:bookmarkEnd w:id="111"/>
    <w:bookmarkStart w:id="112" w:name="principes-darchitecture-transverses"/>
    <w:p>
      <w:pPr>
        <w:pStyle w:val="Heading3"/>
      </w:pPr>
      <w:r>
        <w:t xml:space="preserve">27.3 Principes d’architecture transverses</w:t>
      </w:r>
    </w:p>
    <w:p>
      <w:pPr>
        <w:pStyle w:val="FirstParagraph"/>
      </w:pPr>
      <w:r>
        <w:t xml:space="preserve">🟢[Document]</w:t>
      </w:r>
    </w:p>
    <w:p>
      <w:pPr>
        <w:numPr>
          <w:ilvl w:val="0"/>
          <w:numId w:val="1040"/>
        </w:numPr>
        <w:pStyle w:val="Compact"/>
      </w:pPr>
      <w:r>
        <w:t xml:space="preserve">Architecture</w:t>
      </w:r>
      <w:r>
        <w:t xml:space="preserve"> </w:t>
      </w:r>
      <w:r>
        <w:rPr>
          <w:bCs/>
          <w:b/>
        </w:rPr>
        <w:t xml:space="preserve">multi-tenant stricte</w:t>
      </w:r>
      <w:r>
        <w:t xml:space="preserve"> </w:t>
      </w:r>
      <w:r>
        <w:t xml:space="preserve">avec isolation des données par entreprise à tous les niveaux.</w:t>
      </w:r>
    </w:p>
    <w:p>
      <w:pPr>
        <w:numPr>
          <w:ilvl w:val="0"/>
          <w:numId w:val="1040"/>
        </w:numPr>
        <w:pStyle w:val="Compact"/>
      </w:pPr>
      <w:r>
        <w:rPr>
          <w:bCs/>
          <w:b/>
        </w:rPr>
        <w:t xml:space="preserve">API-first</w:t>
      </w:r>
      <w:r>
        <w:t xml:space="preserve"> </w:t>
      </w:r>
      <w:r>
        <w:t xml:space="preserve">: le backend expose une API cohérente consommée par le frontend web et la future application mobile.</w:t>
      </w:r>
    </w:p>
    <w:p>
      <w:pPr>
        <w:numPr>
          <w:ilvl w:val="0"/>
          <w:numId w:val="1040"/>
        </w:numPr>
        <w:pStyle w:val="Compact"/>
      </w:pPr>
      <w:r>
        <w:rPr>
          <w:bCs/>
          <w:b/>
        </w:rPr>
        <w:t xml:space="preserve">Mode dégradé</w:t>
      </w:r>
      <w:r>
        <w:t xml:space="preserve"> </w:t>
      </w:r>
      <w:r>
        <w:t xml:space="preserve">: file d’attente locale pour les actions lancées en connexion instable, traitées automatiquement au retour du réseau — contrainte réaliste du contexte ouest-africain.</w:t>
      </w:r>
    </w:p>
    <w:p>
      <w:pPr>
        <w:numPr>
          <w:ilvl w:val="0"/>
          <w:numId w:val="1040"/>
        </w:numPr>
        <w:pStyle w:val="Compact"/>
      </w:pPr>
      <w:r>
        <w:rPr>
          <w:bCs/>
          <w:b/>
        </w:rPr>
        <w:t xml:space="preserve">Sous-domaine dédié</w:t>
      </w:r>
      <w:r>
        <w:t xml:space="preserve"> </w:t>
      </w:r>
      <w:r>
        <w:t xml:space="preserve">pour le portail Super Admin, avec guard d’authentification séparé.</w:t>
      </w:r>
    </w:p>
    <w:p>
      <w:pPr>
        <w:numPr>
          <w:ilvl w:val="0"/>
          <w:numId w:val="1040"/>
        </w:numPr>
        <w:pStyle w:val="Compact"/>
      </w:pPr>
      <w:r>
        <w:t xml:space="preserve">Documentation d’architecture exigée du développeur : choix techniques, schéma de base de données, guide d’installation, commentaires en français dans le code.</w:t>
      </w:r>
    </w:p>
    <w:bookmarkEnd w:id="112"/>
    <w:bookmarkStart w:id="113" w:name="exigences-non-fonctionnelles"/>
    <w:p>
      <w:pPr>
        <w:pStyle w:val="Heading3"/>
      </w:pPr>
      <w:r>
        <w:t xml:space="preserve">27.4 Exigences non fonctionnelles</w:t>
      </w:r>
    </w:p>
    <w:p>
      <w:pPr>
        <w:pStyle w:val="FirstParagraph"/>
      </w:pPr>
      <w:r>
        <w:t xml:space="preserve">🟠[Proposition complémentaire — exigences implicites du prompt maître (« performance, scalabilité, disponibilité ») non détaillées dans les documents source]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Exigence</w:t>
            </w:r>
          </w:p>
        </w:tc>
        <w:tc>
          <w:tcPr/>
          <w:p>
            <w:pPr>
              <w:pStyle w:val="Compact"/>
              <w:jc w:val="left"/>
            </w:pPr>
            <w:r>
              <w:t xml:space="preserve">Cible indicative</w:t>
            </w:r>
          </w:p>
        </w:tc>
      </w:tr>
      <w:tr>
        <w:tc>
          <w:tcPr/>
          <w:p>
            <w:pPr>
              <w:pStyle w:val="Compact"/>
              <w:jc w:val="left"/>
            </w:pPr>
            <w:r>
              <w:t xml:space="preserve">Disponibilité</w:t>
            </w:r>
          </w:p>
        </w:tc>
        <w:tc>
          <w:tcPr/>
          <w:p>
            <w:pPr>
              <w:pStyle w:val="Compact"/>
              <w:jc w:val="left"/>
            </w:pPr>
            <w:r>
              <w:t xml:space="preserve">99,5 % minimum hors maintenance planifiée, avec plan de reprise après sinistre documenté</w:t>
            </w:r>
          </w:p>
        </w:tc>
      </w:tr>
      <w:tr>
        <w:tc>
          <w:tcPr/>
          <w:p>
            <w:pPr>
              <w:pStyle w:val="Compact"/>
              <w:jc w:val="left"/>
            </w:pPr>
            <w:r>
              <w:t xml:space="preserve">Performance</w:t>
            </w:r>
          </w:p>
        </w:tc>
        <w:tc>
          <w:tcPr/>
          <w:p>
            <w:pPr>
              <w:pStyle w:val="Compact"/>
              <w:jc w:val="left"/>
            </w:pPr>
            <w:r>
              <w:t xml:space="preserve">Temps de réponse API &lt; 500 ms pour les opérations courantes (hors traitement IA asynchrone)</w:t>
            </w:r>
          </w:p>
        </w:tc>
      </w:tr>
      <w:tr>
        <w:tc>
          <w:tcPr/>
          <w:p>
            <w:pPr>
              <w:pStyle w:val="Compact"/>
              <w:jc w:val="left"/>
            </w:pPr>
            <w:r>
              <w:t xml:space="preserve">Scalabilité</w:t>
            </w:r>
          </w:p>
        </w:tc>
        <w:tc>
          <w:tcPr/>
          <w:p>
            <w:pPr>
              <w:pStyle w:val="Compact"/>
              <w:jc w:val="left"/>
            </w:pPr>
            <w:r>
              <w:t xml:space="preserve">Architecture horizontale (scaling out) au niveau du backend NestJS et de PostgreSQL (réplication en lecture) à mesure de la croissance du nombre d’entreprises clientes</w:t>
            </w:r>
          </w:p>
        </w:tc>
      </w:tr>
      <w:tr>
        <w:tc>
          <w:tcPr/>
          <w:p>
            <w:pPr>
              <w:pStyle w:val="Compact"/>
              <w:jc w:val="left"/>
            </w:pPr>
            <w:r>
              <w:t xml:space="preserve">Connectivité</w:t>
            </w:r>
          </w:p>
        </w:tc>
        <w:tc>
          <w:tcPr/>
          <w:p>
            <w:pPr>
              <w:pStyle w:val="Compact"/>
              <w:jc w:val="left"/>
            </w:pPr>
            <w:r>
              <w:t xml:space="preserve">Fonctionnement en mode dégradé (file d’attente locale) obligatoire compte tenu de la qualité variable de la connexion internet au Bénin et dans la sous-région</w:t>
            </w:r>
          </w:p>
        </w:tc>
      </w:tr>
    </w:tbl>
    <w:bookmarkEnd w:id="113"/>
    <w:bookmarkEnd w:id="114"/>
    <w:bookmarkStart w:id="115" w:name="apis-et-intégrations"/>
    <w:p>
      <w:pPr>
        <w:pStyle w:val="Heading2"/>
      </w:pPr>
      <w:r>
        <w:t xml:space="preserve">28. APIs et intégrations</w:t>
      </w:r>
    </w:p>
    <w:p>
      <w:pPr>
        <w:pStyle w:val="FirstParagraph"/>
      </w:pPr>
      <w:r>
        <w:t xml:space="preserve">🟢[Document]/🟠[Proposition complémentaire pour la structuration]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Intégration</w:t>
            </w:r>
          </w:p>
        </w:tc>
        <w:tc>
          <w:tcPr/>
          <w:p>
            <w:pPr>
              <w:pStyle w:val="Compact"/>
              <w:jc w:val="left"/>
            </w:pPr>
            <w:r>
              <w:t xml:space="preserve">Objet</w:t>
            </w:r>
          </w:p>
        </w:tc>
      </w:tr>
      <w:tr>
        <w:tc>
          <w:tcPr/>
          <w:p>
            <w:pPr>
              <w:pStyle w:val="Compact"/>
              <w:jc w:val="left"/>
            </w:pPr>
            <w:r>
              <w:t xml:space="preserve">API Anthropic Claude</w:t>
            </w:r>
          </w:p>
        </w:tc>
        <w:tc>
          <w:tcPr/>
          <w:p>
            <w:pPr>
              <w:pStyle w:val="Compact"/>
              <w:jc w:val="left"/>
            </w:pPr>
            <w:r>
              <w:t xml:space="preserve">Moteur IA (Partie 13)</w:t>
            </w:r>
          </w:p>
        </w:tc>
      </w:tr>
      <w:tr>
        <w:tc>
          <w:tcPr/>
          <w:p>
            <w:pPr>
              <w:pStyle w:val="Compact"/>
              <w:jc w:val="left"/>
            </w:pPr>
            <w:r>
              <w:t xml:space="preserve">Mobile Money (MTN MoMo, Moov Money)</w:t>
            </w:r>
          </w:p>
        </w:tc>
        <w:tc>
          <w:tcPr/>
          <w:p>
            <w:pPr>
              <w:pStyle w:val="Compact"/>
              <w:jc w:val="left"/>
            </w:pPr>
            <w:r>
              <w:t xml:space="preserve">Paiement des abonnements et des transactions Trésorerie</w:t>
            </w:r>
          </w:p>
        </w:tc>
      </w:tr>
      <w:tr>
        <w:tc>
          <w:tcPr/>
          <w:p>
            <w:pPr>
              <w:pStyle w:val="Compact"/>
              <w:jc w:val="left"/>
            </w:pPr>
            <w:r>
              <w:t xml:space="preserve">e-MECeF / Sygmef</w:t>
            </w:r>
          </w:p>
        </w:tc>
        <w:tc>
          <w:tcPr/>
          <w:p>
            <w:pPr>
              <w:pStyle w:val="Compact"/>
              <w:jc w:val="left"/>
            </w:pPr>
            <w:r>
              <w:t xml:space="preserve">Facturation électronique certifiée obligatoire (Bénin)</w:t>
            </w:r>
          </w:p>
        </w:tc>
      </w:tr>
      <w:tr>
        <w:tc>
          <w:tcPr/>
          <w:p>
            <w:pPr>
              <w:pStyle w:val="Compact"/>
              <w:jc w:val="left"/>
            </w:pPr>
            <w:r>
              <w:t xml:space="preserve">Télédéclaration/télépaiement DGI</w:t>
            </w:r>
          </w:p>
        </w:tc>
        <w:tc>
          <w:tcPr/>
          <w:p>
            <w:pPr>
              <w:pStyle w:val="Compact"/>
              <w:jc w:val="left"/>
            </w:pPr>
            <w:r>
              <w:t xml:space="preserve">🟠 Intégration à cadrer suite à la réforme 2026 (Partie 12.3) rendant la télédéclaration obligatoire pour le régime réel normal</w:t>
            </w:r>
          </w:p>
        </w:tc>
      </w:tr>
      <w:tr>
        <w:tc>
          <w:tcPr/>
          <w:p>
            <w:pPr>
              <w:pStyle w:val="Compact"/>
              <w:jc w:val="left"/>
            </w:pPr>
            <w:r>
              <w:t xml:space="preserve">CNSS (déclaration sociale)</w:t>
            </w:r>
          </w:p>
        </w:tc>
        <w:tc>
          <w:tcPr/>
          <w:p>
            <w:pPr>
              <w:pStyle w:val="Compact"/>
              <w:jc w:val="left"/>
            </w:pPr>
            <w:r>
              <w:t xml:space="preserve">🟠 Intégration à cadrer, calendrier et formulaires propres, distincts de la DGI</w:t>
            </w:r>
          </w:p>
        </w:tc>
      </w:tr>
      <w:tr>
        <w:tc>
          <w:tcPr/>
          <w:p>
            <w:pPr>
              <w:pStyle w:val="Compact"/>
              <w:jc w:val="left"/>
            </w:pPr>
            <w:r>
              <w:t xml:space="preserve">Service VoIP (mode Institution, cas GEC/UAC)</w:t>
            </w:r>
          </w:p>
        </w:tc>
        <w:tc>
          <w:tcPr/>
          <w:p>
            <w:pPr>
              <w:pStyle w:val="Compact"/>
              <w:jc w:val="left"/>
            </w:pPr>
            <w:r>
              <w:t xml:space="preserve">Intégration optionnelle, à cadrer séparément</w:t>
            </w:r>
          </w:p>
        </w:tc>
      </w:tr>
      <w:tr>
        <w:tc>
          <w:tcPr/>
          <w:p>
            <w:pPr>
              <w:pStyle w:val="Compact"/>
              <w:jc w:val="left"/>
            </w:pPr>
            <w:r>
              <w:t xml:space="preserve">WhatsApp Business</w:t>
            </w:r>
          </w:p>
        </w:tc>
        <w:tc>
          <w:tcPr/>
          <w:p>
            <w:pPr>
              <w:pStyle w:val="Compact"/>
              <w:jc w:val="left"/>
            </w:pPr>
            <w:r>
              <w:t xml:space="preserve">Brief quotidien et alertes critiques (IA niveau 4, Partie 13.7)</w:t>
            </w:r>
          </w:p>
        </w:tc>
      </w:tr>
    </w:tbl>
    <w:bookmarkEnd w:id="115"/>
    <w:bookmarkStart w:id="119" w:name="modèle-de-données-conceptuel"/>
    <w:p>
      <w:pPr>
        <w:pStyle w:val="Heading2"/>
      </w:pPr>
      <w:r>
        <w:t xml:space="preserve">29. Modèle de données conceptuel</w:t>
      </w:r>
    </w:p>
    <w:bookmarkStart w:id="116" w:name="X701bb18fb40016f6bbf65ce0c5e5fb2677de24b"/>
    <w:p>
      <w:pPr>
        <w:pStyle w:val="Heading3"/>
      </w:pPr>
      <w:r>
        <w:t xml:space="preserve">29.1 Entités du périmètre « Secrétariat » (déjà spécifiées, reprises intégralement)</w:t>
      </w:r>
    </w:p>
    <w:p>
      <w:pPr>
        <w:pStyle w:val="FirstParagraph"/>
      </w:pPr>
      <w:r>
        <w:t xml:space="preserve">🟢[Document]</w:t>
      </w:r>
    </w:p>
    <w:p>
      <w:pPr>
        <w:pStyle w:val="SourceCode"/>
      </w:pPr>
      <w:r>
        <w:rPr>
          <w:rStyle w:val="VerbatimChar"/>
        </w:rPr>
        <w:t xml:space="preserve">Entreprise ──┬── Utilisateur ── Rôle</w:t>
      </w:r>
      <w:r>
        <w:br/>
      </w:r>
      <w:r>
        <w:rPr>
          <w:rStyle w:val="VerbatimChar"/>
        </w:rPr>
        <w:t xml:space="preserve"> ├── Document</w:t>
      </w:r>
      <w:r>
        <w:br/>
      </w:r>
      <w:r>
        <w:rPr>
          <w:rStyle w:val="VerbatimChar"/>
        </w:rPr>
        <w:t xml:space="preserve"> ├── Courrier</w:t>
      </w:r>
      <w:r>
        <w:br/>
      </w:r>
      <w:r>
        <w:rPr>
          <w:rStyle w:val="VerbatimChar"/>
        </w:rPr>
        <w:t xml:space="preserve"> ├── Contact</w:t>
      </w:r>
      <w:r>
        <w:br/>
      </w:r>
      <w:r>
        <w:rPr>
          <w:rStyle w:val="VerbatimChar"/>
        </w:rPr>
        <w:t xml:space="preserve"> ├── Réunion</w:t>
      </w:r>
      <w:r>
        <w:br/>
      </w:r>
      <w:r>
        <w:rPr>
          <w:rStyle w:val="VerbatimChar"/>
        </w:rPr>
        <w:t xml:space="preserve"> ├── Contrat</w:t>
      </w:r>
      <w:r>
        <w:br/>
      </w:r>
      <w:r>
        <w:rPr>
          <w:rStyle w:val="VerbatimChar"/>
        </w:rPr>
        <w:t xml:space="preserve"> ├── Tâche</w:t>
      </w:r>
      <w:r>
        <w:br/>
      </w:r>
      <w:r>
        <w:rPr>
          <w:rStyle w:val="VerbatimChar"/>
        </w:rPr>
        <w:t xml:space="preserve"> ├── Échéance</w:t>
      </w:r>
      <w:r>
        <w:br/>
      </w:r>
      <w:r>
        <w:rPr>
          <w:rStyle w:val="VerbatimChar"/>
        </w:rPr>
        <w:t xml:space="preserve"> ├── Relance</w:t>
      </w:r>
      <w:r>
        <w:br/>
      </w:r>
      <w:r>
        <w:rPr>
          <w:rStyle w:val="VerbatimChar"/>
        </w:rPr>
        <w:t xml:space="preserve"> ├── Rapport</w:t>
      </w:r>
      <w:r>
        <w:br/>
      </w:r>
      <w:r>
        <w:rPr>
          <w:rStyle w:val="VerbatimChar"/>
        </w:rPr>
        <w:t xml:space="preserve"> ├── Conformité (ScoreConformité, PlanAction)</w:t>
      </w:r>
      <w:r>
        <w:br/>
      </w:r>
      <w:r>
        <w:rPr>
          <w:rStyle w:val="VerbatimChar"/>
        </w:rPr>
        <w:t xml:space="preserve"> └── (mode Institution) Cabinet → Service → Agent</w:t>
      </w:r>
    </w:p>
    <w:p>
      <w:pPr>
        <w:pStyle w:val="FirstParagraph"/>
      </w:pPr>
      <w:r>
        <w:t xml:space="preserve">Entités :</w:t>
      </w:r>
      <w:r>
        <w:t xml:space="preserve"> </w:t>
      </w:r>
      <w:r>
        <w:rPr>
          <w:rStyle w:val="VerbatimChar"/>
        </w:rPr>
        <w:t xml:space="preserve">Entreprise, Utilisateur, Rôle, Affectation, Document, Courrier, Tâche, Échéance, Contact, Réunion, Contrat, Validation, Signature, Relance, Rapport, Conformité</w:t>
      </w:r>
      <w:r>
        <w:t xml:space="preserve">.</w:t>
      </w:r>
    </w:p>
    <w:bookmarkEnd w:id="116"/>
    <w:bookmarkStart w:id="117" w:name="X8a15e56ff9f71c7080e7eff71d2a1daae0d23e7"/>
    <w:p>
      <w:pPr>
        <w:pStyle w:val="Heading3"/>
      </w:pPr>
      <w:r>
        <w:t xml:space="preserve">29.2 Entités du périmètre comptable et fiscal (fusion des deux documents et compléments)</w:t>
      </w:r>
    </w:p>
    <w:p>
      <w:pPr>
        <w:pStyle w:val="FirstParagraph"/>
      </w:pPr>
      <w:r>
        <w:t xml:space="preserve">🟢[Document]/🟠[Proposition complémentaire, marquée ci-dessous]</w:t>
      </w:r>
    </w:p>
    <w:p>
      <w:pPr>
        <w:pStyle w:val="SourceCode"/>
      </w:pPr>
      <w:r>
        <w:rPr>
          <w:rStyle w:val="VerbatimChar"/>
        </w:rPr>
        <w:t xml:space="preserve">PlanComptable (🟠) — id, pays_code, classe, compte, sous_compte, libelle, nature (bilan/gestion)</w:t>
      </w:r>
      <w:r>
        <w:br/>
      </w:r>
      <w:r>
        <w:rPr>
          <w:rStyle w:val="VerbatimChar"/>
        </w:rPr>
        <w:t xml:space="preserve"> — référentiel SYSCOHADA préchargé (Partie 10.2), personnalisable par entité</w:t>
      </w:r>
      <w:r>
        <w:br/>
      </w:r>
      <w:r>
        <w:br/>
      </w:r>
      <w:r>
        <w:rPr>
          <w:rStyle w:val="VerbatimChar"/>
        </w:rPr>
        <w:t xml:space="preserve">CompteComptable (🟠) — id, entreprise_id, plan_compte_id, libelle_personnalise, solde_courant</w:t>
      </w:r>
      <w:r>
        <w:br/>
      </w:r>
      <w:r>
        <w:br/>
      </w:r>
      <w:r>
        <w:rPr>
          <w:rStyle w:val="VerbatimChar"/>
        </w:rPr>
        <w:t xml:space="preserve">Journal (🟠) — id, entreprise_id, code (AC, VE, BQ, CA, OD, AN), libelle</w:t>
      </w:r>
      <w:r>
        <w:br/>
      </w:r>
      <w:r>
        <w:br/>
      </w:r>
      <w:r>
        <w:rPr>
          <w:rStyle w:val="VerbatimChar"/>
        </w:rPr>
        <w:t xml:space="preserve">EcritureComptable (🟠) — id, entreprise_id, journal_id, date, numero_piece, statut</w:t>
      </w:r>
      <w:r>
        <w:br/>
      </w:r>
      <w:r>
        <w:rPr>
          <w:rStyle w:val="VerbatimChar"/>
        </w:rPr>
        <w:t xml:space="preserve"> (brouillon/validée/clôturée), lignes[] (compte_id, libelle, debit, credit),</w:t>
      </w:r>
      <w:r>
        <w:br/>
      </w:r>
      <w:r>
        <w:rPr>
          <w:rStyle w:val="VerbatimChar"/>
        </w:rPr>
        <w:t xml:space="preserve"> valide_par, date_validation</w:t>
      </w:r>
      <w:r>
        <w:br/>
      </w:r>
      <w:r>
        <w:rPr>
          <w:rStyle w:val="VerbatimChar"/>
        </w:rPr>
        <w:t xml:space="preserve"> — lien optionnel vers PieceComptable et vers Document (pièce justificative source)</w:t>
      </w:r>
      <w:r>
        <w:br/>
      </w:r>
      <w:r>
        <w:br/>
      </w:r>
      <w:r>
        <w:rPr>
          <w:rStyle w:val="VerbatimChar"/>
        </w:rPr>
        <w:t xml:space="preserve">PieceComptable (🟢) — id, entreprise_id, type (facture, dépense, justificatif, pièce bancaire),</w:t>
      </w:r>
      <w:r>
        <w:br/>
      </w:r>
      <w:r>
        <w:rPr>
          <w:rStyle w:val="VerbatimChar"/>
        </w:rPr>
        <w:t xml:space="preserve"> date, montant, devise, statut (reçue, traitée, validée)</w:t>
      </w:r>
      <w:r>
        <w:br/>
      </w:r>
      <w:r>
        <w:rPr>
          <w:rStyle w:val="VerbatimChar"/>
        </w:rPr>
        <w:t xml:space="preserve"> — lien optionnel vers Document (fichier source) et vers Courrier (si reçue par courrier)</w:t>
      </w:r>
      <w:r>
        <w:br/>
      </w:r>
      <w:r>
        <w:rPr>
          <w:rStyle w:val="VerbatimChar"/>
        </w:rPr>
        <w:t xml:space="preserve"> — traité_par (comptable_id)</w:t>
      </w:r>
      <w:r>
        <w:br/>
      </w:r>
      <w:r>
        <w:br/>
      </w:r>
      <w:r>
        <w:rPr>
          <w:rStyle w:val="VerbatimChar"/>
        </w:rPr>
        <w:t xml:space="preserve">Declaration (🟢) — id, entreprise_id, type (fiscale, sociale/CNSS), pays_code, periode,</w:t>
      </w:r>
      <w:r>
        <w:br/>
      </w:r>
      <w:r>
        <w:rPr>
          <w:rStyle w:val="VerbatimChar"/>
        </w:rPr>
        <w:t xml:space="preserve"> date_echeance, statut (préparée, déposée, validée), montant</w:t>
      </w:r>
      <w:r>
        <w:br/>
      </w:r>
      <w:r>
        <w:rPr>
          <w:rStyle w:val="VerbatimChar"/>
        </w:rPr>
        <w:t xml:space="preserve"> — lien vers Échéance (déclenche une échéance automatique)</w:t>
      </w:r>
      <w:r>
        <w:br/>
      </w:r>
      <w:r>
        <w:rPr>
          <w:rStyle w:val="VerbatimChar"/>
        </w:rPr>
        <w:t xml:space="preserve"> — lien vers RegleFiscale appliquée (Partie 11.2, traçabilité du calcul)</w:t>
      </w:r>
      <w:r>
        <w:br/>
      </w:r>
      <w:r>
        <w:br/>
      </w:r>
      <w:r>
        <w:rPr>
          <w:rStyle w:val="VerbatimChar"/>
        </w:rPr>
        <w:t xml:space="preserve">RegleFiscale (🟠) — voir modèle complet Partie 11.2</w:t>
      </w:r>
      <w:r>
        <w:br/>
      </w:r>
      <w:r>
        <w:br/>
      </w:r>
      <w:r>
        <w:rPr>
          <w:rStyle w:val="VerbatimChar"/>
        </w:rPr>
        <w:t xml:space="preserve">Tresorerie (🟢, vue calculée) — entreprise_id, période, chiffre_affaires, charges, solde, impayés</w:t>
      </w:r>
      <w:r>
        <w:br/>
      </w:r>
      <w:r>
        <w:br/>
      </w:r>
      <w:r>
        <w:rPr>
          <w:rStyle w:val="VerbatimChar"/>
        </w:rPr>
        <w:t xml:space="preserve">EtatFinancier (🟢) — id, entreprise_id, type (bilan, compte de résultat, SIG, TAFIRE…),</w:t>
      </w:r>
      <w:r>
        <w:br/>
      </w:r>
      <w:r>
        <w:rPr>
          <w:rStyle w:val="VerbatimChar"/>
        </w:rPr>
        <w:t xml:space="preserve"> période, document_généré_id, statut</w:t>
      </w:r>
      <w:r>
        <w:br/>
      </w:r>
      <w:r>
        <w:br/>
      </w:r>
      <w:r>
        <w:rPr>
          <w:rStyle w:val="VerbatimChar"/>
        </w:rPr>
        <w:t xml:space="preserve">Immobilisation (🟠) — id, entreprise_id, compte_classe2_id, date_acquisition,</w:t>
      </w:r>
      <w:r>
        <w:br/>
      </w:r>
      <w:r>
        <w:rPr>
          <w:rStyle w:val="VerbatimChar"/>
        </w:rPr>
        <w:t xml:space="preserve"> date_mise_service, cout_entree, methode_amortissement, duree, valeur_nette_comptable</w:t>
      </w:r>
      <w:r>
        <w:br/>
      </w:r>
      <w:r>
        <w:br/>
      </w:r>
      <w:r>
        <w:rPr>
          <w:rStyle w:val="VerbatimChar"/>
        </w:rPr>
        <w:t xml:space="preserve">PlanAmortissement (🟠) — id, immobilisation_id, exercice, dotation, cumul_amortissement</w:t>
      </w:r>
      <w:r>
        <w:br/>
      </w:r>
      <w:r>
        <w:br/>
      </w:r>
      <w:r>
        <w:rPr>
          <w:rStyle w:val="VerbatimChar"/>
        </w:rPr>
        <w:t xml:space="preserve">MouvementStock (🟠) — id, entreprise_id, article_id, type (entrée/sortie), quantite,</w:t>
      </w:r>
      <w:r>
        <w:br/>
      </w:r>
      <w:r>
        <w:rPr>
          <w:rStyle w:val="VerbatimChar"/>
        </w:rPr>
        <w:t xml:space="preserve"> cout_unitaire, methode_valorisation (CMP)</w:t>
      </w:r>
      <w:r>
        <w:br/>
      </w:r>
      <w:r>
        <w:br/>
      </w:r>
      <w:r>
        <w:rPr>
          <w:rStyle w:val="VerbatimChar"/>
        </w:rPr>
        <w:t xml:space="preserve">AxeAnalytique (🟠) — id, entreprise_id, type (centre_cout, projet, agence, client…), libelle</w:t>
      </w:r>
      <w:r>
        <w:br/>
      </w:r>
      <w:r>
        <w:br/>
      </w:r>
      <w:r>
        <w:rPr>
          <w:rStyle w:val="VerbatimChar"/>
        </w:rPr>
        <w:t xml:space="preserve">VentilationAnalytique (🟠) — id, ecriture_ligne_id, axe_analytique_id, montant, pourcentage</w:t>
      </w:r>
      <w:r>
        <w:br/>
      </w:r>
      <w:r>
        <w:br/>
      </w:r>
      <w:r>
        <w:rPr>
          <w:rStyle w:val="VerbatimChar"/>
        </w:rPr>
        <w:t xml:space="preserve">Budget (🟠) — id, entreprise_id, exercice, compte_id ou axe_analytique_id, montant_prevu</w:t>
      </w:r>
      <w:r>
        <w:br/>
      </w:r>
      <w:r>
        <w:br/>
      </w:r>
      <w:r>
        <w:rPr>
          <w:rStyle w:val="VerbatimChar"/>
        </w:rPr>
        <w:t xml:space="preserve">ProfilProfessionnel (Marketplace, 🟢) — id, utilisateur_id, type, domaine_expertise,</w:t>
      </w:r>
      <w:r>
        <w:br/>
      </w:r>
      <w:r>
        <w:rPr>
          <w:rStyle w:val="VerbatimChar"/>
        </w:rPr>
        <w:t xml:space="preserve"> disponibilité, documents_professionnels, statut_vérification</w:t>
      </w:r>
      <w:r>
        <w:br/>
      </w:r>
      <w:r>
        <w:rPr>
          <w:rStyle w:val="VerbatimChar"/>
        </w:rPr>
        <w:t xml:space="preserve"> — relations N-N vers Entreprise via Affectation</w:t>
      </w:r>
      <w:r>
        <w:br/>
      </w:r>
      <w:r>
        <w:br/>
      </w:r>
      <w:r>
        <w:rPr>
          <w:rStyle w:val="VerbatimChar"/>
        </w:rPr>
        <w:t xml:space="preserve">Abonnement / Pack (🟢) — id, entreprise_id, type de pack, services_inclus, date_début,</w:t>
      </w:r>
      <w:r>
        <w:br/>
      </w:r>
      <w:r>
        <w:rPr>
          <w:rStyle w:val="VerbatimChar"/>
        </w:rPr>
        <w:t xml:space="preserve"> date_fin, statut, facturation_liée</w:t>
      </w:r>
      <w:r>
        <w:br/>
      </w:r>
      <w:r>
        <w:br/>
      </w:r>
      <w:r>
        <w:rPr>
          <w:rStyle w:val="VerbatimChar"/>
        </w:rPr>
        <w:t xml:space="preserve">PasseportEntreprise (🟢) — id, entreprise_id, date_génération, contenu (synthèse identité +</w:t>
      </w:r>
      <w:r>
        <w:br/>
      </w:r>
      <w:r>
        <w:rPr>
          <w:rStyle w:val="VerbatimChar"/>
        </w:rPr>
        <w:t xml:space="preserve"> conformité + performance)</w:t>
      </w:r>
      <w:r>
        <w:br/>
      </w:r>
      <w:r>
        <w:br/>
      </w:r>
      <w:r>
        <w:rPr>
          <w:rStyle w:val="VerbatimChar"/>
        </w:rPr>
        <w:t xml:space="preserve">ScoreConformité (🟢) — alimenté par : documents à jour, échéances respectées,</w:t>
      </w:r>
      <w:r>
        <w:br/>
      </w:r>
      <w:r>
        <w:rPr>
          <w:rStyle w:val="VerbatimChar"/>
        </w:rPr>
        <w:t xml:space="preserve"> plan d'action soldés</w:t>
      </w:r>
      <w:r>
        <w:br/>
      </w:r>
      <w:r>
        <w:br/>
      </w:r>
      <w:r>
        <w:rPr>
          <w:rStyle w:val="VerbatimChar"/>
        </w:rPr>
        <w:t xml:space="preserve">IAAction (🟠) — id, entreprise_id, utilisateur_id, module, type_proposition, donnees_entree,</w:t>
      </w:r>
      <w:r>
        <w:br/>
      </w:r>
      <w:r>
        <w:rPr>
          <w:rStyle w:val="VerbatimChar"/>
        </w:rPr>
        <w:t xml:space="preserve"> proposition, statut (proposée/validée/rejetée/modifiée), valide_par, date</w:t>
      </w:r>
      <w:r>
        <w:br/>
      </w:r>
      <w:r>
        <w:rPr>
          <w:rStyle w:val="VerbatimChar"/>
        </w:rPr>
        <w:t xml:space="preserve"> — journal exhaustif de toute intervention IA, socle de l'explicabilité (Partie 13.6)</w:t>
      </w:r>
    </w:p>
    <w:bookmarkEnd w:id="117"/>
    <w:bookmarkStart w:id="118" w:name="X29c5e26b511c6345ea13504781bb4b020b0d9b4"/>
    <w:p>
      <w:pPr>
        <w:pStyle w:val="Heading3"/>
      </w:pPr>
      <w:r>
        <w:t xml:space="preserve">29.3 Règle d’isolation des données (rappel, inchangée et étendue)</w:t>
      </w:r>
    </w:p>
    <w:p>
      <w:pPr>
        <w:pStyle w:val="FirstParagraph"/>
      </w:pPr>
      <w:r>
        <w:t xml:space="preserve">🟢[Document] Toute requête applicative reste scopée par</w:t>
      </w:r>
      <w:r>
        <w:t xml:space="preserve"> </w:t>
      </w:r>
      <w:r>
        <w:rPr>
          <w:rStyle w:val="VerbatimChar"/>
        </w:rPr>
        <w:t xml:space="preserve">entreprise_id</w:t>
      </w:r>
      <w:r>
        <w:t xml:space="preserve">, croisée avec</w:t>
      </w:r>
      <w:r>
        <w:t xml:space="preserve"> </w:t>
      </w:r>
      <w:r>
        <w:rPr>
          <w:rStyle w:val="VerbatimChar"/>
        </w:rPr>
        <w:t xml:space="preserve">Affectation</w:t>
      </w:r>
      <w:r>
        <w:t xml:space="preserve"> </w:t>
      </w:r>
      <w:r>
        <w:t xml:space="preserve">— cette règle s’applique à toutes les entités ci-dessus, y compris les nouvelles entités comptables, fiscales et la Marketplace : un professionnel indépendant ou un comptable du pool GEL ne voit que les entreprises pour lesquelles il a une</w:t>
      </w:r>
      <w:r>
        <w:t xml:space="preserve"> </w:t>
      </w:r>
      <w:r>
        <w:rPr>
          <w:rStyle w:val="VerbatimChar"/>
        </w:rPr>
        <w:t xml:space="preserve">Affectation</w:t>
      </w:r>
      <w:r>
        <w:t xml:space="preserve"> </w:t>
      </w:r>
      <w:r>
        <w:t xml:space="preserve">active.</w:t>
      </w:r>
    </w:p>
    <w:bookmarkEnd w:id="118"/>
    <w:bookmarkEnd w:id="119"/>
    <w:bookmarkStart w:id="127" w:name="workflows-globaux"/>
    <w:p>
      <w:pPr>
        <w:pStyle w:val="Heading2"/>
      </w:pPr>
      <w:r>
        <w:t xml:space="preserve">30. Workflows globaux</w:t>
      </w:r>
    </w:p>
    <w:bookmarkStart w:id="120" w:name="Xd692d223b2286a2681885056e38a208890a518f"/>
    <w:p>
      <w:pPr>
        <w:pStyle w:val="Heading3"/>
      </w:pPr>
      <w:r>
        <w:t xml:space="preserve">30.1 Traitement standard d’une demande (workflow générique transversal)</w:t>
      </w:r>
    </w:p>
    <w:p>
      <w:pPr>
        <w:pStyle w:val="FirstParagraph"/>
      </w:pPr>
      <w:r>
        <w:t xml:space="preserve">🟢[Document]</w:t>
      </w:r>
    </w:p>
    <w:p>
      <w:pPr>
        <w:pStyle w:val="SourceCode"/>
      </w:pPr>
      <w:r>
        <w:rPr>
          <w:rStyle w:val="VerbatimChar"/>
        </w:rPr>
        <w:t xml:space="preserve">Entreprise (dépose une demande/document)</w:t>
      </w:r>
      <w:r>
        <w:br/>
      </w:r>
      <w:r>
        <w:rPr>
          <w:rStyle w:val="VerbatimChar"/>
        </w:rPr>
        <w:t xml:space="preserve"> → Notification → Secrétaire → Traitement → Comptable (si nécessaire) → Validation</w:t>
      </w:r>
      <w:r>
        <w:br/>
      </w:r>
      <w:r>
        <w:rPr>
          <w:rStyle w:val="VerbatimChar"/>
        </w:rPr>
        <w:t xml:space="preserve"> → Rapport → Archivage → Notification client</w:t>
      </w:r>
    </w:p>
    <w:p>
      <w:pPr>
        <w:pStyle w:val="FirstParagraph"/>
      </w:pPr>
      <w:r>
        <w:t xml:space="preserve">Ce workflow générique se spécialise en workflow Courrier, workflow Comptable ou workflow Conformité selon la nature de la demande. Toutes les étapes sont historisées.</w:t>
      </w:r>
    </w:p>
    <w:bookmarkEnd w:id="120"/>
    <w:bookmarkStart w:id="121" w:name="X188e2300433067178754ef1f68b756e49201f28"/>
    <w:p>
      <w:pPr>
        <w:pStyle w:val="Heading3"/>
      </w:pPr>
      <w:r>
        <w:t xml:space="preserve">30.2 Gestion des demandes clients (espace interne, sans compte autonome)</w:t>
      </w:r>
    </w:p>
    <w:p>
      <w:pPr>
        <w:pStyle w:val="FirstParagraph"/>
      </w:pPr>
      <w:r>
        <w:t xml:space="preserve">🟢[Document] Point de cadrage important :</w:t>
      </w:r>
      <w:r>
        <w:t xml:space="preserve"> </w:t>
      </w:r>
      <w:r>
        <w:rPr>
          <w:bCs/>
          <w:b/>
        </w:rPr>
        <w:t xml:space="preserve">GEL n’a pas pour objectif de créer un portail public</w:t>
      </w:r>
      <w:r>
        <w:t xml:space="preserve"> </w:t>
      </w:r>
      <w:r>
        <w:t xml:space="preserve">où les clients finaux de chaque entreprise créent un compte et interagissent de façon autonome. Le mécanisme retenu est un simple point d’entrée :</w:t>
      </w:r>
    </w:p>
    <w:p>
      <w:pPr>
        <w:numPr>
          <w:ilvl w:val="0"/>
          <w:numId w:val="1041"/>
        </w:numPr>
        <w:pStyle w:val="Compact"/>
      </w:pPr>
      <w:r>
        <w:t xml:space="preserve">Formulaire léger (nom, contact, objet, pièce jointe), sans création de compte ni mot de passe.</w:t>
      </w:r>
    </w:p>
    <w:p>
      <w:pPr>
        <w:numPr>
          <w:ilvl w:val="0"/>
          <w:numId w:val="1041"/>
        </w:numPr>
        <w:pStyle w:val="Compact"/>
      </w:pPr>
      <w:r>
        <w:t xml:space="preserve">Types de demande personnalisables par l’entreprise (« Demander un devis », « Signaler un problème », « Question sur une facture »).</w:t>
      </w:r>
    </w:p>
    <w:p>
      <w:pPr>
        <w:numPr>
          <w:ilvl w:val="0"/>
          <w:numId w:val="1041"/>
        </w:numPr>
        <w:pStyle w:val="Compact"/>
      </w:pPr>
      <w:r>
        <w:t xml:space="preserve">Confirmation de réception par email, sans accès à un espace de suivi personnel.</w:t>
      </w:r>
    </w:p>
    <w:p>
      <w:pPr>
        <w:numPr>
          <w:ilvl w:val="0"/>
          <w:numId w:val="1041"/>
        </w:numPr>
        <w:pStyle w:val="Compact"/>
      </w:pPr>
      <w:r>
        <w:t xml:space="preserve">La demande arrive directement dans le compte GEL de l’entreprise concernée (module Tâches ou file « Demandes clients »), traitée par le personnel affecté comme un courrier ou une tâche interne.</w:t>
      </w:r>
    </w:p>
    <w:p>
      <w:pPr>
        <w:numPr>
          <w:ilvl w:val="0"/>
          <w:numId w:val="1041"/>
        </w:numPr>
        <w:pStyle w:val="Compact"/>
      </w:pPr>
      <w:r>
        <w:t xml:space="preserve">Aucune donnée du client final n’est stockée dans un compte lui appartenant en propre.</w:t>
      </w:r>
    </w:p>
    <w:bookmarkEnd w:id="121"/>
    <w:bookmarkStart w:id="122" w:name="workflow-courrier-entrant-détaillé"/>
    <w:p>
      <w:pPr>
        <w:pStyle w:val="Heading3"/>
      </w:pPr>
      <w:r>
        <w:t xml:space="preserve">30.3 Workflow Courrier entrant (détaillé)</w:t>
      </w:r>
    </w:p>
    <w:p>
      <w:pPr>
        <w:pStyle w:val="FirstParagraph"/>
      </w:pPr>
      <w:r>
        <w:t xml:space="preserve">🟢[Document]</w:t>
      </w:r>
    </w:p>
    <w:p>
      <w:pPr>
        <w:pStyle w:val="SourceCode"/>
      </w:pPr>
      <w:r>
        <w:rPr>
          <w:rStyle w:val="VerbatimChar"/>
        </w:rPr>
        <w:t xml:space="preserve">[Réception] → [Enregistrement] (numéro auto, date, expéditeur, objet, catégorie, priorité)</w:t>
      </w:r>
      <w:r>
        <w:br/>
      </w:r>
      <w:r>
        <w:rPr>
          <w:rStyle w:val="VerbatimChar"/>
        </w:rPr>
        <w:t xml:space="preserve"> → [Affectation] → [Traitement] ── besoin comptable ? ──► [Transmission comptable]</w:t>
      </w:r>
      <w:r>
        <w:br/>
      </w:r>
      <w:r>
        <w:rPr>
          <w:rStyle w:val="VerbatimChar"/>
        </w:rPr>
        <w:t xml:space="preserve">      │ "pièce manquante"</w:t>
      </w:r>
      <w:r>
        <w:br/>
      </w:r>
      <w:r>
        <w:rPr>
          <w:rStyle w:val="VerbatimChar"/>
        </w:rPr>
        <w:t xml:space="preserve">      ▼</w:t>
      </w:r>
      <w:r>
        <w:br/>
      </w:r>
      <w:r>
        <w:rPr>
          <w:rStyle w:val="VerbatimChar"/>
        </w:rPr>
        <w:t xml:space="preserve"> [Recherche/complément secrétaire]</w:t>
      </w:r>
      <w:r>
        <w:br/>
      </w:r>
      <w:r>
        <w:rPr>
          <w:rStyle w:val="VerbatimChar"/>
        </w:rPr>
        <w:t xml:space="preserve"> → [Action réalisée] → [Clôture / Archivage]</w:t>
      </w:r>
    </w:p>
    <w:bookmarkEnd w:id="122"/>
    <w:bookmarkStart w:id="123" w:name="workflow-comptable"/>
    <w:p>
      <w:pPr>
        <w:pStyle w:val="Heading3"/>
      </w:pPr>
      <w:r>
        <w:t xml:space="preserve">30.4 Workflow Comptable</w:t>
      </w:r>
    </w:p>
    <w:p>
      <w:pPr>
        <w:pStyle w:val="FirstParagraph"/>
      </w:pPr>
      <w:r>
        <w:t xml:space="preserve">🟢[Document]</w:t>
      </w:r>
    </w:p>
    <w:p>
      <w:pPr>
        <w:pStyle w:val="SourceCode"/>
      </w:pPr>
      <w:r>
        <w:rPr>
          <w:rStyle w:val="VerbatimChar"/>
        </w:rPr>
        <w:t xml:space="preserve">[Pièce comptable reçue] (via Courrier, dépôt direct, ou transmission secrétaire)</w:t>
      </w:r>
      <w:r>
        <w:br/>
      </w:r>
      <w:r>
        <w:rPr>
          <w:rStyle w:val="VerbatimChar"/>
        </w:rPr>
        <w:t xml:space="preserve"> → [Enregistrement PieceComptable] — type, montant, date</w:t>
      </w:r>
      <w:r>
        <w:br/>
      </w:r>
      <w:r>
        <w:rPr>
          <w:rStyle w:val="VerbatimChar"/>
        </w:rPr>
        <w:t xml:space="preserve"> → [Traitement comptable] ── pièce manquante ? ──► [Demande à la secrétaire] (workflow 30.3)</w:t>
      </w:r>
      <w:r>
        <w:br/>
      </w:r>
      <w:r>
        <w:rPr>
          <w:rStyle w:val="VerbatimChar"/>
        </w:rPr>
        <w:t xml:space="preserve">      │ non</w:t>
      </w:r>
      <w:r>
        <w:br/>
      </w:r>
      <w:r>
        <w:rPr>
          <w:rStyle w:val="VerbatimChar"/>
        </w:rPr>
        <w:t xml:space="preserve">      ▼</w:t>
      </w:r>
      <w:r>
        <w:br/>
      </w:r>
      <w:r>
        <w:rPr>
          <w:rStyle w:val="VerbatimChar"/>
        </w:rPr>
        <w:t xml:space="preserve"> [Intégration aux états financiers / trésorerie]</w:t>
      </w:r>
      <w:r>
        <w:br/>
      </w:r>
      <w:r>
        <w:rPr>
          <w:rStyle w:val="VerbatimChar"/>
        </w:rPr>
        <w:t xml:space="preserve"> → [Préparation Déclaration si échéance liée] → suivi via Échéance (rappels, Relance)</w:t>
      </w:r>
      <w:r>
        <w:br/>
      </w:r>
      <w:r>
        <w:rPr>
          <w:rStyle w:val="VerbatimChar"/>
        </w:rPr>
        <w:t xml:space="preserve"> → [Mise à jour du Tableau de Bord GEL® dirigeant]</w:t>
      </w:r>
    </w:p>
    <w:bookmarkEnd w:id="123"/>
    <w:bookmarkStart w:id="124" w:name="workflow-conformité-plan-daction"/>
    <w:p>
      <w:pPr>
        <w:pStyle w:val="Heading3"/>
      </w:pPr>
      <w:r>
        <w:t xml:space="preserve">30.5 Workflow Conformité → Plan d’action</w:t>
      </w:r>
    </w:p>
    <w:p>
      <w:pPr>
        <w:pStyle w:val="FirstParagraph"/>
      </w:pPr>
      <w:r>
        <w:t xml:space="preserve">Voir Partie 25.1.</w:t>
      </w:r>
    </w:p>
    <w:bookmarkEnd w:id="124"/>
    <w:bookmarkStart w:id="125" w:name="X47314d968d7dc8d532b024f1c3fc6793d7efd5c"/>
    <w:p>
      <w:pPr>
        <w:pStyle w:val="Heading3"/>
      </w:pPr>
      <w:r>
        <w:t xml:space="preserve">30.6 Workflow Marketplace — parcours professionnel indépendant</w:t>
      </w:r>
    </w:p>
    <w:p>
      <w:pPr>
        <w:pStyle w:val="FirstParagraph"/>
      </w:pPr>
      <w:r>
        <w:t xml:space="preserve">🟢[Document]</w:t>
      </w:r>
    </w:p>
    <w:p>
      <w:pPr>
        <w:pStyle w:val="SourceCode"/>
      </w:pPr>
      <w:r>
        <w:rPr>
          <w:rStyle w:val="VerbatimChar"/>
        </w:rPr>
        <w:t xml:space="preserve">[Création de compte ProfilProfessionnel] → [Vérification/validation du profil par Admin GEL]</w:t>
      </w:r>
      <w:r>
        <w:br/>
      </w:r>
      <w:r>
        <w:rPr>
          <w:rStyle w:val="VerbatimChar"/>
        </w:rPr>
        <w:t xml:space="preserve"> → [Configuration profil] (expertise, disponibilité) → [Ajout de clients] (Affectation)</w:t>
      </w:r>
      <w:r>
        <w:br/>
      </w:r>
      <w:r>
        <w:rPr>
          <w:rStyle w:val="VerbatimChar"/>
        </w:rPr>
        <w:t xml:space="preserve"> → [Utilisation des modules standard] (documents, agenda, messagerie, rapports)</w:t>
      </w:r>
    </w:p>
    <w:p>
      <w:pPr>
        <w:pStyle w:val="FirstParagraph"/>
      </w:pPr>
      <w:r>
        <w:t xml:space="preserve">La mise en relation automatique (recherche par une entreprise d’un professionnel disponible) est positionnée en Phase 2/3 de la feuille de route (Partie 39) et nécessite un workflow de recherche/filtrage supplémentaire à spécifier à ce moment-là.</w:t>
      </w:r>
    </w:p>
    <w:bookmarkEnd w:id="125"/>
    <w:bookmarkStart w:id="126" w:name="onboarding-client-et-affectation-déquipe"/>
    <w:p>
      <w:pPr>
        <w:pStyle w:val="Heading3"/>
      </w:pPr>
      <w:r>
        <w:t xml:space="preserve">30.7 Onboarding client et affectation d’équipe</w:t>
      </w:r>
    </w:p>
    <w:p>
      <w:pPr>
        <w:pStyle w:val="FirstParagraph"/>
      </w:pPr>
      <w:r>
        <w:t xml:space="preserve">🟢[Document]</w:t>
      </w:r>
    </w:p>
    <w:p>
      <w:pPr>
        <w:pStyle w:val="SourceCode"/>
      </w:pPr>
      <w:r>
        <w:rPr>
          <w:rStyle w:val="VerbatimChar"/>
        </w:rPr>
        <w:t xml:space="preserve">[Création de compte Entreprise]</w:t>
      </w:r>
      <w:r>
        <w:br/>
      </w:r>
      <w:r>
        <w:rPr>
          <w:rStyle w:val="VerbatimChar"/>
        </w:rPr>
        <w:t xml:space="preserve"> → [Génération automatique] — espace sécurisé, coffre-fort, agenda, tableau de bord, messagerie</w:t>
      </w:r>
      <w:r>
        <w:br/>
      </w:r>
      <w:r>
        <w:rPr>
          <w:rStyle w:val="VerbatimChar"/>
        </w:rPr>
        <w:t xml:space="preserve"> → [Choix du pack / Abonnement] — services souhaités (secrétariat, comptabilité, conseil…)</w:t>
      </w:r>
      <w:r>
        <w:br/>
      </w:r>
      <w:r>
        <w:rPr>
          <w:rStyle w:val="VerbatimChar"/>
        </w:rPr>
        <w:t xml:space="preserve"> → [Affectation automatique de l'équipe] — secrétaire, comptable, conseiller selon le pack</w:t>
      </w:r>
      <w:r>
        <w:br/>
      </w:r>
      <w:r>
        <w:rPr>
          <w:rStyle w:val="VerbatimChar"/>
        </w:rPr>
        <w:t xml:space="preserve"> → [Le client est informé] — noms et coordonnées des professionnels affectés</w:t>
      </w:r>
    </w:p>
    <w:bookmarkEnd w:id="126"/>
    <w:bookmarkEnd w:id="127"/>
    <w:bookmarkStart w:id="128" w:name="Xdabdf6cfc3ec7140ae07636bb912ead02946fe9"/>
    <w:p>
      <w:pPr>
        <w:pStyle w:val="Heading2"/>
      </w:pPr>
      <w:r>
        <w:t xml:space="preserve">31. Fiches fonctionnelles détaillées (échantillon représentatif)</w:t>
      </w:r>
    </w:p>
    <w:p>
      <w:pPr>
        <w:pStyle w:val="FirstParagraph"/>
      </w:pPr>
      <w:r>
        <w:t xml:space="preserve">🟠[Proposition complémentaire — format imposé par le prompt maître, Section 19] Format appliqué aux fonctionnalités les plus structurantes du module comptable/fiscal/IA. L’ensemble des fonctionnalités listées dans ce document (~150 au total) devra faire l’objet d’une fiche équivalente lors du cadrage détaillé de chaque sprint ; cet échantillon illustre le niveau de détail attendu.</w:t>
      </w:r>
    </w:p>
    <w:p>
      <w:r>
        <w:pict>
          <v:rect style="width:0;height:1.5pt" o:hralign="center" o:hrstd="t" o:hr="t"/>
        </w:pict>
      </w:r>
    </w:p>
    <w:p>
      <w:pPr>
        <w:pStyle w:val="FirstParagraph"/>
      </w:pPr>
      <w:r>
        <w:rPr>
          <w:bCs/>
          <w:b/>
        </w:rPr>
        <w:t xml:space="preserve">COM-001 — Saisie et validation d’une écriture comptable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t xml:space="preserve">Module / Sous-module</w:t>
            </w:r>
          </w:p>
        </w:tc>
        <w:tc>
          <w:tcPr/>
          <w:p>
            <w:pPr>
              <w:pStyle w:val="Compact"/>
              <w:jc w:val="left"/>
            </w:pPr>
            <w:r>
              <w:t xml:space="preserve">Comptabilité / Écritures</w:t>
            </w:r>
          </w:p>
        </w:tc>
      </w:tr>
      <w:tr>
        <w:tc>
          <w:tcPr/>
          <w:p>
            <w:pPr>
              <w:pStyle w:val="Compact"/>
              <w:jc w:val="left"/>
            </w:pPr>
            <w:r>
              <w:t xml:space="preserve">Objectif</w:t>
            </w:r>
          </w:p>
        </w:tc>
        <w:tc>
          <w:tcPr/>
          <w:p>
            <w:pPr>
              <w:pStyle w:val="Compact"/>
              <w:jc w:val="left"/>
            </w:pPr>
            <w:r>
              <w:t xml:space="preserve">Permettre la saisie manuelle d’une écriture en partie double conforme SYSCOHADA</w:t>
            </w:r>
          </w:p>
        </w:tc>
      </w:tr>
      <w:tr>
        <w:tc>
          <w:tcPr/>
          <w:p>
            <w:pPr>
              <w:pStyle w:val="Compact"/>
              <w:jc w:val="left"/>
            </w:pPr>
            <w:r>
              <w:t xml:space="preserve">Acteurs</w:t>
            </w:r>
          </w:p>
        </w:tc>
        <w:tc>
          <w:tcPr/>
          <w:p>
            <w:pPr>
              <w:pStyle w:val="Compact"/>
              <w:jc w:val="left"/>
            </w:pPr>
            <w:r>
              <w:t xml:space="preserve">Comptable, Comptable senior (validation)</w:t>
            </w:r>
          </w:p>
        </w:tc>
      </w:tr>
      <w:tr>
        <w:tc>
          <w:tcPr/>
          <w:p>
            <w:pPr>
              <w:pStyle w:val="Compact"/>
              <w:jc w:val="left"/>
            </w:pPr>
            <w:r>
              <w:t xml:space="preserve">Prérequis</w:t>
            </w:r>
          </w:p>
        </w:tc>
        <w:tc>
          <w:tcPr/>
          <w:p>
            <w:pPr>
              <w:pStyle w:val="Compact"/>
              <w:jc w:val="left"/>
            </w:pPr>
            <w:r>
              <w:t xml:space="preserve">Journal ouvert, plan comptable chargé pour l’entreprise</w:t>
            </w:r>
          </w:p>
        </w:tc>
      </w:tr>
      <w:tr>
        <w:tc>
          <w:tcPr/>
          <w:p>
            <w:pPr>
              <w:pStyle w:val="Compact"/>
              <w:jc w:val="left"/>
            </w:pPr>
            <w:r>
              <w:t xml:space="preserve">Déclencheur</w:t>
            </w:r>
          </w:p>
        </w:tc>
        <w:tc>
          <w:tcPr/>
          <w:p>
            <w:pPr>
              <w:pStyle w:val="Compact"/>
              <w:jc w:val="left"/>
            </w:pPr>
            <w:r>
              <w:t xml:space="preserve">Action manuelle « Nouvelle entrée de journal »</w:t>
            </w:r>
          </w:p>
        </w:tc>
      </w:tr>
      <w:tr>
        <w:tc>
          <w:tcPr/>
          <w:p>
            <w:pPr>
              <w:pStyle w:val="Compact"/>
              <w:jc w:val="left"/>
            </w:pPr>
            <w:r>
              <w:t xml:space="preserve">Données d’entrée</w:t>
            </w:r>
          </w:p>
        </w:tc>
        <w:tc>
          <w:tcPr/>
          <w:p>
            <w:pPr>
              <w:pStyle w:val="Compact"/>
              <w:jc w:val="left"/>
            </w:pPr>
            <w:r>
              <w:t xml:space="preserve">Journal, date, numéro de pièce, lignes (compte, libellé, débit, crédit)</w:t>
            </w:r>
          </w:p>
        </w:tc>
      </w:tr>
      <w:tr>
        <w:tc>
          <w:tcPr/>
          <w:p>
            <w:pPr>
              <w:pStyle w:val="Compact"/>
              <w:jc w:val="left"/>
            </w:pPr>
            <w:r>
              <w:t xml:space="preserve">Traitement</w:t>
            </w:r>
          </w:p>
        </w:tc>
        <w:tc>
          <w:tcPr/>
          <w:p>
            <w:pPr>
              <w:pStyle w:val="Compact"/>
              <w:jc w:val="left"/>
            </w:pPr>
            <w:r>
              <w:t xml:space="preserve">Vérification de l’équilibre débit = crédit ; contrôle de l’existence des comptes</w:t>
            </w:r>
          </w:p>
        </w:tc>
      </w:tr>
      <w:tr>
        <w:tc>
          <w:tcPr/>
          <w:p>
            <w:pPr>
              <w:pStyle w:val="Compact"/>
              <w:jc w:val="left"/>
            </w:pPr>
            <w:r>
              <w:t xml:space="preserve">Règles métier</w:t>
            </w:r>
          </w:p>
        </w:tc>
        <w:tc>
          <w:tcPr/>
          <w:p>
            <w:pPr>
              <w:pStyle w:val="Compact"/>
              <w:jc w:val="left"/>
            </w:pPr>
            <w:r>
              <w:t xml:space="preserve">Une écriture déséquilibrée ne peut être enregistrée qu’en statut « brouillon »</w:t>
            </w:r>
          </w:p>
        </w:tc>
      </w:tr>
      <w:tr>
        <w:tc>
          <w:tcPr/>
          <w:p>
            <w:pPr>
              <w:pStyle w:val="Compact"/>
              <w:jc w:val="left"/>
            </w:pPr>
            <w:r>
              <w:t xml:space="preserve">Règles comptables</w:t>
            </w:r>
          </w:p>
        </w:tc>
        <w:tc>
          <w:tcPr/>
          <w:p>
            <w:pPr>
              <w:pStyle w:val="Compact"/>
              <w:jc w:val="left"/>
            </w:pPr>
            <w:r>
              <w:t xml:space="preserve">Conformité au plan SYSCOHADA (Partie 10.2) ; interdiction de suppression d’une écriture validée (extourne uniquement, Partie 10.3)</w:t>
            </w:r>
          </w:p>
        </w:tc>
      </w:tr>
      <w:tr>
        <w:tc>
          <w:tcPr/>
          <w:p>
            <w:pPr>
              <w:pStyle w:val="Compact"/>
              <w:jc w:val="left"/>
            </w:pPr>
            <w:r>
              <w:t xml:space="preserve">Règles fiscales</w:t>
            </w:r>
          </w:p>
        </w:tc>
        <w:tc>
          <w:tcPr/>
          <w:p>
            <w:pPr>
              <w:pStyle w:val="Compact"/>
              <w:jc w:val="left"/>
            </w:pPr>
            <w:r>
              <w:t xml:space="preserve">Si une ligne porte sur un compte 44 (TVA), rattachement automatique à la déclaration TVA de la période</w:t>
            </w:r>
          </w:p>
        </w:tc>
      </w:tr>
      <w:tr>
        <w:tc>
          <w:tcPr/>
          <w:p>
            <w:pPr>
              <w:pStyle w:val="Compact"/>
              <w:jc w:val="left"/>
            </w:pPr>
            <w:r>
              <w:t xml:space="preserve">Intervention de l’IA</w:t>
            </w:r>
          </w:p>
        </w:tc>
        <w:tc>
          <w:tcPr/>
          <w:p>
            <w:pPr>
              <w:pStyle w:val="Compact"/>
              <w:jc w:val="left"/>
            </w:pPr>
            <w:r>
              <w:t xml:space="preserve">Proposition de compte/écriture (IA niveau 1/3) sur la base d’un document importé</w:t>
            </w:r>
          </w:p>
        </w:tc>
      </w:tr>
      <w:tr>
        <w:tc>
          <w:tcPr/>
          <w:p>
            <w:pPr>
              <w:pStyle w:val="Compact"/>
              <w:jc w:val="left"/>
            </w:pPr>
            <w:r>
              <w:t xml:space="preserve">Contrôles</w:t>
            </w:r>
          </w:p>
        </w:tc>
        <w:tc>
          <w:tcPr/>
          <w:p>
            <w:pPr>
              <w:pStyle w:val="Compact"/>
              <w:jc w:val="left"/>
            </w:pPr>
            <w:r>
              <w:t xml:space="preserve">Équilibre, existence des comptes, cohérence de la date avec la période comptable ouverte</w:t>
            </w:r>
          </w:p>
        </w:tc>
      </w:tr>
      <w:tr>
        <w:tc>
          <w:tcPr/>
          <w:p>
            <w:pPr>
              <w:pStyle w:val="Compact"/>
              <w:jc w:val="left"/>
            </w:pPr>
            <w:r>
              <w:t xml:space="preserve">Workflow</w:t>
            </w:r>
          </w:p>
        </w:tc>
        <w:tc>
          <w:tcPr/>
          <w:p>
            <w:pPr>
              <w:pStyle w:val="Compact"/>
              <w:jc w:val="left"/>
            </w:pPr>
            <w:r>
              <w:t xml:space="preserve">Saisie → Vérification → Validation → Clôture</w:t>
            </w:r>
          </w:p>
        </w:tc>
      </w:tr>
      <w:tr>
        <w:tc>
          <w:tcPr/>
          <w:p>
            <w:pPr>
              <w:pStyle w:val="Compact"/>
              <w:jc w:val="left"/>
            </w:pPr>
            <w:r>
              <w:t xml:space="preserve">Données de sortie</w:t>
            </w:r>
          </w:p>
        </w:tc>
        <w:tc>
          <w:tcPr/>
          <w:p>
            <w:pPr>
              <w:pStyle w:val="Compact"/>
              <w:jc w:val="left"/>
            </w:pPr>
            <w:r>
              <w:rPr>
                <w:rStyle w:val="VerbatimChar"/>
              </w:rPr>
              <w:t xml:space="preserve">EcritureComptable</w:t>
            </w:r>
            <w:r>
              <w:t xml:space="preserve"> </w:t>
            </w:r>
            <w:r>
              <w:t xml:space="preserve">en base, mise à jour Grand livre et Balance</w:t>
            </w:r>
          </w:p>
        </w:tc>
      </w:tr>
      <w:tr>
        <w:tc>
          <w:tcPr/>
          <w:p>
            <w:pPr>
              <w:pStyle w:val="Compact"/>
              <w:jc w:val="left"/>
            </w:pPr>
            <w:r>
              <w:t xml:space="preserve">Notifications</w:t>
            </w:r>
          </w:p>
        </w:tc>
        <w:tc>
          <w:tcPr/>
          <w:p>
            <w:pPr>
              <w:pStyle w:val="Compact"/>
              <w:jc w:val="left"/>
            </w:pPr>
            <w:r>
              <w:t xml:space="preserve">Notification au Comptable senior si validation requise</w:t>
            </w:r>
          </w:p>
        </w:tc>
      </w:tr>
      <w:tr>
        <w:tc>
          <w:tcPr/>
          <w:p>
            <w:pPr>
              <w:pStyle w:val="Compact"/>
              <w:jc w:val="left"/>
            </w:pPr>
            <w:r>
              <w:t xml:space="preserve">Droits utilisateurs</w:t>
            </w:r>
          </w:p>
        </w:tc>
        <w:tc>
          <w:tcPr/>
          <w:p>
            <w:pPr>
              <w:pStyle w:val="Compact"/>
              <w:jc w:val="left"/>
            </w:pPr>
            <w:r>
              <w:t xml:space="preserve">Créer/Modifier : Comptable ; Valider : Comptable senior/Administrateur</w:t>
            </w:r>
          </w:p>
        </w:tc>
      </w:tr>
      <w:tr>
        <w:tc>
          <w:tcPr/>
          <w:p>
            <w:pPr>
              <w:pStyle w:val="Compact"/>
              <w:jc w:val="left"/>
            </w:pPr>
            <w:r>
              <w:t xml:space="preserve">Traçabilité</w:t>
            </w:r>
          </w:p>
        </w:tc>
        <w:tc>
          <w:tcPr/>
          <w:p>
            <w:pPr>
              <w:pStyle w:val="Compact"/>
              <w:jc w:val="left"/>
            </w:pPr>
            <w:r>
              <w:t xml:space="preserve">Audit trail complet (Partie 25.4)</w:t>
            </w:r>
          </w:p>
        </w:tc>
      </w:tr>
      <w:tr>
        <w:tc>
          <w:tcPr/>
          <w:p>
            <w:pPr>
              <w:pStyle w:val="Compact"/>
              <w:jc w:val="left"/>
            </w:pPr>
            <w:r>
              <w:t xml:space="preserve">Dépendances</w:t>
            </w:r>
          </w:p>
        </w:tc>
        <w:tc>
          <w:tcPr/>
          <w:p>
            <w:pPr>
              <w:pStyle w:val="Compact"/>
              <w:jc w:val="left"/>
            </w:pPr>
            <w:r>
              <w:t xml:space="preserve">Plan comptable (Partie 10.2), Journal</w:t>
            </w:r>
          </w:p>
        </w:tc>
      </w:tr>
      <w:tr>
        <w:tc>
          <w:tcPr/>
          <w:p>
            <w:pPr>
              <w:pStyle w:val="Compact"/>
              <w:jc w:val="left"/>
            </w:pPr>
            <w:r>
              <w:t xml:space="preserve">Priorité</w:t>
            </w:r>
          </w:p>
        </w:tc>
        <w:tc>
          <w:tcPr/>
          <w:p>
            <w:pPr>
              <w:pStyle w:val="Compact"/>
              <w:jc w:val="left"/>
            </w:pPr>
            <w:r>
              <w:rPr>
                <w:bCs/>
                <w:b/>
              </w:rPr>
              <w:t xml:space="preserve">P0</w:t>
            </w:r>
          </w:p>
        </w:tc>
      </w:tr>
      <w:tr>
        <w:tc>
          <w:tcPr/>
          <w:p>
            <w:pPr>
              <w:pStyle w:val="Compact"/>
              <w:jc w:val="left"/>
            </w:pPr>
            <w:r>
              <w:t xml:space="preserve">Critères d’acceptation</w:t>
            </w:r>
          </w:p>
        </w:tc>
        <w:tc>
          <w:tcPr/>
          <w:p>
            <w:pPr>
              <w:pStyle w:val="Compact"/>
              <w:jc w:val="left"/>
            </w:pPr>
            <w:r>
              <w:t xml:space="preserve">Une écriture déséquilibrée est bloquée ; une écriture validée ne peut plus être modifiée directement ; le Grand livre reflète l’écriture en moins de 2 secondes après validation</w:t>
            </w:r>
          </w:p>
        </w:tc>
      </w:tr>
    </w:tbl>
    <w:p>
      <w:r>
        <w:pict>
          <v:rect style="width:0;height:1.5pt" o:hralign="center" o:hrstd="t" o:hr="t"/>
        </w:pict>
      </w:r>
    </w:p>
    <w:p>
      <w:pPr>
        <w:pStyle w:val="FirstParagraph"/>
      </w:pPr>
      <w:r>
        <w:rPr>
          <w:bCs/>
          <w:b/>
        </w:rPr>
        <w:t xml:space="preserve">COM-002 — Clôture assistée d’une période comptable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t xml:space="preserve">Module / Sous-module</w:t>
            </w:r>
          </w:p>
        </w:tc>
        <w:tc>
          <w:tcPr/>
          <w:p>
            <w:pPr>
              <w:pStyle w:val="Compact"/>
              <w:jc w:val="left"/>
            </w:pPr>
            <w:r>
              <w:t xml:space="preserve">Comptabilité / Clôture</w:t>
            </w:r>
          </w:p>
        </w:tc>
      </w:tr>
      <w:tr>
        <w:tc>
          <w:tcPr/>
          <w:p>
            <w:pPr>
              <w:pStyle w:val="Compact"/>
              <w:jc w:val="left"/>
            </w:pPr>
            <w:r>
              <w:t xml:space="preserve">Objectif</w:t>
            </w:r>
          </w:p>
        </w:tc>
        <w:tc>
          <w:tcPr/>
          <w:p>
            <w:pPr>
              <w:pStyle w:val="Compact"/>
              <w:jc w:val="left"/>
            </w:pPr>
            <w:r>
              <w:t xml:space="preserve">Sécuriser la clôture mensuelle/annuelle via la checklist de l’assistant de clôture (Partie 10.8)</w:t>
            </w:r>
          </w:p>
        </w:tc>
      </w:tr>
      <w:tr>
        <w:tc>
          <w:tcPr/>
          <w:p>
            <w:pPr>
              <w:pStyle w:val="Compact"/>
              <w:jc w:val="left"/>
            </w:pPr>
            <w:r>
              <w:t xml:space="preserve">Acteurs</w:t>
            </w:r>
          </w:p>
        </w:tc>
        <w:tc>
          <w:tcPr/>
          <w:p>
            <w:pPr>
              <w:pStyle w:val="Compact"/>
              <w:jc w:val="left"/>
            </w:pPr>
            <w:r>
              <w:t xml:space="preserve">Comptable, Comptable senior</w:t>
            </w:r>
          </w:p>
        </w:tc>
      </w:tr>
      <w:tr>
        <w:tc>
          <w:tcPr/>
          <w:p>
            <w:pPr>
              <w:pStyle w:val="Compact"/>
              <w:jc w:val="left"/>
            </w:pPr>
            <w:r>
              <w:t xml:space="preserve">Prérequis</w:t>
            </w:r>
          </w:p>
        </w:tc>
        <w:tc>
          <w:tcPr/>
          <w:p>
            <w:pPr>
              <w:pStyle w:val="Compact"/>
              <w:jc w:val="left"/>
            </w:pPr>
            <w:r>
              <w:t xml:space="preserve">Toutes les écritures de la période en statut « validée »</w:t>
            </w:r>
          </w:p>
        </w:tc>
      </w:tr>
      <w:tr>
        <w:tc>
          <w:tcPr/>
          <w:p>
            <w:pPr>
              <w:pStyle w:val="Compact"/>
              <w:jc w:val="left"/>
            </w:pPr>
            <w:r>
              <w:t xml:space="preserve">Déclencheur</w:t>
            </w:r>
          </w:p>
        </w:tc>
        <w:tc>
          <w:tcPr/>
          <w:p>
            <w:pPr>
              <w:pStyle w:val="Compact"/>
              <w:jc w:val="left"/>
            </w:pPr>
            <w:r>
              <w:t xml:space="preserve">Action « Lancer la clôture » sur une période</w:t>
            </w:r>
          </w:p>
        </w:tc>
      </w:tr>
      <w:tr>
        <w:tc>
          <w:tcPr/>
          <w:p>
            <w:pPr>
              <w:pStyle w:val="Compact"/>
              <w:jc w:val="left"/>
            </w:pPr>
            <w:r>
              <w:t xml:space="preserve">Données d’entrée</w:t>
            </w:r>
          </w:p>
        </w:tc>
        <w:tc>
          <w:tcPr/>
          <w:p>
            <w:pPr>
              <w:pStyle w:val="Compact"/>
              <w:jc w:val="left"/>
            </w:pPr>
            <w:r>
              <w:t xml:space="preserve">Période à clôturer</w:t>
            </w:r>
          </w:p>
        </w:tc>
      </w:tr>
      <w:tr>
        <w:tc>
          <w:tcPr/>
          <w:p>
            <w:pPr>
              <w:pStyle w:val="Compact"/>
              <w:jc w:val="left"/>
            </w:pPr>
            <w:r>
              <w:t xml:space="preserve">Traitement</w:t>
            </w:r>
          </w:p>
        </w:tc>
        <w:tc>
          <w:tcPr/>
          <w:p>
            <w:pPr>
              <w:pStyle w:val="Compact"/>
              <w:jc w:val="left"/>
            </w:pPr>
            <w:r>
              <w:t xml:space="preserve">Exécution des 12 points de contrôle (Partie 10.8), génération du rapport de clôture</w:t>
            </w:r>
          </w:p>
        </w:tc>
      </w:tr>
      <w:tr>
        <w:tc>
          <w:tcPr/>
          <w:p>
            <w:pPr>
              <w:pStyle w:val="Compact"/>
              <w:jc w:val="left"/>
            </w:pPr>
            <w:r>
              <w:t xml:space="preserve">Règles métier</w:t>
            </w:r>
          </w:p>
        </w:tc>
        <w:tc>
          <w:tcPr/>
          <w:p>
            <w:pPr>
              <w:pStyle w:val="Compact"/>
              <w:jc w:val="left"/>
            </w:pPr>
            <w:r>
              <w:t xml:space="preserve">Blocage de la clôture si un point critique (ex. banque non rapprochée) est en échec</w:t>
            </w:r>
          </w:p>
        </w:tc>
      </w:tr>
      <w:tr>
        <w:tc>
          <w:tcPr/>
          <w:p>
            <w:pPr>
              <w:pStyle w:val="Compact"/>
              <w:jc w:val="left"/>
            </w:pPr>
            <w:r>
              <w:t xml:space="preserve">Règles comptables</w:t>
            </w:r>
          </w:p>
        </w:tc>
        <w:tc>
          <w:tcPr/>
          <w:p>
            <w:pPr>
              <w:pStyle w:val="Compact"/>
              <w:jc w:val="left"/>
            </w:pPr>
            <w:r>
              <w:t xml:space="preserve">Génération des écritures de régularisation proposées (CCA/PCA, amortissements, provisions)</w:t>
            </w:r>
          </w:p>
        </w:tc>
      </w:tr>
      <w:tr>
        <w:tc>
          <w:tcPr/>
          <w:p>
            <w:pPr>
              <w:pStyle w:val="Compact"/>
              <w:jc w:val="left"/>
            </w:pPr>
            <w:r>
              <w:t xml:space="preserve">Règles fiscales</w:t>
            </w:r>
          </w:p>
        </w:tc>
        <w:tc>
          <w:tcPr/>
          <w:p>
            <w:pPr>
              <w:pStyle w:val="Compact"/>
              <w:jc w:val="left"/>
            </w:pPr>
            <w:r>
              <w:t xml:space="preserve">Rapprochement TVA collectée/déductible de la période avec la déclaration correspondante</w:t>
            </w:r>
          </w:p>
        </w:tc>
      </w:tr>
      <w:tr>
        <w:tc>
          <w:tcPr/>
          <w:p>
            <w:pPr>
              <w:pStyle w:val="Compact"/>
              <w:jc w:val="left"/>
            </w:pPr>
            <w:r>
              <w:t xml:space="preserve">Intervention de l’IA</w:t>
            </w:r>
          </w:p>
        </w:tc>
        <w:tc>
          <w:tcPr/>
          <w:p>
            <w:pPr>
              <w:pStyle w:val="Compact"/>
              <w:jc w:val="left"/>
            </w:pPr>
            <w:r>
              <w:t xml:space="preserve">Détection d’anomalies (Partie 13.4), proposition d’écritures de régularisation</w:t>
            </w:r>
          </w:p>
        </w:tc>
      </w:tr>
      <w:tr>
        <w:tc>
          <w:tcPr/>
          <w:p>
            <w:pPr>
              <w:pStyle w:val="Compact"/>
              <w:jc w:val="left"/>
            </w:pPr>
            <w:r>
              <w:t xml:space="preserve">Contrôles</w:t>
            </w:r>
          </w:p>
        </w:tc>
        <w:tc>
          <w:tcPr/>
          <w:p>
            <w:pPr>
              <w:pStyle w:val="Compact"/>
              <w:jc w:val="left"/>
            </w:pPr>
            <w:r>
              <w:t xml:space="preserve">12 points de la checklist de clôture</w:t>
            </w:r>
          </w:p>
        </w:tc>
      </w:tr>
      <w:tr>
        <w:tc>
          <w:tcPr/>
          <w:p>
            <w:pPr>
              <w:pStyle w:val="Compact"/>
              <w:jc w:val="left"/>
            </w:pPr>
            <w:r>
              <w:t xml:space="preserve">Workflow</w:t>
            </w:r>
          </w:p>
        </w:tc>
        <w:tc>
          <w:tcPr/>
          <w:p>
            <w:pPr>
              <w:pStyle w:val="Compact"/>
              <w:jc w:val="left"/>
            </w:pPr>
            <w:r>
              <w:t xml:space="preserve">Contrôle → Régularisation proposée → Validation humaine → Clôture définitive (verrouillage)</w:t>
            </w:r>
          </w:p>
        </w:tc>
      </w:tr>
      <w:tr>
        <w:tc>
          <w:tcPr/>
          <w:p>
            <w:pPr>
              <w:pStyle w:val="Compact"/>
              <w:jc w:val="left"/>
            </w:pPr>
            <w:r>
              <w:t xml:space="preserve">Données de sortie</w:t>
            </w:r>
          </w:p>
        </w:tc>
        <w:tc>
          <w:tcPr/>
          <w:p>
            <w:pPr>
              <w:pStyle w:val="Compact"/>
              <w:jc w:val="left"/>
            </w:pPr>
            <w:r>
              <w:t xml:space="preserve">Période verrouillée en écriture, rapport de clôture, états financiers de la période</w:t>
            </w:r>
          </w:p>
        </w:tc>
      </w:tr>
      <w:tr>
        <w:tc>
          <w:tcPr/>
          <w:p>
            <w:pPr>
              <w:pStyle w:val="Compact"/>
              <w:jc w:val="left"/>
            </w:pPr>
            <w:r>
              <w:t xml:space="preserve">Notifications</w:t>
            </w:r>
          </w:p>
        </w:tc>
        <w:tc>
          <w:tcPr/>
          <w:p>
            <w:pPr>
              <w:pStyle w:val="Compact"/>
              <w:jc w:val="left"/>
            </w:pPr>
            <w:r>
              <w:t xml:space="preserve">Alerte au dirigeant à la clôture réussie (Tableau de Bord GEL®)</w:t>
            </w:r>
          </w:p>
        </w:tc>
      </w:tr>
      <w:tr>
        <w:tc>
          <w:tcPr/>
          <w:p>
            <w:pPr>
              <w:pStyle w:val="Compact"/>
              <w:jc w:val="left"/>
            </w:pPr>
            <w:r>
              <w:t xml:space="preserve">Droits utilisateurs</w:t>
            </w:r>
          </w:p>
        </w:tc>
        <w:tc>
          <w:tcPr/>
          <w:p>
            <w:pPr>
              <w:pStyle w:val="Compact"/>
              <w:jc w:val="left"/>
            </w:pPr>
            <w:r>
              <w:t xml:space="preserve">Comptable senior/Administrateur uniquement</w:t>
            </w:r>
          </w:p>
        </w:tc>
      </w:tr>
      <w:tr>
        <w:tc>
          <w:tcPr/>
          <w:p>
            <w:pPr>
              <w:pStyle w:val="Compact"/>
              <w:jc w:val="left"/>
            </w:pPr>
            <w:r>
              <w:t xml:space="preserve">Traçabilité</w:t>
            </w:r>
          </w:p>
        </w:tc>
        <w:tc>
          <w:tcPr/>
          <w:p>
            <w:pPr>
              <w:pStyle w:val="Compact"/>
              <w:jc w:val="left"/>
            </w:pPr>
            <w:r>
              <w:t xml:space="preserve">Journalisation intégrale (qui a clôturé, quand, avec quelles régularisations)</w:t>
            </w:r>
          </w:p>
        </w:tc>
      </w:tr>
      <w:tr>
        <w:tc>
          <w:tcPr/>
          <w:p>
            <w:pPr>
              <w:pStyle w:val="Compact"/>
              <w:jc w:val="left"/>
            </w:pPr>
            <w:r>
              <w:t xml:space="preserve">Dépendances</w:t>
            </w:r>
          </w:p>
        </w:tc>
        <w:tc>
          <w:tcPr/>
          <w:p>
            <w:pPr>
              <w:pStyle w:val="Compact"/>
              <w:jc w:val="left"/>
            </w:pPr>
            <w:r>
              <w:t xml:space="preserve">COM-001, TRS (rapprochement bancaire), IMM (amortissements), STK (inventaire)</w:t>
            </w:r>
          </w:p>
        </w:tc>
      </w:tr>
      <w:tr>
        <w:tc>
          <w:tcPr/>
          <w:p>
            <w:pPr>
              <w:pStyle w:val="Compact"/>
              <w:jc w:val="left"/>
            </w:pPr>
            <w:r>
              <w:t xml:space="preserve">Priorité</w:t>
            </w:r>
          </w:p>
        </w:tc>
        <w:tc>
          <w:tcPr/>
          <w:p>
            <w:pPr>
              <w:pStyle w:val="Compact"/>
              <w:jc w:val="left"/>
            </w:pPr>
            <w:r>
              <w:rPr>
                <w:bCs/>
                <w:b/>
              </w:rPr>
              <w:t xml:space="preserve">P0</w:t>
            </w:r>
          </w:p>
        </w:tc>
      </w:tr>
      <w:tr>
        <w:tc>
          <w:tcPr/>
          <w:p>
            <w:pPr>
              <w:pStyle w:val="Compact"/>
              <w:jc w:val="left"/>
            </w:pPr>
            <w:r>
              <w:t xml:space="preserve">Critères d’acceptation</w:t>
            </w:r>
          </w:p>
        </w:tc>
        <w:tc>
          <w:tcPr/>
          <w:p>
            <w:pPr>
              <w:pStyle w:val="Compact"/>
              <w:jc w:val="left"/>
            </w:pPr>
            <w:r>
              <w:t xml:space="preserve">Impossible de clôturer si un point critique est en échec ; une période clôturée est verrouillée en écriture (extourne uniquement pour corriger)</w:t>
            </w:r>
          </w:p>
        </w:tc>
      </w:tr>
    </w:tbl>
    <w:p>
      <w:r>
        <w:pict>
          <v:rect style="width:0;height:1.5pt" o:hralign="center" o:hrstd="t" o:hr="t"/>
        </w:pict>
      </w:r>
    </w:p>
    <w:p>
      <w:pPr>
        <w:pStyle w:val="FirstParagraph"/>
      </w:pPr>
      <w:r>
        <w:rPr>
          <w:bCs/>
          <w:b/>
        </w:rPr>
        <w:t xml:space="preserve">FIS-001 — Calcul et déclaration de la TVA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t xml:space="preserve">Module / Sous-module</w:t>
            </w:r>
          </w:p>
        </w:tc>
        <w:tc>
          <w:tcPr/>
          <w:p>
            <w:pPr>
              <w:pStyle w:val="Compact"/>
              <w:jc w:val="left"/>
            </w:pPr>
            <w:r>
              <w:t xml:space="preserve">Fiscalité / Déclarations</w:t>
            </w:r>
          </w:p>
        </w:tc>
      </w:tr>
      <w:tr>
        <w:tc>
          <w:tcPr/>
          <w:p>
            <w:pPr>
              <w:pStyle w:val="Compact"/>
              <w:jc w:val="left"/>
            </w:pPr>
            <w:r>
              <w:t xml:space="preserve">Objectif</w:t>
            </w:r>
          </w:p>
        </w:tc>
        <w:tc>
          <w:tcPr/>
          <w:p>
            <w:pPr>
              <w:pStyle w:val="Compact"/>
              <w:jc w:val="left"/>
            </w:pPr>
            <w:r>
              <w:t xml:space="preserve">Calculer automatiquement la TVA due de la période à partir des écritures comptables</w:t>
            </w:r>
          </w:p>
        </w:tc>
      </w:tr>
      <w:tr>
        <w:tc>
          <w:tcPr/>
          <w:p>
            <w:pPr>
              <w:pStyle w:val="Compact"/>
              <w:jc w:val="left"/>
            </w:pPr>
            <w:r>
              <w:t xml:space="preserve">Acteurs</w:t>
            </w:r>
          </w:p>
        </w:tc>
        <w:tc>
          <w:tcPr/>
          <w:p>
            <w:pPr>
              <w:pStyle w:val="Compact"/>
              <w:jc w:val="left"/>
            </w:pPr>
            <w:r>
              <w:t xml:space="preserve">Comptable, Fiscaliste</w:t>
            </w:r>
          </w:p>
        </w:tc>
      </w:tr>
      <w:tr>
        <w:tc>
          <w:tcPr/>
          <w:p>
            <w:pPr>
              <w:pStyle w:val="Compact"/>
              <w:jc w:val="left"/>
            </w:pPr>
            <w:r>
              <w:t xml:space="preserve">Prérequis</w:t>
            </w:r>
          </w:p>
        </w:tc>
        <w:tc>
          <w:tcPr/>
          <w:p>
            <w:pPr>
              <w:pStyle w:val="Compact"/>
              <w:jc w:val="left"/>
            </w:pPr>
            <w:r>
              <w:t xml:space="preserve">Moteur fiscal paramétré pour le pays de l’entreprise (Partie 11)</w:t>
            </w:r>
          </w:p>
        </w:tc>
      </w:tr>
      <w:tr>
        <w:tc>
          <w:tcPr/>
          <w:p>
            <w:pPr>
              <w:pStyle w:val="Compact"/>
              <w:jc w:val="left"/>
            </w:pPr>
            <w:r>
              <w:t xml:space="preserve">Déclencheur</w:t>
            </w:r>
          </w:p>
        </w:tc>
        <w:tc>
          <w:tcPr/>
          <w:p>
            <w:pPr>
              <w:pStyle w:val="Compact"/>
              <w:jc w:val="left"/>
            </w:pPr>
            <w:r>
              <w:t xml:space="preserve">Échéance périodique (mensuelle, selon régime) ou action manuelle</w:t>
            </w:r>
          </w:p>
        </w:tc>
      </w:tr>
      <w:tr>
        <w:tc>
          <w:tcPr/>
          <w:p>
            <w:pPr>
              <w:pStyle w:val="Compact"/>
              <w:jc w:val="left"/>
            </w:pPr>
            <w:r>
              <w:t xml:space="preserve">Données d’entrée</w:t>
            </w:r>
          </w:p>
        </w:tc>
        <w:tc>
          <w:tcPr/>
          <w:p>
            <w:pPr>
              <w:pStyle w:val="Compact"/>
              <w:jc w:val="left"/>
            </w:pPr>
            <w:r>
              <w:t xml:space="preserve">Écritures des comptes TVA collectée/déductible de la période</w:t>
            </w:r>
          </w:p>
        </w:tc>
      </w:tr>
      <w:tr>
        <w:tc>
          <w:tcPr/>
          <w:p>
            <w:pPr>
              <w:pStyle w:val="Compact"/>
              <w:jc w:val="left"/>
            </w:pPr>
            <w:r>
              <w:t xml:space="preserve">Traitement</w:t>
            </w:r>
          </w:p>
        </w:tc>
        <w:tc>
          <w:tcPr/>
          <w:p>
            <w:pPr>
              <w:pStyle w:val="Compact"/>
              <w:jc w:val="left"/>
            </w:pPr>
            <w:r>
              <w:t xml:space="preserve">Somme des soldes, application de la</w:t>
            </w:r>
            <w:r>
              <w:t xml:space="preserve"> </w:t>
            </w:r>
            <w:r>
              <w:rPr>
                <w:rStyle w:val="VerbatimChar"/>
              </w:rPr>
              <w:t xml:space="preserve">RegleFiscale</w:t>
            </w:r>
            <w:r>
              <w:t xml:space="preserve"> </w:t>
            </w:r>
            <w:r>
              <w:t xml:space="preserve">TVA en vigueur (18 % Bénin 2026)</w:t>
            </w:r>
          </w:p>
        </w:tc>
      </w:tr>
      <w:tr>
        <w:tc>
          <w:tcPr/>
          <w:p>
            <w:pPr>
              <w:pStyle w:val="Compact"/>
              <w:jc w:val="left"/>
            </w:pPr>
            <w:r>
              <w:t xml:space="preserve">Règles métier</w:t>
            </w:r>
          </w:p>
        </w:tc>
        <w:tc>
          <w:tcPr/>
          <w:p>
            <w:pPr>
              <w:pStyle w:val="Compact"/>
              <w:jc w:val="left"/>
            </w:pPr>
            <w:r>
              <w:t xml:space="preserve">Une déclaration ne peut être soumise que si la période comptable est clôturée ou en cours de clôture assistée</w:t>
            </w:r>
          </w:p>
        </w:tc>
      </w:tr>
      <w:tr>
        <w:tc>
          <w:tcPr/>
          <w:p>
            <w:pPr>
              <w:pStyle w:val="Compact"/>
              <w:jc w:val="left"/>
            </w:pPr>
            <w:r>
              <w:t xml:space="preserve">Règles comptables</w:t>
            </w:r>
          </w:p>
        </w:tc>
        <w:tc>
          <w:tcPr/>
          <w:p>
            <w:pPr>
              <w:pStyle w:val="Compact"/>
              <w:jc w:val="left"/>
            </w:pPr>
            <w:r>
              <w:t xml:space="preserve">Cohérence avec le compte 443 (TVA facturée) et 445 (TVA récupérable)</w:t>
            </w:r>
          </w:p>
        </w:tc>
      </w:tr>
      <w:tr>
        <w:tc>
          <w:tcPr/>
          <w:p>
            <w:pPr>
              <w:pStyle w:val="Compact"/>
              <w:jc w:val="left"/>
            </w:pPr>
            <w:r>
              <w:t xml:space="preserve">Règles fiscales</w:t>
            </w:r>
          </w:p>
        </w:tc>
        <w:tc>
          <w:tcPr/>
          <w:p>
            <w:pPr>
              <w:pStyle w:val="Compact"/>
              <w:jc w:val="left"/>
            </w:pPr>
            <w:r>
              <w:t xml:space="preserve">Taux et régime issus du moteur fiscal (Partie 11.2), traçabilité de la règle appliquée</w:t>
            </w:r>
          </w:p>
        </w:tc>
      </w:tr>
      <w:tr>
        <w:tc>
          <w:tcPr/>
          <w:p>
            <w:pPr>
              <w:pStyle w:val="Compact"/>
              <w:jc w:val="left"/>
            </w:pPr>
            <w:r>
              <w:t xml:space="preserve">Intervention de l’IA</w:t>
            </w:r>
          </w:p>
        </w:tc>
        <w:tc>
          <w:tcPr/>
          <w:p>
            <w:pPr>
              <w:pStyle w:val="Compact"/>
              <w:jc w:val="left"/>
            </w:pPr>
            <w:r>
              <w:t xml:space="preserve">Pré-remplissage de la déclaration, détection d’incohérences de taux (Partie 13.3)</w:t>
            </w:r>
          </w:p>
        </w:tc>
      </w:tr>
      <w:tr>
        <w:tc>
          <w:tcPr/>
          <w:p>
            <w:pPr>
              <w:pStyle w:val="Compact"/>
              <w:jc w:val="left"/>
            </w:pPr>
            <w:r>
              <w:t xml:space="preserve">Contrôles</w:t>
            </w:r>
          </w:p>
        </w:tc>
        <w:tc>
          <w:tcPr/>
          <w:p>
            <w:pPr>
              <w:pStyle w:val="Compact"/>
              <w:jc w:val="left"/>
            </w:pPr>
            <w:r>
              <w:t xml:space="preserve">Rapprochement avec le rapprochement bancaire, alerte si TVA à payer négative de façon inhabituelle</w:t>
            </w:r>
          </w:p>
        </w:tc>
      </w:tr>
      <w:tr>
        <w:tc>
          <w:tcPr/>
          <w:p>
            <w:pPr>
              <w:pStyle w:val="Compact"/>
              <w:jc w:val="left"/>
            </w:pPr>
            <w:r>
              <w:t xml:space="preserve">Workflow</w:t>
            </w:r>
          </w:p>
        </w:tc>
        <w:tc>
          <w:tcPr/>
          <w:p>
            <w:pPr>
              <w:pStyle w:val="Compact"/>
              <w:jc w:val="left"/>
            </w:pPr>
            <w:r>
              <w:t xml:space="preserve">Calcul → Vérification IA → Validation humaine → Génération du formulaire → Téléenvoi DGI (Partie 28)</w:t>
            </w:r>
          </w:p>
        </w:tc>
      </w:tr>
      <w:tr>
        <w:tc>
          <w:tcPr/>
          <w:p>
            <w:pPr>
              <w:pStyle w:val="Compact"/>
              <w:jc w:val="left"/>
            </w:pPr>
            <w:r>
              <w:t xml:space="preserve">Données de sortie</w:t>
            </w:r>
          </w:p>
        </w:tc>
        <w:tc>
          <w:tcPr/>
          <w:p>
            <w:pPr>
              <w:pStyle w:val="Compact"/>
              <w:jc w:val="left"/>
            </w:pPr>
            <w:r>
              <w:rPr>
                <w:rStyle w:val="VerbatimChar"/>
              </w:rPr>
              <w:t xml:space="preserve">Declaration</w:t>
            </w:r>
            <w:r>
              <w:t xml:space="preserve"> </w:t>
            </w:r>
            <w:r>
              <w:t xml:space="preserve">en base, échéance de paiement associée</w:t>
            </w:r>
          </w:p>
        </w:tc>
      </w:tr>
      <w:tr>
        <w:tc>
          <w:tcPr/>
          <w:p>
            <w:pPr>
              <w:pStyle w:val="Compact"/>
              <w:jc w:val="left"/>
            </w:pPr>
            <w:r>
              <w:t xml:space="preserve">Notifications</w:t>
            </w:r>
          </w:p>
        </w:tc>
        <w:tc>
          <w:tcPr/>
          <w:p>
            <w:pPr>
              <w:pStyle w:val="Compact"/>
              <w:jc w:val="left"/>
            </w:pPr>
            <w:r>
              <w:t xml:space="preserve">Alerte J-7/J-3/J sur l’échéance</w:t>
            </w:r>
          </w:p>
        </w:tc>
      </w:tr>
      <w:tr>
        <w:tc>
          <w:tcPr/>
          <w:p>
            <w:pPr>
              <w:pStyle w:val="Compact"/>
              <w:jc w:val="left"/>
            </w:pPr>
            <w:r>
              <w:t xml:space="preserve">Droits utilisateurs</w:t>
            </w:r>
          </w:p>
        </w:tc>
        <w:tc>
          <w:tcPr/>
          <w:p>
            <w:pPr>
              <w:pStyle w:val="Compact"/>
              <w:jc w:val="left"/>
            </w:pPr>
            <w:r>
              <w:t xml:space="preserve">Comptable (préparation) ; Administrateur/Fiscaliste (validation finale)</w:t>
            </w:r>
          </w:p>
        </w:tc>
      </w:tr>
      <w:tr>
        <w:tc>
          <w:tcPr/>
          <w:p>
            <w:pPr>
              <w:pStyle w:val="Compact"/>
              <w:jc w:val="left"/>
            </w:pPr>
            <w:r>
              <w:t xml:space="preserve">Traçabilité</w:t>
            </w:r>
          </w:p>
        </w:tc>
        <w:tc>
          <w:tcPr/>
          <w:p>
            <w:pPr>
              <w:pStyle w:val="Compact"/>
              <w:jc w:val="left"/>
            </w:pPr>
            <w:r>
              <w:t xml:space="preserve">Référence de la règle fiscale appliquée conservée sur la déclaration</w:t>
            </w:r>
          </w:p>
        </w:tc>
      </w:tr>
      <w:tr>
        <w:tc>
          <w:tcPr/>
          <w:p>
            <w:pPr>
              <w:pStyle w:val="Compact"/>
              <w:jc w:val="left"/>
            </w:pPr>
            <w:r>
              <w:t xml:space="preserve">Dépendances</w:t>
            </w:r>
          </w:p>
        </w:tc>
        <w:tc>
          <w:tcPr/>
          <w:p>
            <w:pPr>
              <w:pStyle w:val="Compact"/>
              <w:jc w:val="left"/>
            </w:pPr>
            <w:r>
              <w:t xml:space="preserve">Moteur fiscal (Partie 11), écritures comptables (COM-001)</w:t>
            </w:r>
          </w:p>
        </w:tc>
      </w:tr>
      <w:tr>
        <w:tc>
          <w:tcPr/>
          <w:p>
            <w:pPr>
              <w:pStyle w:val="Compact"/>
              <w:jc w:val="left"/>
            </w:pPr>
            <w:r>
              <w:t xml:space="preserve">Priorité</w:t>
            </w:r>
          </w:p>
        </w:tc>
        <w:tc>
          <w:tcPr/>
          <w:p>
            <w:pPr>
              <w:pStyle w:val="Compact"/>
              <w:jc w:val="left"/>
            </w:pPr>
            <w:r>
              <w:rPr>
                <w:bCs/>
                <w:b/>
              </w:rPr>
              <w:t xml:space="preserve">P0</w:t>
            </w:r>
          </w:p>
        </w:tc>
      </w:tr>
      <w:tr>
        <w:tc>
          <w:tcPr/>
          <w:p>
            <w:pPr>
              <w:pStyle w:val="Compact"/>
              <w:jc w:val="left"/>
            </w:pPr>
            <w:r>
              <w:t xml:space="preserve">Critères d’acceptation</w:t>
            </w:r>
          </w:p>
        </w:tc>
        <w:tc>
          <w:tcPr/>
          <w:p>
            <w:pPr>
              <w:pStyle w:val="Compact"/>
              <w:jc w:val="left"/>
            </w:pPr>
            <w:r>
              <w:t xml:space="preserve">Le montant calculé correspond exactement à la règle fiscale en vigueur à la date de la période déclarée, même après une mise à jour ultérieure du taux</w:t>
            </w:r>
          </w:p>
        </w:tc>
      </w:tr>
    </w:tbl>
    <w:p>
      <w:r>
        <w:pict>
          <v:rect style="width:0;height:1.5pt" o:hralign="center" o:hrstd="t" o:hr="t"/>
        </w:pict>
      </w:r>
    </w:p>
    <w:p>
      <w:pPr>
        <w:pStyle w:val="FirstParagraph"/>
      </w:pPr>
      <w:r>
        <w:rPr>
          <w:bCs/>
          <w:b/>
        </w:rPr>
        <w:t xml:space="preserve">IA-001 — Lecture automatique d’une facture (OCR + proposition d’écriture)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t xml:space="preserve">Module / Sous-module</w:t>
            </w:r>
          </w:p>
        </w:tc>
        <w:tc>
          <w:tcPr/>
          <w:p>
            <w:pPr>
              <w:pStyle w:val="Compact"/>
              <w:jc w:val="left"/>
            </w:pPr>
            <w:r>
              <w:t xml:space="preserve">IA / Documentaire et comptable</w:t>
            </w:r>
          </w:p>
        </w:tc>
      </w:tr>
      <w:tr>
        <w:tc>
          <w:tcPr/>
          <w:p>
            <w:pPr>
              <w:pStyle w:val="Compact"/>
              <w:jc w:val="left"/>
            </w:pPr>
            <w:r>
              <w:t xml:space="preserve">Objectif</w:t>
            </w:r>
          </w:p>
        </w:tc>
        <w:tc>
          <w:tcPr/>
          <w:p>
            <w:pPr>
              <w:pStyle w:val="Compact"/>
              <w:jc w:val="left"/>
            </w:pPr>
            <w:r>
              <w:t xml:space="preserve">Réduire le temps de saisie manuelle en proposant une écriture complète à partir d’une facture importée</w:t>
            </w:r>
          </w:p>
        </w:tc>
      </w:tr>
      <w:tr>
        <w:tc>
          <w:tcPr/>
          <w:p>
            <w:pPr>
              <w:pStyle w:val="Compact"/>
              <w:jc w:val="left"/>
            </w:pPr>
            <w:r>
              <w:t xml:space="preserve">Acteurs</w:t>
            </w:r>
          </w:p>
        </w:tc>
        <w:tc>
          <w:tcPr/>
          <w:p>
            <w:pPr>
              <w:pStyle w:val="Compact"/>
              <w:jc w:val="left"/>
            </w:pPr>
            <w:r>
              <w:t xml:space="preserve">Secrétaire (dépôt), Comptable (validation)</w:t>
            </w:r>
          </w:p>
        </w:tc>
      </w:tr>
      <w:tr>
        <w:tc>
          <w:tcPr/>
          <w:p>
            <w:pPr>
              <w:pStyle w:val="Compact"/>
              <w:jc w:val="left"/>
            </w:pPr>
            <w:r>
              <w:t xml:space="preserve">Prérequis</w:t>
            </w:r>
          </w:p>
        </w:tc>
        <w:tc>
          <w:tcPr/>
          <w:p>
            <w:pPr>
              <w:pStyle w:val="Compact"/>
              <w:jc w:val="left"/>
            </w:pPr>
            <w:r>
              <w:t xml:space="preserve">Document image/PDF lisible</w:t>
            </w:r>
          </w:p>
        </w:tc>
      </w:tr>
      <w:tr>
        <w:tc>
          <w:tcPr/>
          <w:p>
            <w:pPr>
              <w:pStyle w:val="Compact"/>
              <w:jc w:val="left"/>
            </w:pPr>
            <w:r>
              <w:t xml:space="preserve">Déclencheur</w:t>
            </w:r>
          </w:p>
        </w:tc>
        <w:tc>
          <w:tcPr/>
          <w:p>
            <w:pPr>
              <w:pStyle w:val="Compact"/>
              <w:jc w:val="left"/>
            </w:pPr>
            <w:r>
              <w:t xml:space="preserve">Import d’un document dans le module Documents ou Dépenses</w:t>
            </w:r>
          </w:p>
        </w:tc>
      </w:tr>
      <w:tr>
        <w:tc>
          <w:tcPr/>
          <w:p>
            <w:pPr>
              <w:pStyle w:val="Compact"/>
              <w:jc w:val="left"/>
            </w:pPr>
            <w:r>
              <w:t xml:space="preserve">Données d’entrée</w:t>
            </w:r>
          </w:p>
        </w:tc>
        <w:tc>
          <w:tcPr/>
          <w:p>
            <w:pPr>
              <w:pStyle w:val="Compact"/>
              <w:jc w:val="left"/>
            </w:pPr>
            <w:r>
              <w:t xml:space="preserve">Fichier facture</w:t>
            </w:r>
          </w:p>
        </w:tc>
      </w:tr>
      <w:tr>
        <w:tc>
          <w:tcPr/>
          <w:p>
            <w:pPr>
              <w:pStyle w:val="Compact"/>
              <w:jc w:val="left"/>
            </w:pPr>
            <w:r>
              <w:t xml:space="preserve">Traitement</w:t>
            </w:r>
          </w:p>
        </w:tc>
        <w:tc>
          <w:tcPr/>
          <w:p>
            <w:pPr>
              <w:pStyle w:val="Compact"/>
              <w:jc w:val="left"/>
            </w:pPr>
            <w:r>
              <w:t xml:space="preserve">OCR → extraction structurée → identification fournisseur → proposition compte/TVA/écriture (Partie 10.9)</w:t>
            </w:r>
          </w:p>
        </w:tc>
      </w:tr>
      <w:tr>
        <w:tc>
          <w:tcPr/>
          <w:p>
            <w:pPr>
              <w:pStyle w:val="Compact"/>
              <w:jc w:val="left"/>
            </w:pPr>
            <w:r>
              <w:t xml:space="preserve">Règles métier</w:t>
            </w:r>
          </w:p>
        </w:tc>
        <w:tc>
          <w:tcPr/>
          <w:p>
            <w:pPr>
              <w:pStyle w:val="Compact"/>
              <w:jc w:val="left"/>
            </w:pPr>
            <w:r>
              <w:t xml:space="preserve">Si le fournisseur est inconnu, création d’une fiche fournisseur proposée en parallèle</w:t>
            </w:r>
          </w:p>
        </w:tc>
      </w:tr>
      <w:tr>
        <w:tc>
          <w:tcPr/>
          <w:p>
            <w:pPr>
              <w:pStyle w:val="Compact"/>
              <w:jc w:val="left"/>
            </w:pPr>
            <w:r>
              <w:t xml:space="preserve">Règles comptables</w:t>
            </w:r>
          </w:p>
        </w:tc>
        <w:tc>
          <w:tcPr/>
          <w:p>
            <w:pPr>
              <w:pStyle w:val="Compact"/>
              <w:jc w:val="left"/>
            </w:pPr>
            <w:r>
              <w:t xml:space="preserve">Le compte proposé doit exister dans le plan SYSCOHADA de l’entreprise</w:t>
            </w:r>
          </w:p>
        </w:tc>
      </w:tr>
      <w:tr>
        <w:tc>
          <w:tcPr/>
          <w:p>
            <w:pPr>
              <w:pStyle w:val="Compact"/>
              <w:jc w:val="left"/>
            </w:pPr>
            <w:r>
              <w:t xml:space="preserve">Règles fiscales</w:t>
            </w:r>
          </w:p>
        </w:tc>
        <w:tc>
          <w:tcPr/>
          <w:p>
            <w:pPr>
              <w:pStyle w:val="Compact"/>
              <w:jc w:val="left"/>
            </w:pPr>
            <w:r>
              <w:t xml:space="preserve">Taux de TVA proposé selon le moteur fiscal ; alerte si le taux extrait diffère du taux légal</w:t>
            </w:r>
          </w:p>
        </w:tc>
      </w:tr>
      <w:tr>
        <w:tc>
          <w:tcPr/>
          <w:p>
            <w:pPr>
              <w:pStyle w:val="Compact"/>
              <w:jc w:val="left"/>
            </w:pPr>
            <w:r>
              <w:t xml:space="preserve">Intervention de l’IA</w:t>
            </w:r>
          </w:p>
        </w:tc>
        <w:tc>
          <w:tcPr/>
          <w:p>
            <w:pPr>
              <w:pStyle w:val="Compact"/>
              <w:jc w:val="left"/>
            </w:pPr>
            <w:r>
              <w:t xml:space="preserve">Cœur de la fonctionnalité — API Anthropic Claude avec contexte RAG (Partie 13.8)</w:t>
            </w:r>
          </w:p>
        </w:tc>
      </w:tr>
      <w:tr>
        <w:tc>
          <w:tcPr/>
          <w:p>
            <w:pPr>
              <w:pStyle w:val="Compact"/>
              <w:jc w:val="left"/>
            </w:pPr>
            <w:r>
              <w:t xml:space="preserve">Contrôles</w:t>
            </w:r>
          </w:p>
        </w:tc>
        <w:tc>
          <w:tcPr/>
          <w:p>
            <w:pPr>
              <w:pStyle w:val="Compact"/>
              <w:jc w:val="left"/>
            </w:pPr>
            <w:r>
              <w:t xml:space="preserve">Détection de doublon (même fournisseur, même montant, même date)</w:t>
            </w:r>
          </w:p>
        </w:tc>
      </w:tr>
      <w:tr>
        <w:tc>
          <w:tcPr/>
          <w:p>
            <w:pPr>
              <w:pStyle w:val="Compact"/>
              <w:jc w:val="left"/>
            </w:pPr>
            <w:r>
              <w:t xml:space="preserve">Workflow</w:t>
            </w:r>
          </w:p>
        </w:tc>
        <w:tc>
          <w:tcPr/>
          <w:p>
            <w:pPr>
              <w:pStyle w:val="Compact"/>
              <w:jc w:val="left"/>
            </w:pPr>
            <w:r>
              <w:t xml:space="preserve">Import → OCR/IA → Proposition → Validation/Modification humaine → Comptabilisation</w:t>
            </w:r>
          </w:p>
        </w:tc>
      </w:tr>
      <w:tr>
        <w:tc>
          <w:tcPr/>
          <w:p>
            <w:pPr>
              <w:pStyle w:val="Compact"/>
              <w:jc w:val="left"/>
            </w:pPr>
            <w:r>
              <w:t xml:space="preserve">Données de sortie</w:t>
            </w:r>
          </w:p>
        </w:tc>
        <w:tc>
          <w:tcPr/>
          <w:p>
            <w:pPr>
              <w:pStyle w:val="Compact"/>
              <w:jc w:val="left"/>
            </w:pPr>
            <w:r>
              <w:rPr>
                <w:rStyle w:val="VerbatimChar"/>
              </w:rPr>
              <w:t xml:space="preserve">EcritureComptable</w:t>
            </w:r>
            <w:r>
              <w:t xml:space="preserve"> </w:t>
            </w:r>
            <w:r>
              <w:t xml:space="preserve">en brouillon,</w:t>
            </w:r>
            <w:r>
              <w:t xml:space="preserve"> </w:t>
            </w:r>
            <w:r>
              <w:rPr>
                <w:rStyle w:val="VerbatimChar"/>
              </w:rPr>
              <w:t xml:space="preserve">IAAction</w:t>
            </w:r>
            <w:r>
              <w:t xml:space="preserve"> </w:t>
            </w:r>
            <w:r>
              <w:t xml:space="preserve">journalisée</w:t>
            </w:r>
          </w:p>
        </w:tc>
      </w:tr>
      <w:tr>
        <w:tc>
          <w:tcPr/>
          <w:p>
            <w:pPr>
              <w:pStyle w:val="Compact"/>
              <w:jc w:val="left"/>
            </w:pPr>
            <w:r>
              <w:t xml:space="preserve">Notifications</w:t>
            </w:r>
          </w:p>
        </w:tc>
        <w:tc>
          <w:tcPr/>
          <w:p>
            <w:pPr>
              <w:pStyle w:val="Compact"/>
              <w:jc w:val="left"/>
            </w:pPr>
            <w:r>
              <w:t xml:space="preserve">Notification au comptable qu’une proposition attend validation</w:t>
            </w:r>
          </w:p>
        </w:tc>
      </w:tr>
      <w:tr>
        <w:tc>
          <w:tcPr/>
          <w:p>
            <w:pPr>
              <w:pStyle w:val="Compact"/>
              <w:jc w:val="left"/>
            </w:pPr>
            <w:r>
              <w:t xml:space="preserve">Droits utilisateurs</w:t>
            </w:r>
          </w:p>
        </w:tc>
        <w:tc>
          <w:tcPr/>
          <w:p>
            <w:pPr>
              <w:pStyle w:val="Compact"/>
              <w:jc w:val="left"/>
            </w:pPr>
            <w:r>
              <w:t xml:space="preserve">Import : Secrétaire/Comptable ; Validation : Comptable</w:t>
            </w:r>
          </w:p>
        </w:tc>
      </w:tr>
      <w:tr>
        <w:tc>
          <w:tcPr/>
          <w:p>
            <w:pPr>
              <w:pStyle w:val="Compact"/>
              <w:jc w:val="left"/>
            </w:pPr>
            <w:r>
              <w:t xml:space="preserve">Traçabilité</w:t>
            </w:r>
          </w:p>
        </w:tc>
        <w:tc>
          <w:tcPr/>
          <w:p>
            <w:pPr>
              <w:pStyle w:val="Compact"/>
              <w:jc w:val="left"/>
            </w:pPr>
            <w:r>
              <w:rPr>
                <w:rStyle w:val="VerbatimChar"/>
              </w:rPr>
              <w:t xml:space="preserve">IAAction</w:t>
            </w:r>
            <w:r>
              <w:t xml:space="preserve"> </w:t>
            </w:r>
            <w:r>
              <w:t xml:space="preserve">conserve la proposition initiale et la correction éventuelle (boucle de rétroaction, Partie 13.8)</w:t>
            </w:r>
          </w:p>
        </w:tc>
      </w:tr>
      <w:tr>
        <w:tc>
          <w:tcPr/>
          <w:p>
            <w:pPr>
              <w:pStyle w:val="Compact"/>
              <w:jc w:val="left"/>
            </w:pPr>
            <w:r>
              <w:t xml:space="preserve">Dépendances</w:t>
            </w:r>
          </w:p>
        </w:tc>
        <w:tc>
          <w:tcPr/>
          <w:p>
            <w:pPr>
              <w:pStyle w:val="Compact"/>
              <w:jc w:val="left"/>
            </w:pPr>
            <w:r>
              <w:t xml:space="preserve">GED (Partie 16), moteur comptable (Partie 10.9), moteur fiscal (Partie 11)</w:t>
            </w:r>
          </w:p>
        </w:tc>
      </w:tr>
      <w:tr>
        <w:tc>
          <w:tcPr/>
          <w:p>
            <w:pPr>
              <w:pStyle w:val="Compact"/>
              <w:jc w:val="left"/>
            </w:pPr>
            <w:r>
              <w:t xml:space="preserve">Priorité</w:t>
            </w:r>
          </w:p>
        </w:tc>
        <w:tc>
          <w:tcPr/>
          <w:p>
            <w:pPr>
              <w:pStyle w:val="Compact"/>
              <w:jc w:val="left"/>
            </w:pPr>
            <w:r>
              <w:rPr>
                <w:bCs/>
                <w:b/>
              </w:rPr>
              <w:t xml:space="preserve">P1</w:t>
            </w:r>
          </w:p>
        </w:tc>
      </w:tr>
      <w:tr>
        <w:tc>
          <w:tcPr/>
          <w:p>
            <w:pPr>
              <w:pStyle w:val="Compact"/>
              <w:jc w:val="left"/>
            </w:pPr>
            <w:r>
              <w:t xml:space="preserve">Critères d’acceptation</w:t>
            </w:r>
          </w:p>
        </w:tc>
        <w:tc>
          <w:tcPr/>
          <w:p>
            <w:pPr>
              <w:pStyle w:val="Compact"/>
              <w:jc w:val="left"/>
            </w:pPr>
            <w:r>
              <w:t xml:space="preserve">Aucune écriture n’est comptabilisée sans validation humaine ; le taux de correction humaine est mesuré pour piloter l’amélioration continue</w:t>
            </w:r>
          </w:p>
        </w:tc>
      </w:tr>
    </w:tbl>
    <w:p>
      <w:r>
        <w:pict>
          <v:rect style="width:0;height:1.5pt" o:hralign="center" o:hrstd="t" o:hr="t"/>
        </w:pict>
      </w:r>
    </w:p>
    <w:p>
      <w:pPr>
        <w:pStyle w:val="FirstParagraph"/>
      </w:pPr>
      <w:r>
        <w:rPr>
          <w:bCs/>
          <w:b/>
        </w:rPr>
        <w:t xml:space="preserve">IMM-001 — Génération automatique du plan d’amortissement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t xml:space="preserve">Module / Sous-module</w:t>
            </w:r>
          </w:p>
        </w:tc>
        <w:tc>
          <w:tcPr/>
          <w:p>
            <w:pPr>
              <w:pStyle w:val="Compact"/>
              <w:jc w:val="left"/>
            </w:pPr>
            <w:r>
              <w:t xml:space="preserve">Immobilisations</w:t>
            </w:r>
          </w:p>
        </w:tc>
      </w:tr>
      <w:tr>
        <w:tc>
          <w:tcPr/>
          <w:p>
            <w:pPr>
              <w:pStyle w:val="Compact"/>
              <w:jc w:val="left"/>
            </w:pPr>
            <w:r>
              <w:t xml:space="preserve">Objectif</w:t>
            </w:r>
          </w:p>
        </w:tc>
        <w:tc>
          <w:tcPr/>
          <w:p>
            <w:pPr>
              <w:pStyle w:val="Compact"/>
              <w:jc w:val="left"/>
            </w:pPr>
            <w:r>
              <w:t xml:space="preserve">Calculer et comptabiliser automatiquement les dotations aux amortissements périodiques</w:t>
            </w:r>
          </w:p>
        </w:tc>
      </w:tr>
      <w:tr>
        <w:tc>
          <w:tcPr/>
          <w:p>
            <w:pPr>
              <w:pStyle w:val="Compact"/>
              <w:jc w:val="left"/>
            </w:pPr>
            <w:r>
              <w:t xml:space="preserve">Acteurs</w:t>
            </w:r>
          </w:p>
        </w:tc>
        <w:tc>
          <w:tcPr/>
          <w:p>
            <w:pPr>
              <w:pStyle w:val="Compact"/>
              <w:jc w:val="left"/>
            </w:pPr>
            <w:r>
              <w:t xml:space="preserve">Comptable</w:t>
            </w:r>
          </w:p>
        </w:tc>
      </w:tr>
      <w:tr>
        <w:tc>
          <w:tcPr/>
          <w:p>
            <w:pPr>
              <w:pStyle w:val="Compact"/>
              <w:jc w:val="left"/>
            </w:pPr>
            <w:r>
              <w:t xml:space="preserve">Prérequis</w:t>
            </w:r>
          </w:p>
        </w:tc>
        <w:tc>
          <w:tcPr/>
          <w:p>
            <w:pPr>
              <w:pStyle w:val="Compact"/>
              <w:jc w:val="left"/>
            </w:pPr>
            <w:r>
              <w:t xml:space="preserve">Immobilisation enregistrée avec date de mise en service, méthode et durée</w:t>
            </w:r>
          </w:p>
        </w:tc>
      </w:tr>
      <w:tr>
        <w:tc>
          <w:tcPr/>
          <w:p>
            <w:pPr>
              <w:pStyle w:val="Compact"/>
              <w:jc w:val="left"/>
            </w:pPr>
            <w:r>
              <w:t xml:space="preserve">Déclencheur</w:t>
            </w:r>
          </w:p>
        </w:tc>
        <w:tc>
          <w:tcPr/>
          <w:p>
            <w:pPr>
              <w:pStyle w:val="Compact"/>
              <w:jc w:val="left"/>
            </w:pPr>
            <w:r>
              <w:t xml:space="preserve">Clôture périodique (COM-002) ou action manuelle</w:t>
            </w:r>
          </w:p>
        </w:tc>
      </w:tr>
      <w:tr>
        <w:tc>
          <w:tcPr/>
          <w:p>
            <w:pPr>
              <w:pStyle w:val="Compact"/>
              <w:jc w:val="left"/>
            </w:pPr>
            <w:r>
              <w:t xml:space="preserve">Données d’entrée</w:t>
            </w:r>
          </w:p>
        </w:tc>
        <w:tc>
          <w:tcPr/>
          <w:p>
            <w:pPr>
              <w:pStyle w:val="Compact"/>
              <w:jc w:val="left"/>
            </w:pPr>
            <w:r>
              <w:t xml:space="preserve">Immobilisation, méthode d’amortissement, durée d’utilité</w:t>
            </w:r>
          </w:p>
        </w:tc>
      </w:tr>
      <w:tr>
        <w:tc>
          <w:tcPr/>
          <w:p>
            <w:pPr>
              <w:pStyle w:val="Compact"/>
              <w:jc w:val="left"/>
            </w:pPr>
            <w:r>
              <w:t xml:space="preserve">Traitement</w:t>
            </w:r>
          </w:p>
        </w:tc>
        <w:tc>
          <w:tcPr/>
          <w:p>
            <w:pPr>
              <w:pStyle w:val="Compact"/>
              <w:jc w:val="left"/>
            </w:pPr>
            <w:r>
              <w:t xml:space="preserve">Calcul de la dotation de la période selon la méthode retenue</w:t>
            </w:r>
          </w:p>
        </w:tc>
      </w:tr>
      <w:tr>
        <w:tc>
          <w:tcPr/>
          <w:p>
            <w:pPr>
              <w:pStyle w:val="Compact"/>
              <w:jc w:val="left"/>
            </w:pPr>
            <w:r>
              <w:t xml:space="preserve">Règles métier</w:t>
            </w:r>
          </w:p>
        </w:tc>
        <w:tc>
          <w:tcPr/>
          <w:p>
            <w:pPr>
              <w:pStyle w:val="Compact"/>
              <w:jc w:val="left"/>
            </w:pPr>
            <w:r>
              <w:t xml:space="preserve">Une immobilisation entièrement amortie reste inscrite au bilan tant qu’elle subsiste dans l’entité</w:t>
            </w:r>
          </w:p>
        </w:tc>
      </w:tr>
      <w:tr>
        <w:tc>
          <w:tcPr/>
          <w:p>
            <w:pPr>
              <w:pStyle w:val="Compact"/>
              <w:jc w:val="left"/>
            </w:pPr>
            <w:r>
              <w:t xml:space="preserve">Règles comptables</w:t>
            </w:r>
          </w:p>
        </w:tc>
        <w:tc>
          <w:tcPr/>
          <w:p>
            <w:pPr>
              <w:pStyle w:val="Compact"/>
              <w:jc w:val="left"/>
            </w:pPr>
            <w:r>
              <w:t xml:space="preserve">Écriture générée : débit 68 (Dotations), crédit 28 (Amortissements) — conforme AUDCIF</w:t>
            </w:r>
          </w:p>
        </w:tc>
      </w:tr>
      <w:tr>
        <w:tc>
          <w:tcPr/>
          <w:p>
            <w:pPr>
              <w:pStyle w:val="Compact"/>
              <w:jc w:val="left"/>
            </w:pPr>
            <w:r>
              <w:t xml:space="preserve">Règles fiscales</w:t>
            </w:r>
          </w:p>
        </w:tc>
        <w:tc>
          <w:tcPr/>
          <w:p>
            <w:pPr>
              <w:pStyle w:val="Compact"/>
              <w:jc w:val="left"/>
            </w:pPr>
            <w:r>
              <w:t xml:space="preserve">Méthodes et durées admises fiscalement selon le pays (</w:t>
            </w:r>
            <w:r>
              <w:rPr>
                <w:rStyle w:val="VerbatimChar"/>
              </w:rPr>
              <w:t xml:space="preserve">RegleFiscale</w:t>
            </w:r>
            <w:r>
              <w:t xml:space="preserve">, Partie 11)</w:t>
            </w:r>
          </w:p>
        </w:tc>
      </w:tr>
      <w:tr>
        <w:tc>
          <w:tcPr/>
          <w:p>
            <w:pPr>
              <w:pStyle w:val="Compact"/>
              <w:jc w:val="left"/>
            </w:pPr>
            <w:r>
              <w:t xml:space="preserve">Intervention de l’IA</w:t>
            </w:r>
          </w:p>
        </w:tc>
        <w:tc>
          <w:tcPr/>
          <w:p>
            <w:pPr>
              <w:pStyle w:val="Compact"/>
              <w:jc w:val="left"/>
            </w:pPr>
            <w:r>
              <w:t xml:space="preserve">Alerte si une immobilisation approche de sa fin d’amortissement ou si un plan est incohérent</w:t>
            </w:r>
          </w:p>
        </w:tc>
      </w:tr>
      <w:tr>
        <w:tc>
          <w:tcPr/>
          <w:p>
            <w:pPr>
              <w:pStyle w:val="Compact"/>
              <w:jc w:val="left"/>
            </w:pPr>
            <w:r>
              <w:t xml:space="preserve">Contrôles</w:t>
            </w:r>
          </w:p>
        </w:tc>
        <w:tc>
          <w:tcPr/>
          <w:p>
            <w:pPr>
              <w:pStyle w:val="Compact"/>
              <w:jc w:val="left"/>
            </w:pPr>
            <w:r>
              <w:t xml:space="preserve">Cohérence entre valeur nette comptable et durée résiduelle</w:t>
            </w:r>
          </w:p>
        </w:tc>
      </w:tr>
      <w:tr>
        <w:tc>
          <w:tcPr/>
          <w:p>
            <w:pPr>
              <w:pStyle w:val="Compact"/>
              <w:jc w:val="left"/>
            </w:pPr>
            <w:r>
              <w:t xml:space="preserve">Workflow</w:t>
            </w:r>
          </w:p>
        </w:tc>
        <w:tc>
          <w:tcPr/>
          <w:p>
            <w:pPr>
              <w:pStyle w:val="Compact"/>
              <w:jc w:val="left"/>
            </w:pPr>
            <w:r>
              <w:t xml:space="preserve">Calcul → Proposition écriture → Validation → Comptabilisation</w:t>
            </w:r>
          </w:p>
        </w:tc>
      </w:tr>
      <w:tr>
        <w:tc>
          <w:tcPr/>
          <w:p>
            <w:pPr>
              <w:pStyle w:val="Compact"/>
              <w:jc w:val="left"/>
            </w:pPr>
            <w:r>
              <w:t xml:space="preserve">Données de sortie</w:t>
            </w:r>
          </w:p>
        </w:tc>
        <w:tc>
          <w:tcPr/>
          <w:p>
            <w:pPr>
              <w:pStyle w:val="Compact"/>
              <w:jc w:val="left"/>
            </w:pPr>
            <w:r>
              <w:rPr>
                <w:rStyle w:val="VerbatimChar"/>
              </w:rPr>
              <w:t xml:space="preserve">PlanAmortissement</w:t>
            </w:r>
            <w:r>
              <w:t xml:space="preserve"> </w:t>
            </w:r>
            <w:r>
              <w:t xml:space="preserve">mis à jour, écriture comptable</w:t>
            </w:r>
          </w:p>
        </w:tc>
      </w:tr>
      <w:tr>
        <w:tc>
          <w:tcPr/>
          <w:p>
            <w:pPr>
              <w:pStyle w:val="Compact"/>
              <w:jc w:val="left"/>
            </w:pPr>
            <w:r>
              <w:t xml:space="preserve">Notifications</w:t>
            </w:r>
          </w:p>
        </w:tc>
        <w:tc>
          <w:tcPr/>
          <w:p>
            <w:pPr>
              <w:pStyle w:val="Compact"/>
              <w:jc w:val="left"/>
            </w:pPr>
            <w:r>
              <w:t xml:space="preserve">Alerte de fin d’amortissement</w:t>
            </w:r>
          </w:p>
        </w:tc>
      </w:tr>
      <w:tr>
        <w:tc>
          <w:tcPr/>
          <w:p>
            <w:pPr>
              <w:pStyle w:val="Compact"/>
              <w:jc w:val="left"/>
            </w:pPr>
            <w:r>
              <w:t xml:space="preserve">Droits utilisateurs</w:t>
            </w:r>
          </w:p>
        </w:tc>
        <w:tc>
          <w:tcPr/>
          <w:p>
            <w:pPr>
              <w:pStyle w:val="Compact"/>
              <w:jc w:val="left"/>
            </w:pPr>
            <w:r>
              <w:t xml:space="preserve">Comptable</w:t>
            </w:r>
          </w:p>
        </w:tc>
      </w:tr>
      <w:tr>
        <w:tc>
          <w:tcPr/>
          <w:p>
            <w:pPr>
              <w:pStyle w:val="Compact"/>
              <w:jc w:val="left"/>
            </w:pPr>
            <w:r>
              <w:t xml:space="preserve">Traçabilité</w:t>
            </w:r>
          </w:p>
        </w:tc>
        <w:tc>
          <w:tcPr/>
          <w:p>
            <w:pPr>
              <w:pStyle w:val="Compact"/>
              <w:jc w:val="left"/>
            </w:pPr>
            <w:r>
              <w:t xml:space="preserve">Historique complet du plan d’amortissement par immobilisation</w:t>
            </w:r>
          </w:p>
        </w:tc>
      </w:tr>
      <w:tr>
        <w:tc>
          <w:tcPr/>
          <w:p>
            <w:pPr>
              <w:pStyle w:val="Compact"/>
              <w:jc w:val="left"/>
            </w:pPr>
            <w:r>
              <w:t xml:space="preserve">Dépendances</w:t>
            </w:r>
          </w:p>
        </w:tc>
        <w:tc>
          <w:tcPr/>
          <w:p>
            <w:pPr>
              <w:pStyle w:val="Compact"/>
              <w:jc w:val="left"/>
            </w:pPr>
            <w:r>
              <w:t xml:space="preserve">COM-001, module Immobilisations (Partie 10.4)</w:t>
            </w:r>
          </w:p>
        </w:tc>
      </w:tr>
      <w:tr>
        <w:tc>
          <w:tcPr/>
          <w:p>
            <w:pPr>
              <w:pStyle w:val="Compact"/>
              <w:jc w:val="left"/>
            </w:pPr>
            <w:r>
              <w:t xml:space="preserve">Priorité</w:t>
            </w:r>
          </w:p>
        </w:tc>
        <w:tc>
          <w:tcPr/>
          <w:p>
            <w:pPr>
              <w:pStyle w:val="Compact"/>
              <w:jc w:val="left"/>
            </w:pPr>
            <w:r>
              <w:rPr>
                <w:bCs/>
                <w:b/>
              </w:rPr>
              <w:t xml:space="preserve">P1</w:t>
            </w:r>
          </w:p>
        </w:tc>
      </w:tr>
      <w:tr>
        <w:tc>
          <w:tcPr/>
          <w:p>
            <w:pPr>
              <w:pStyle w:val="Compact"/>
              <w:jc w:val="left"/>
            </w:pPr>
            <w:r>
              <w:t xml:space="preserve">Critères d’acceptation</w:t>
            </w:r>
          </w:p>
        </w:tc>
        <w:tc>
          <w:tcPr/>
          <w:p>
            <w:pPr>
              <w:pStyle w:val="Compact"/>
              <w:jc w:val="left"/>
            </w:pPr>
            <w:r>
              <w:t xml:space="preserve">La somme des dotations sur la durée d’utilité est égale au coût d’entrée (ou à la valeur amortissable si valeur résiduelle)</w:t>
            </w:r>
          </w:p>
        </w:tc>
      </w:tr>
    </w:tbl>
    <w:p>
      <w:r>
        <w:pict>
          <v:rect style="width:0;height:1.5pt" o:hralign="center" o:hrstd="t" o:hr="t"/>
        </w:pict>
      </w:r>
    </w:p>
    <w:p>
      <w:pPr>
        <w:pStyle w:val="FirstParagraph"/>
      </w:pPr>
      <w:r>
        <w:rPr>
          <w:bCs/>
          <w:b/>
        </w:rPr>
        <w:t xml:space="preserve">TRS-001 — Rapprochement bancaire assisté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t xml:space="preserve">Module / Sous-module</w:t>
            </w:r>
          </w:p>
        </w:tc>
        <w:tc>
          <w:tcPr/>
          <w:p>
            <w:pPr>
              <w:pStyle w:val="Compact"/>
              <w:jc w:val="left"/>
            </w:pPr>
            <w:r>
              <w:t xml:space="preserve">Trésorerie / Banque</w:t>
            </w:r>
          </w:p>
        </w:tc>
      </w:tr>
      <w:tr>
        <w:tc>
          <w:tcPr/>
          <w:p>
            <w:pPr>
              <w:pStyle w:val="Compact"/>
              <w:jc w:val="left"/>
            </w:pPr>
            <w:r>
              <w:t xml:space="preserve">Objectif</w:t>
            </w:r>
          </w:p>
        </w:tc>
        <w:tc>
          <w:tcPr/>
          <w:p>
            <w:pPr>
              <w:pStyle w:val="Compact"/>
              <w:jc w:val="left"/>
            </w:pPr>
            <w:r>
              <w:t xml:space="preserve">Rapprocher automatiquement les transactions bancaires importées avec les écritures comptables</w:t>
            </w:r>
          </w:p>
        </w:tc>
      </w:tr>
      <w:tr>
        <w:tc>
          <w:tcPr/>
          <w:p>
            <w:pPr>
              <w:pStyle w:val="Compact"/>
              <w:jc w:val="left"/>
            </w:pPr>
            <w:r>
              <w:t xml:space="preserve">Acteurs</w:t>
            </w:r>
          </w:p>
        </w:tc>
        <w:tc>
          <w:tcPr/>
          <w:p>
            <w:pPr>
              <w:pStyle w:val="Compact"/>
              <w:jc w:val="left"/>
            </w:pPr>
            <w:r>
              <w:t xml:space="preserve">Comptable</w:t>
            </w:r>
          </w:p>
        </w:tc>
      </w:tr>
      <w:tr>
        <w:tc>
          <w:tcPr/>
          <w:p>
            <w:pPr>
              <w:pStyle w:val="Compact"/>
              <w:jc w:val="left"/>
            </w:pPr>
            <w:r>
              <w:t xml:space="preserve">Prérequis</w:t>
            </w:r>
          </w:p>
        </w:tc>
        <w:tc>
          <w:tcPr/>
          <w:p>
            <w:pPr>
              <w:pStyle w:val="Compact"/>
              <w:jc w:val="left"/>
            </w:pPr>
            <w:r>
              <w:t xml:space="preserve">Relevé bancaire importé, écritures de trésorerie saisies</w:t>
            </w:r>
          </w:p>
        </w:tc>
      </w:tr>
      <w:tr>
        <w:tc>
          <w:tcPr/>
          <w:p>
            <w:pPr>
              <w:pStyle w:val="Compact"/>
              <w:jc w:val="left"/>
            </w:pPr>
            <w:r>
              <w:t xml:space="preserve">Déclencheur</w:t>
            </w:r>
          </w:p>
        </w:tc>
        <w:tc>
          <w:tcPr/>
          <w:p>
            <w:pPr>
              <w:pStyle w:val="Compact"/>
              <w:jc w:val="left"/>
            </w:pPr>
            <w:r>
              <w:t xml:space="preserve">Import d’un relevé ou synchronisation bancaire</w:t>
            </w:r>
          </w:p>
        </w:tc>
      </w:tr>
      <w:tr>
        <w:tc>
          <w:tcPr/>
          <w:p>
            <w:pPr>
              <w:pStyle w:val="Compact"/>
              <w:jc w:val="left"/>
            </w:pPr>
            <w:r>
              <w:t xml:space="preserve">Données d’entrée</w:t>
            </w:r>
          </w:p>
        </w:tc>
        <w:tc>
          <w:tcPr/>
          <w:p>
            <w:pPr>
              <w:pStyle w:val="Compact"/>
              <w:jc w:val="left"/>
            </w:pPr>
            <w:r>
              <w:t xml:space="preserve">Lignes du relevé bancaire, écritures des comptes 52/57</w:t>
            </w:r>
          </w:p>
        </w:tc>
      </w:tr>
      <w:tr>
        <w:tc>
          <w:tcPr/>
          <w:p>
            <w:pPr>
              <w:pStyle w:val="Compact"/>
              <w:jc w:val="left"/>
            </w:pPr>
            <w:r>
              <w:t xml:space="preserve">Traitement</w:t>
            </w:r>
          </w:p>
        </w:tc>
        <w:tc>
          <w:tcPr/>
          <w:p>
            <w:pPr>
              <w:pStyle w:val="Compact"/>
              <w:jc w:val="left"/>
            </w:pPr>
            <w:r>
              <w:t xml:space="preserve">Suggestion automatique de correspondance (montant, date, libellé) par l’IA</w:t>
            </w:r>
          </w:p>
        </w:tc>
      </w:tr>
      <w:tr>
        <w:tc>
          <w:tcPr/>
          <w:p>
            <w:pPr>
              <w:pStyle w:val="Compact"/>
              <w:jc w:val="left"/>
            </w:pPr>
            <w:r>
              <w:t xml:space="preserve">Règles métier</w:t>
            </w:r>
          </w:p>
        </w:tc>
        <w:tc>
          <w:tcPr/>
          <w:p>
            <w:pPr>
              <w:pStyle w:val="Compact"/>
              <w:jc w:val="left"/>
            </w:pPr>
            <w:r>
              <w:t xml:space="preserve">Un rapprochement suggéré doit être validé manuellement avant clôture (COM-002)</w:t>
            </w:r>
          </w:p>
        </w:tc>
      </w:tr>
      <w:tr>
        <w:tc>
          <w:tcPr/>
          <w:p>
            <w:pPr>
              <w:pStyle w:val="Compact"/>
              <w:jc w:val="left"/>
            </w:pPr>
            <w:r>
              <w:t xml:space="preserve">Règles comptables</w:t>
            </w:r>
          </w:p>
        </w:tc>
        <w:tc>
          <w:tcPr/>
          <w:p>
            <w:pPr>
              <w:pStyle w:val="Compact"/>
              <w:jc w:val="left"/>
            </w:pPr>
            <w:r>
              <w:t xml:space="preserve">Les écarts non rapprochés restent visibles jusqu’à leur régularisation</w:t>
            </w:r>
          </w:p>
        </w:tc>
      </w:tr>
      <w:tr>
        <w:tc>
          <w:tcPr/>
          <w:p>
            <w:pPr>
              <w:pStyle w:val="Compact"/>
              <w:jc w:val="left"/>
            </w:pPr>
            <w:r>
              <w:t xml:space="preserve">Règles fiscales</w:t>
            </w:r>
          </w:p>
        </w:tc>
        <w:tc>
          <w:tcPr/>
          <w:p>
            <w:pPr>
              <w:pStyle w:val="Compact"/>
              <w:jc w:val="left"/>
            </w:pPr>
            <w:r>
              <w:t xml:space="preserve">Sans objet direct, sauf impact sur le calcul de trésorerie prévisionnelle fiscale</w:t>
            </w:r>
          </w:p>
        </w:tc>
      </w:tr>
      <w:tr>
        <w:tc>
          <w:tcPr/>
          <w:p>
            <w:pPr>
              <w:pStyle w:val="Compact"/>
              <w:jc w:val="left"/>
            </w:pPr>
            <w:r>
              <w:t xml:space="preserve">Intervention de l’IA</w:t>
            </w:r>
          </w:p>
        </w:tc>
        <w:tc>
          <w:tcPr/>
          <w:p>
            <w:pPr>
              <w:pStyle w:val="Compact"/>
              <w:jc w:val="left"/>
            </w:pPr>
            <w:r>
              <w:t xml:space="preserve">Suggestion de correspondance, détection d’anomalies (Partie 13.4)</w:t>
            </w:r>
          </w:p>
        </w:tc>
      </w:tr>
      <w:tr>
        <w:tc>
          <w:tcPr/>
          <w:p>
            <w:pPr>
              <w:pStyle w:val="Compact"/>
              <w:jc w:val="left"/>
            </w:pPr>
            <w:r>
              <w:t xml:space="preserve">Contrôles</w:t>
            </w:r>
          </w:p>
        </w:tc>
        <w:tc>
          <w:tcPr/>
          <w:p>
            <w:pPr>
              <w:pStyle w:val="Compact"/>
              <w:jc w:val="left"/>
            </w:pPr>
            <w:r>
              <w:t xml:space="preserve">Aucun écart non expliqué ne doit subsister à la clôture (point de contrôle de l’assistant de clôture)</w:t>
            </w:r>
          </w:p>
        </w:tc>
      </w:tr>
      <w:tr>
        <w:tc>
          <w:tcPr/>
          <w:p>
            <w:pPr>
              <w:pStyle w:val="Compact"/>
              <w:jc w:val="left"/>
            </w:pPr>
            <w:r>
              <w:t xml:space="preserve">Workflow</w:t>
            </w:r>
          </w:p>
        </w:tc>
        <w:tc>
          <w:tcPr/>
          <w:p>
            <w:pPr>
              <w:pStyle w:val="Compact"/>
              <w:jc w:val="left"/>
            </w:pPr>
            <w:r>
              <w:t xml:space="preserve">Import → Suggestion IA → Validation humaine → Rapprochement enregistré</w:t>
            </w:r>
          </w:p>
        </w:tc>
      </w:tr>
      <w:tr>
        <w:tc>
          <w:tcPr/>
          <w:p>
            <w:pPr>
              <w:pStyle w:val="Compact"/>
              <w:jc w:val="left"/>
            </w:pPr>
            <w:r>
              <w:t xml:space="preserve">Données de sortie</w:t>
            </w:r>
          </w:p>
        </w:tc>
        <w:tc>
          <w:tcPr/>
          <w:p>
            <w:pPr>
              <w:pStyle w:val="Compact"/>
              <w:jc w:val="left"/>
            </w:pPr>
            <w:r>
              <w:t xml:space="preserve">Statut de rapprochement par ligne bancaire et par écriture</w:t>
            </w:r>
          </w:p>
        </w:tc>
      </w:tr>
      <w:tr>
        <w:tc>
          <w:tcPr/>
          <w:p>
            <w:pPr>
              <w:pStyle w:val="Compact"/>
              <w:jc w:val="left"/>
            </w:pPr>
            <w:r>
              <w:t xml:space="preserve">Notifications</w:t>
            </w:r>
          </w:p>
        </w:tc>
        <w:tc>
          <w:tcPr/>
          <w:p>
            <w:pPr>
              <w:pStyle w:val="Compact"/>
              <w:jc w:val="left"/>
            </w:pPr>
            <w:r>
              <w:t xml:space="preserve">Alerte si écart persistant au-delà d’un délai paramétré</w:t>
            </w:r>
          </w:p>
        </w:tc>
      </w:tr>
      <w:tr>
        <w:tc>
          <w:tcPr/>
          <w:p>
            <w:pPr>
              <w:pStyle w:val="Compact"/>
              <w:jc w:val="left"/>
            </w:pPr>
            <w:r>
              <w:t xml:space="preserve">Droits utilisateurs</w:t>
            </w:r>
          </w:p>
        </w:tc>
        <w:tc>
          <w:tcPr/>
          <w:p>
            <w:pPr>
              <w:pStyle w:val="Compact"/>
              <w:jc w:val="left"/>
            </w:pPr>
            <w:r>
              <w:t xml:space="preserve">Comptable</w:t>
            </w:r>
          </w:p>
        </w:tc>
      </w:tr>
      <w:tr>
        <w:tc>
          <w:tcPr/>
          <w:p>
            <w:pPr>
              <w:pStyle w:val="Compact"/>
              <w:jc w:val="left"/>
            </w:pPr>
            <w:r>
              <w:t xml:space="preserve">Traçabilité</w:t>
            </w:r>
          </w:p>
        </w:tc>
        <w:tc>
          <w:tcPr/>
          <w:p>
            <w:pPr>
              <w:pStyle w:val="Compact"/>
              <w:jc w:val="left"/>
            </w:pPr>
            <w:r>
              <w:t xml:space="preserve">Historique des rapprochements et des validations</w:t>
            </w:r>
          </w:p>
        </w:tc>
      </w:tr>
      <w:tr>
        <w:tc>
          <w:tcPr/>
          <w:p>
            <w:pPr>
              <w:pStyle w:val="Compact"/>
              <w:jc w:val="left"/>
            </w:pPr>
            <w:r>
              <w:t xml:space="preserve">Dépendances</w:t>
            </w:r>
          </w:p>
        </w:tc>
        <w:tc>
          <w:tcPr/>
          <w:p>
            <w:pPr>
              <w:pStyle w:val="Compact"/>
              <w:jc w:val="left"/>
            </w:pPr>
            <w:r>
              <w:t xml:space="preserve">Module Banque (Partie 10.6)</w:t>
            </w:r>
          </w:p>
        </w:tc>
      </w:tr>
      <w:tr>
        <w:tc>
          <w:tcPr/>
          <w:p>
            <w:pPr>
              <w:pStyle w:val="Compact"/>
              <w:jc w:val="left"/>
            </w:pPr>
            <w:r>
              <w:t xml:space="preserve">Priorité</w:t>
            </w:r>
          </w:p>
        </w:tc>
        <w:tc>
          <w:tcPr/>
          <w:p>
            <w:pPr>
              <w:pStyle w:val="Compact"/>
              <w:jc w:val="left"/>
            </w:pPr>
            <w:r>
              <w:rPr>
                <w:bCs/>
                <w:b/>
              </w:rPr>
              <w:t xml:space="preserve">P0</w:t>
            </w:r>
          </w:p>
        </w:tc>
      </w:tr>
      <w:tr>
        <w:tc>
          <w:tcPr/>
          <w:p>
            <w:pPr>
              <w:pStyle w:val="Compact"/>
              <w:jc w:val="left"/>
            </w:pPr>
            <w:r>
              <w:t xml:space="preserve">Critères d’acceptation</w:t>
            </w:r>
          </w:p>
        </w:tc>
        <w:tc>
          <w:tcPr/>
          <w:p>
            <w:pPr>
              <w:pStyle w:val="Compact"/>
              <w:jc w:val="left"/>
            </w:pPr>
            <w:r>
              <w:t xml:space="preserve">100 % des lignes bancaires de la période sont soit rapprochées, soit explicitement identifiées comme écart en attente à la clôture</w:t>
            </w:r>
          </w:p>
        </w:tc>
      </w:tr>
    </w:tbl>
    <w:bookmarkEnd w:id="128"/>
    <w:bookmarkStart w:id="129" w:name="X976bd420c272cb924749b6ab6c6a911315e17f4"/>
    <w:p>
      <w:pPr>
        <w:pStyle w:val="Heading2"/>
      </w:pPr>
      <w:r>
        <w:t xml:space="preserve">32. Règles métier, comptables et fiscales — synthèse</w:t>
      </w:r>
    </w:p>
    <w:p>
      <w:pPr>
        <w:pStyle w:val="FirstParagraph"/>
      </w:pPr>
      <w:r>
        <w:t xml:space="preserve">🟠[Proposition complémentaire — synthèse consolidée exigée par le prompt maître, Section 21]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Règle</w:t>
            </w:r>
          </w:p>
        </w:tc>
        <w:tc>
          <w:tcPr/>
          <w:p>
            <w:pPr>
              <w:pStyle w:val="Compact"/>
              <w:jc w:val="left"/>
            </w:pPr>
            <w:r>
              <w:t xml:space="preserve">Application dans GEL</w:t>
            </w:r>
          </w:p>
        </w:tc>
      </w:tr>
      <w:tr>
        <w:tc>
          <w:tcPr/>
          <w:p>
            <w:pPr>
              <w:pStyle w:val="Compact"/>
              <w:jc w:val="left"/>
            </w:pPr>
            <w:r>
              <w:t xml:space="preserve">1</w:t>
            </w:r>
          </w:p>
        </w:tc>
        <w:tc>
          <w:tcPr/>
          <w:p>
            <w:pPr>
              <w:pStyle w:val="Compact"/>
              <w:jc w:val="left"/>
            </w:pPr>
            <w:r>
              <w:t xml:space="preserve">Ne pas supposer qu’une règle fiscale béninoise s’applique aux autres pays OHADA</w:t>
            </w:r>
          </w:p>
        </w:tc>
        <w:tc>
          <w:tcPr/>
          <w:p>
            <w:pPr>
              <w:pStyle w:val="Compact"/>
              <w:jc w:val="left"/>
            </w:pPr>
            <w:r>
              <w:t xml:space="preserve">Moteur fiscal strictement scopé par</w:t>
            </w:r>
            <w:r>
              <w:t xml:space="preserve"> </w:t>
            </w:r>
            <w:r>
              <w:rPr>
                <w:rStyle w:val="VerbatimChar"/>
              </w:rPr>
              <w:t xml:space="preserve">pays_code</w:t>
            </w:r>
            <w:r>
              <w:t xml:space="preserve"> </w:t>
            </w:r>
            <w:r>
              <w:t xml:space="preserve">(Partie 11)</w:t>
            </w:r>
          </w:p>
        </w:tc>
      </w:tr>
      <w:tr>
        <w:tc>
          <w:tcPr/>
          <w:p>
            <w:pPr>
              <w:pStyle w:val="Compact"/>
              <w:jc w:val="left"/>
            </w:pPr>
            <w:r>
              <w:t xml:space="preserve">2</w:t>
            </w:r>
          </w:p>
        </w:tc>
        <w:tc>
          <w:tcPr/>
          <w:p>
            <w:pPr>
              <w:pStyle w:val="Compact"/>
              <w:jc w:val="left"/>
            </w:pPr>
            <w:r>
              <w:t xml:space="preserve">Les taux fiscaux doivent être paramétrables et versionnés</w:t>
            </w:r>
          </w:p>
        </w:tc>
        <w:tc>
          <w:tcPr/>
          <w:p>
            <w:pPr>
              <w:pStyle w:val="Compact"/>
              <w:jc w:val="left"/>
            </w:pPr>
            <w:r>
              <w:t xml:space="preserve">Objet</w:t>
            </w:r>
            <w:r>
              <w:t xml:space="preserve"> </w:t>
            </w:r>
            <w:r>
              <w:rPr>
                <w:rStyle w:val="VerbatimChar"/>
              </w:rPr>
              <w:t xml:space="preserve">RegleFiscale</w:t>
            </w:r>
            <w:r>
              <w:t xml:space="preserve"> </w:t>
            </w:r>
            <w:r>
              <w:t xml:space="preserve">versionné (Partie 11.2)</w:t>
            </w:r>
          </w:p>
        </w:tc>
      </w:tr>
      <w:tr>
        <w:tc>
          <w:tcPr/>
          <w:p>
            <w:pPr>
              <w:pStyle w:val="Compact"/>
              <w:jc w:val="left"/>
            </w:pPr>
            <w:r>
              <w:t xml:space="preserve">3</w:t>
            </w:r>
          </w:p>
        </w:tc>
        <w:tc>
          <w:tcPr/>
          <w:p>
            <w:pPr>
              <w:pStyle w:val="Compact"/>
              <w:jc w:val="left"/>
            </w:pPr>
            <w:r>
              <w:t xml:space="preserve">La comptabilité reste conforme au référentiel SYSCOHADA même quand l’IA intervient</w:t>
            </w:r>
          </w:p>
        </w:tc>
        <w:tc>
          <w:tcPr/>
          <w:p>
            <w:pPr>
              <w:pStyle w:val="Compact"/>
              <w:jc w:val="left"/>
            </w:pPr>
            <w:r>
              <w:t xml:space="preserve">Toute proposition IA passe par le plan comptable officiel, jamais de compte hors nomenclature (Partie 10.9, 13.1)</w:t>
            </w:r>
          </w:p>
        </w:tc>
      </w:tr>
      <w:tr>
        <w:tc>
          <w:tcPr/>
          <w:p>
            <w:pPr>
              <w:pStyle w:val="Compact"/>
              <w:jc w:val="left"/>
            </w:pPr>
            <w:r>
              <w:t xml:space="preserve">4</w:t>
            </w:r>
          </w:p>
        </w:tc>
        <w:tc>
          <w:tcPr/>
          <w:p>
            <w:pPr>
              <w:pStyle w:val="Compact"/>
              <w:jc w:val="left"/>
            </w:pPr>
            <w:r>
              <w:t xml:space="preserve">L’IA est un assistant contrôlé, jamais une autorité comptable autonome</w:t>
            </w:r>
          </w:p>
        </w:tc>
        <w:tc>
          <w:tcPr/>
          <w:p>
            <w:pPr>
              <w:pStyle w:val="Compact"/>
              <w:jc w:val="left"/>
            </w:pPr>
            <w:r>
              <w:t xml:space="preserve">Validation humaine obligatoire sur toute écriture, déclaration, ou action irréversible (Partie 13.1, 26.1)</w:t>
            </w:r>
          </w:p>
        </w:tc>
      </w:tr>
      <w:tr>
        <w:tc>
          <w:tcPr/>
          <w:p>
            <w:pPr>
              <w:pStyle w:val="Compact"/>
              <w:jc w:val="left"/>
            </w:pPr>
            <w:r>
              <w:t xml:space="preserve">5</w:t>
            </w:r>
          </w:p>
        </w:tc>
        <w:tc>
          <w:tcPr/>
          <w:p>
            <w:pPr>
              <w:pStyle w:val="Compact"/>
              <w:jc w:val="left"/>
            </w:pPr>
            <w:r>
              <w:t xml:space="preserve">Toute automatisation comptable importante prévoit une validation humaine</w:t>
            </w:r>
          </w:p>
        </w:tc>
        <w:tc>
          <w:tcPr/>
          <w:p>
            <w:pPr>
              <w:pStyle w:val="Compact"/>
              <w:jc w:val="left"/>
            </w:pPr>
            <w:r>
              <w:t xml:space="preserve">Constructeur de règles Si/Alors limité aux actions non sensibles ; les actions sensibles restent soumises à validation (Partie 14.1)</w:t>
            </w:r>
          </w:p>
        </w:tc>
      </w:tr>
      <w:tr>
        <w:tc>
          <w:tcPr/>
          <w:p>
            <w:pPr>
              <w:pStyle w:val="Compact"/>
              <w:jc w:val="left"/>
            </w:pPr>
            <w:r>
              <w:t xml:space="preserve">6</w:t>
            </w:r>
          </w:p>
        </w:tc>
        <w:tc>
          <w:tcPr/>
          <w:p>
            <w:pPr>
              <w:pStyle w:val="Compact"/>
              <w:jc w:val="left"/>
            </w:pPr>
            <w:r>
              <w:t xml:space="preserve">Séparation stricte règles comptables / fiscales / internes</w:t>
            </w:r>
          </w:p>
        </w:tc>
        <w:tc>
          <w:tcPr/>
          <w:p>
            <w:pPr>
              <w:pStyle w:val="Compact"/>
              <w:jc w:val="left"/>
            </w:pPr>
            <w:r>
              <w:t xml:space="preserve">Trois couches de règles distinctes (Partie 11.3)</w:t>
            </w:r>
          </w:p>
        </w:tc>
      </w:tr>
      <w:tr>
        <w:tc>
          <w:tcPr/>
          <w:p>
            <w:pPr>
              <w:pStyle w:val="Compact"/>
              <w:jc w:val="left"/>
            </w:pPr>
            <w:r>
              <w:t xml:space="preserve">7</w:t>
            </w:r>
          </w:p>
        </w:tc>
        <w:tc>
          <w:tcPr/>
          <w:p>
            <w:pPr>
              <w:pStyle w:val="Compact"/>
              <w:jc w:val="left"/>
            </w:pPr>
            <w:r>
              <w:t xml:space="preserve">Distinguer ce qui vient des documents, des textes réglementaires, et des propositions</w:t>
            </w:r>
          </w:p>
        </w:tc>
        <w:tc>
          <w:tcPr/>
          <w:p>
            <w:pPr>
              <w:pStyle w:val="Compact"/>
              <w:jc w:val="left"/>
            </w:pPr>
            <w:r>
              <w:t xml:space="preserve">Pastilles 🟢/🔵/🟠 appliquées dans tout ce document</w:t>
            </w:r>
          </w:p>
        </w:tc>
      </w:tr>
      <w:tr>
        <w:tc>
          <w:tcPr/>
          <w:p>
            <w:pPr>
              <w:pStyle w:val="Compact"/>
              <w:jc w:val="left"/>
            </w:pPr>
            <w:r>
              <w:t xml:space="preserve">8</w:t>
            </w:r>
          </w:p>
        </w:tc>
        <w:tc>
          <w:tcPr/>
          <w:p>
            <w:pPr>
              <w:pStyle w:val="Compact"/>
              <w:jc w:val="left"/>
            </w:pPr>
            <w:r>
              <w:t xml:space="preserve">Ne pas supprimer une fonctionnalité importante parce qu’elle apparaît dans un seul document</w:t>
            </w:r>
          </w:p>
        </w:tc>
        <w:tc>
          <w:tcPr/>
          <w:p>
            <w:pPr>
              <w:pStyle w:val="Compact"/>
              <w:jc w:val="left"/>
            </w:pPr>
            <w:r>
              <w:t xml:space="preserve">Toutes les fonctionnalités des deux cahiers source ont été reprises (voir cartographie, Note méthodologique)</w:t>
            </w:r>
          </w:p>
        </w:tc>
      </w:tr>
    </w:tbl>
    <w:bookmarkEnd w:id="129"/>
    <w:bookmarkStart w:id="130" w:name="Xef17aef26470edc4510bd61ce0dfa53bf6366c1"/>
    <w:p>
      <w:pPr>
        <w:pStyle w:val="Heading2"/>
      </w:pPr>
      <w:r>
        <w:t xml:space="preserve">33. Gestion des versions réglementaires (Regulatory Intelligence)</w:t>
      </w:r>
    </w:p>
    <w:p>
      <w:pPr>
        <w:pStyle w:val="FirstParagraph"/>
      </w:pPr>
      <w:r>
        <w:t xml:space="preserve">🟢[Document] Fonctionnalité de</w:t>
      </w:r>
      <w:r>
        <w:t xml:space="preserve"> </w:t>
      </w:r>
      <w:r>
        <w:rPr>
          <w:bCs/>
          <w:b/>
        </w:rPr>
        <w:t xml:space="preserve">veille réglementaire</w:t>
      </w:r>
      <w:r>
        <w:t xml:space="preserve"> </w:t>
      </w:r>
      <w:r>
        <w:t xml:space="preserve">permettant d’identifier les changements concernant : OHADA (évolutions AUDCIF), lois de finances, CGI, obligations déclaratives, taux, seuils, échéances.</w:t>
      </w:r>
    </w:p>
    <w:p>
      <w:pPr>
        <w:pStyle w:val="BodyText"/>
      </w:pPr>
      <w:r>
        <w:t xml:space="preserve">Lorsqu’une réforme intervient, le système doit pouvoir indiquer :</w:t>
      </w:r>
      <w:r>
        <w:t xml:space="preserve"> </w:t>
      </w:r>
      <w:r>
        <w:t xml:space="preserve">- quelles règles changent ;</w:t>
      </w:r>
      <w:r>
        <w:t xml:space="preserve"> </w:t>
      </w:r>
      <w:r>
        <w:t xml:space="preserve">- à partir de quelle date ;</w:t>
      </w:r>
      <w:r>
        <w:t xml:space="preserve"> </w:t>
      </w:r>
      <w:r>
        <w:t xml:space="preserve">- quelles entreprises sont concernées (par pays, par régime) ;</w:t>
      </w:r>
      <w:r>
        <w:t xml:space="preserve"> </w:t>
      </w:r>
      <w:r>
        <w:t xml:space="preserve">- quelles fonctionnalités sont affectées ;</w:t>
      </w:r>
      <w:r>
        <w:t xml:space="preserve"> </w:t>
      </w:r>
      <w:r>
        <w:t xml:space="preserve">- quelles déclarations sont concernées ;</w:t>
      </w:r>
      <w:r>
        <w:t xml:space="preserve"> </w:t>
      </w:r>
      <w:r>
        <w:t xml:space="preserve">- quelles données doivent être adaptées.</w:t>
      </w:r>
    </w:p>
    <w:p>
      <w:pPr>
        <w:pStyle w:val="BodyText"/>
      </w:pPr>
      <w:r>
        <w:t xml:space="preserve">🟠[Proposition complémentaire — mécanisme technique] Concrètement, la veille réglementaire alimente le moteur fiscal (Partie 11) par la création de nouvelles versions de</w:t>
      </w:r>
      <w:r>
        <w:t xml:space="preserve"> </w:t>
      </w:r>
      <w:r>
        <w:rPr>
          <w:rStyle w:val="VerbatimChar"/>
        </w:rPr>
        <w:t xml:space="preserve">RegleFiscale</w:t>
      </w:r>
      <w:r>
        <w:t xml:space="preserve">, avec une phase de</w:t>
      </w:r>
      <w:r>
        <w:t xml:space="preserve"> </w:t>
      </w:r>
      <w:r>
        <w:rPr>
          <w:bCs/>
          <w:b/>
        </w:rPr>
        <w:t xml:space="preserve">validation humaine par un fiscaliste</w:t>
      </w:r>
      <w:r>
        <w:t xml:space="preserve"> </w:t>
      </w:r>
      <w:r>
        <w:t xml:space="preserve">avant que la nouvelle règle ne devienne active à sa date d’entrée en vigueur. Un rapport d’impact est généré automatiquement listant les entreprises concernées par pays/régime, à des fins de communication proactive (exemple d’application directe : les réformes 2026 identifiées en Partie 12.3).</w:t>
      </w:r>
    </w:p>
    <w:bookmarkEnd w:id="130"/>
    <w:bookmarkStart w:id="131" w:name="gouvernance-de-lia"/>
    <w:p>
      <w:pPr>
        <w:pStyle w:val="Heading2"/>
      </w:pPr>
      <w:r>
        <w:t xml:space="preserve">34. Gouvernance de l’IA</w:t>
      </w:r>
    </w:p>
    <w:p>
      <w:pPr>
        <w:pStyle w:val="FirstParagraph"/>
      </w:pPr>
      <w:r>
        <w:t xml:space="preserve">🟢[Document]/🟠[Proposition complémentaire pour la structuration en section dédiée]</w:t>
      </w:r>
    </w:p>
    <w:p>
      <w:pPr>
        <w:numPr>
          <w:ilvl w:val="0"/>
          <w:numId w:val="1042"/>
        </w:numPr>
        <w:pStyle w:val="Compact"/>
      </w:pPr>
      <w:r>
        <w:rPr>
          <w:bCs/>
          <w:b/>
        </w:rPr>
        <w:t xml:space="preserve">Contrôle humain systématique</w:t>
      </w:r>
      <w:r>
        <w:t xml:space="preserve"> </w:t>
      </w:r>
      <w:r>
        <w:t xml:space="preserve">sur toute action comptable, fiscale ou irréversible (Partie 13.1, 26.1).</w:t>
      </w:r>
    </w:p>
    <w:p>
      <w:pPr>
        <w:numPr>
          <w:ilvl w:val="0"/>
          <w:numId w:val="1042"/>
        </w:numPr>
        <w:pStyle w:val="Compact"/>
      </w:pPr>
      <w:r>
        <w:rPr>
          <w:bCs/>
          <w:b/>
        </w:rPr>
        <w:t xml:space="preserve">Explicabilité obligatoire</w:t>
      </w:r>
      <w:r>
        <w:t xml:space="preserve"> </w:t>
      </w:r>
      <w:r>
        <w:t xml:space="preserve">: toute réponse ou proposition de l’IA doit pouvoir être justifiée par les données et règles sur lesquelles elle s’est appuyée (Partie 13.6).</w:t>
      </w:r>
    </w:p>
    <w:p>
      <w:pPr>
        <w:numPr>
          <w:ilvl w:val="0"/>
          <w:numId w:val="1042"/>
        </w:numPr>
        <w:pStyle w:val="Compact"/>
      </w:pPr>
      <w:r>
        <w:rPr>
          <w:bCs/>
          <w:b/>
        </w:rPr>
        <w:t xml:space="preserve">Isolation stricte des données</w:t>
      </w:r>
      <w:r>
        <w:t xml:space="preserve"> </w:t>
      </w:r>
      <w:r>
        <w:t xml:space="preserve">entre entreprises dans le contexte fourni à l’IA (RAG, Partie 13.8).</w:t>
      </w:r>
    </w:p>
    <w:p>
      <w:pPr>
        <w:numPr>
          <w:ilvl w:val="0"/>
          <w:numId w:val="1042"/>
        </w:numPr>
        <w:pStyle w:val="Compact"/>
      </w:pPr>
      <w:r>
        <w:rPr>
          <w:bCs/>
          <w:b/>
        </w:rPr>
        <w:t xml:space="preserve">Interdiction d’hallucination assumée</w:t>
      </w:r>
      <w:r>
        <w:t xml:space="preserve"> </w:t>
      </w:r>
      <w:r>
        <w:t xml:space="preserve">: absence de donnée signalée explicitement plutôt qu’inventée.</w:t>
      </w:r>
    </w:p>
    <w:p>
      <w:pPr>
        <w:numPr>
          <w:ilvl w:val="0"/>
          <w:numId w:val="1042"/>
        </w:numPr>
        <w:pStyle w:val="Compact"/>
      </w:pPr>
      <w:r>
        <w:rPr>
          <w:bCs/>
          <w:b/>
        </w:rPr>
        <w:t xml:space="preserve">Journalisation exhaustive</w:t>
      </w:r>
      <w:r>
        <w:t xml:space="preserve"> </w:t>
      </w:r>
      <w:r>
        <w:t xml:space="preserve">de toute action IA sous la mention « IA ACTION » (entité</w:t>
      </w:r>
      <w:r>
        <w:t xml:space="preserve"> </w:t>
      </w:r>
      <w:r>
        <w:rPr>
          <w:rStyle w:val="VerbatimChar"/>
        </w:rPr>
        <w:t xml:space="preserve">IAAction</w:t>
      </w:r>
      <w:r>
        <w:t xml:space="preserve">, Partie 29.2).</w:t>
      </w:r>
    </w:p>
    <w:p>
      <w:pPr>
        <w:numPr>
          <w:ilvl w:val="0"/>
          <w:numId w:val="1042"/>
        </w:numPr>
        <w:pStyle w:val="Compact"/>
      </w:pPr>
      <w:r>
        <w:rPr>
          <w:bCs/>
          <w:b/>
        </w:rPr>
        <w:t xml:space="preserve">Boucle d’amélioration continue par correction humaine</w:t>
      </w:r>
      <w:r>
        <w:t xml:space="preserve">, jamais par réentraînement du modèle sous-jacent (Partie 13.8).</w:t>
      </w:r>
    </w:p>
    <w:p>
      <w:pPr>
        <w:numPr>
          <w:ilvl w:val="0"/>
          <w:numId w:val="1042"/>
        </w:numPr>
        <w:pStyle w:val="Compact"/>
      </w:pPr>
      <w:r>
        <w:rPr>
          <w:bCs/>
          <w:b/>
        </w:rPr>
        <w:t xml:space="preserve">Facturation séparée et transparente</w:t>
      </w:r>
      <w:r>
        <w:t xml:space="preserve"> </w:t>
      </w:r>
      <w:r>
        <w:t xml:space="preserve">de l’usage IA, avec suivi de coût réel vs facturation (Partie 13.9).</w:t>
      </w:r>
    </w:p>
    <w:p>
      <w:pPr>
        <w:numPr>
          <w:ilvl w:val="0"/>
          <w:numId w:val="1042"/>
        </w:numPr>
        <w:pStyle w:val="Compact"/>
      </w:pPr>
      <w:r>
        <w:t xml:space="preserve">🟠</w:t>
      </w:r>
      <w:r>
        <w:t xml:space="preserve"> </w:t>
      </w:r>
      <w:r>
        <w:rPr>
          <w:bCs/>
          <w:b/>
        </w:rPr>
        <w:t xml:space="preserve">Comité de supervision IA</w:t>
      </w:r>
      <w:r>
        <w:t xml:space="preserve"> </w:t>
      </w:r>
      <w:r>
        <w:t xml:space="preserve">(proposition complémentaire) : revue périodique (trimestrielle) par l’équipe produit et un comptable référent des cas où l’IA a été systématiquement corrigée par les utilisateurs, afin d’identifier les axes d’amélioration du contexte fourni (RAG) ou du prompt système du moteur comptable/fiscal.</w:t>
      </w:r>
    </w:p>
    <w:bookmarkEnd w:id="131"/>
    <w:bookmarkStart w:id="135" w:name="mode-cabinet-mode-institution"/>
    <w:p>
      <w:pPr>
        <w:pStyle w:val="Heading2"/>
      </w:pPr>
      <w:r>
        <w:t xml:space="preserve">35. Mode Cabinet / Mode Institution</w:t>
      </w:r>
    </w:p>
    <w:bookmarkStart w:id="132" w:name="X8a5dd27e2573fa4adef51fb99b9f592055dbeea"/>
    <w:p>
      <w:pPr>
        <w:pStyle w:val="Heading3"/>
      </w:pPr>
      <w:r>
        <w:t xml:space="preserve">35.1 Mode Cabinet (multi-entreprises pour cabinets comptables)</w:t>
      </w:r>
    </w:p>
    <w:p>
      <w:pPr>
        <w:pStyle w:val="FirstParagraph"/>
      </w:pPr>
      <w:r>
        <w:t xml:space="preserve">🟠[Proposition complémentaire — section demandée explicitement par le prompt maître (« Mode Cabinet »), présente en germe dans les deux documents source via le Modèle 3/Marketplace mais jamais formalisée comme mode dédié] Pour les cabinets comptables gérant un portefeuille de clients (au-delà du cas de l’indépendant seul), GEL propose :</w:t>
      </w:r>
    </w:p>
    <w:p>
      <w:pPr>
        <w:numPr>
          <w:ilvl w:val="0"/>
          <w:numId w:val="1043"/>
        </w:numPr>
        <w:pStyle w:val="Compact"/>
      </w:pPr>
      <w:r>
        <w:rPr>
          <w:bCs/>
          <w:b/>
        </w:rPr>
        <w:t xml:space="preserve">Portefeuille clients</w:t>
      </w:r>
      <w:r>
        <w:t xml:space="preserve"> </w:t>
      </w:r>
      <w:r>
        <w:t xml:space="preserve">: vue consolidée de toutes les entreprises gérées par le cabinet, avec indicateurs de risque et d’échéance par client.</w:t>
      </w:r>
    </w:p>
    <w:p>
      <w:pPr>
        <w:numPr>
          <w:ilvl w:val="0"/>
          <w:numId w:val="1043"/>
        </w:numPr>
        <w:pStyle w:val="Compact"/>
      </w:pPr>
      <w:r>
        <w:rPr>
          <w:bCs/>
          <w:b/>
        </w:rPr>
        <w:t xml:space="preserve">Collaborateurs</w:t>
      </w:r>
      <w:r>
        <w:t xml:space="preserve"> </w:t>
      </w:r>
      <w:r>
        <w:t xml:space="preserve">: gestion d’une équipe de comptables/assistants au sein du cabinet, avec affectation par client (réutilise le modèle</w:t>
      </w:r>
      <w:r>
        <w:t xml:space="preserve"> </w:t>
      </w:r>
      <w:r>
        <w:rPr>
          <w:rStyle w:val="VerbatimChar"/>
        </w:rPr>
        <w:t xml:space="preserve">Affectation</w:t>
      </w:r>
      <w:r>
        <w:t xml:space="preserve">).</w:t>
      </w:r>
    </w:p>
    <w:p>
      <w:pPr>
        <w:numPr>
          <w:ilvl w:val="0"/>
          <w:numId w:val="1043"/>
        </w:numPr>
        <w:pStyle w:val="Compact"/>
      </w:pPr>
      <w:r>
        <w:rPr>
          <w:bCs/>
          <w:b/>
        </w:rPr>
        <w:t xml:space="preserve">Tâches et échéances consolidées</w:t>
      </w:r>
      <w:r>
        <w:t xml:space="preserve"> </w:t>
      </w:r>
      <w:r>
        <w:t xml:space="preserve">tous clients confondus, avec vue calendaire globale du cabinet.</w:t>
      </w:r>
    </w:p>
    <w:p>
      <w:pPr>
        <w:numPr>
          <w:ilvl w:val="0"/>
          <w:numId w:val="1043"/>
        </w:numPr>
        <w:pStyle w:val="Compact"/>
      </w:pPr>
      <w:r>
        <w:rPr>
          <w:bCs/>
          <w:b/>
        </w:rPr>
        <w:t xml:space="preserve">Suivi des clôtures</w:t>
      </w:r>
      <w:r>
        <w:t xml:space="preserve"> </w:t>
      </w:r>
      <w:r>
        <w:t xml:space="preserve">: état d’avancement de la clôture de chaque client, en un coup d’œil.</w:t>
      </w:r>
    </w:p>
    <w:p>
      <w:pPr>
        <w:numPr>
          <w:ilvl w:val="0"/>
          <w:numId w:val="1043"/>
        </w:numPr>
        <w:pStyle w:val="Compact"/>
      </w:pPr>
      <w:r>
        <w:rPr>
          <w:bCs/>
          <w:b/>
        </w:rPr>
        <w:t xml:space="preserve">Contrôles et alertes</w:t>
      </w:r>
      <w:r>
        <w:t xml:space="preserve"> </w:t>
      </w:r>
      <w:r>
        <w:t xml:space="preserve">transverses (ex. tous les clients dont la TVA n’est pas encore préparée à J-5).</w:t>
      </w:r>
    </w:p>
    <w:p>
      <w:pPr>
        <w:numPr>
          <w:ilvl w:val="0"/>
          <w:numId w:val="1043"/>
        </w:numPr>
        <w:pStyle w:val="Compact"/>
      </w:pPr>
      <w:r>
        <w:rPr>
          <w:bCs/>
          <w:b/>
        </w:rPr>
        <w:t xml:space="preserve">Reporting cabinet</w:t>
      </w:r>
      <w:r>
        <w:t xml:space="preserve"> </w:t>
      </w:r>
      <w:r>
        <w:t xml:space="preserve">: chiffre d’affaires du cabinet, rentabilité par mission, suivi du temps passé.</w:t>
      </w:r>
    </w:p>
    <w:p>
      <w:pPr>
        <w:numPr>
          <w:ilvl w:val="0"/>
          <w:numId w:val="1043"/>
        </w:numPr>
        <w:pStyle w:val="Compact"/>
      </w:pPr>
      <w:r>
        <w:rPr>
          <w:bCs/>
          <w:b/>
        </w:rPr>
        <w:t xml:space="preserve">Facturation des missions</w:t>
      </w:r>
      <w:r>
        <w:t xml:space="preserve"> </w:t>
      </w:r>
      <w:r>
        <w:t xml:space="preserve">: suivi des honoraires par client/mission, distincte de la facturation des clients eux-mêmes dans leur propre comptabilité.</w:t>
      </w:r>
    </w:p>
    <w:p>
      <w:pPr>
        <w:numPr>
          <w:ilvl w:val="0"/>
          <w:numId w:val="1043"/>
        </w:numPr>
        <w:pStyle w:val="Compact"/>
      </w:pPr>
      <w:r>
        <w:rPr>
          <w:bCs/>
          <w:b/>
        </w:rPr>
        <w:t xml:space="preserve">Suivi des missions</w:t>
      </w:r>
      <w:r>
        <w:t xml:space="preserve"> </w:t>
      </w:r>
      <w:r>
        <w:t xml:space="preserve">: cahier des charges de mission, périmètre, échéances contractuelles.</w:t>
      </w:r>
    </w:p>
    <w:p>
      <w:pPr>
        <w:pStyle w:val="FirstParagraph"/>
      </w:pPr>
      <w:r>
        <w:t xml:space="preserve">Ce mode s’appuie exactement sur le même modèle de données que le Modèle 3/Marketplace (</w:t>
      </w:r>
      <w:r>
        <w:rPr>
          <w:rStyle w:val="VerbatimChar"/>
        </w:rPr>
        <w:t xml:space="preserve">ProfilProfessionnel</w:t>
      </w:r>
      <w:r>
        <w:t xml:space="preserve">,</w:t>
      </w:r>
      <w:r>
        <w:t xml:space="preserve"> </w:t>
      </w:r>
      <w:r>
        <w:rPr>
          <w:rStyle w:val="VerbatimChar"/>
        </w:rPr>
        <w:t xml:space="preserve">Affectation</w:t>
      </w:r>
      <w:r>
        <w:t xml:space="preserve">) — il n’introduit pas de nouvelle entité, seulement une</w:t>
      </w:r>
      <w:r>
        <w:t xml:space="preserve"> </w:t>
      </w:r>
      <w:r>
        <w:rPr>
          <w:bCs/>
          <w:b/>
        </w:rPr>
        <w:t xml:space="preserve">vue consolidée multi-clients</w:t>
      </w:r>
      <w:r>
        <w:t xml:space="preserve"> </w:t>
      </w:r>
      <w:r>
        <w:t xml:space="preserve">supplémentaire pour les comptables gérant plusieurs entreprises.</w:t>
      </w:r>
    </w:p>
    <w:bookmarkEnd w:id="132"/>
    <w:bookmarkStart w:id="133" w:name="mode-institution-structure-hiérarchique"/>
    <w:p>
      <w:pPr>
        <w:pStyle w:val="Heading3"/>
      </w:pPr>
      <w:r>
        <w:t xml:space="preserve">35.2 Mode Institution (structure hiérarchique)</w:t>
      </w:r>
    </w:p>
    <w:p>
      <w:pPr>
        <w:pStyle w:val="FirstParagraph"/>
      </w:pPr>
      <w:r>
        <w:t xml:space="preserve">🟢[Document]</w:t>
      </w:r>
    </w:p>
    <w:p>
      <w:pPr>
        <w:pStyle w:val="SourceCode"/>
      </w:pPr>
      <w:r>
        <w:rPr>
          <w:rStyle w:val="VerbatimChar"/>
        </w:rPr>
        <w:t xml:space="preserve">Institution → Cabinet/Direction → Service → Responsable → Secrétaire → Agents</w:t>
      </w:r>
    </w:p>
    <w:p>
      <w:pPr>
        <w:pStyle w:val="FirstParagraph"/>
      </w:pPr>
      <w:r>
        <w:t xml:space="preserve">Chaque niveau hérite des mêmes objets (Document, Courrier, Tâche…) et ajoute :</w:t>
      </w:r>
      <w:r>
        <w:t xml:space="preserve"> </w:t>
      </w:r>
      <w:r>
        <w:t xml:space="preserve">-</w:t>
      </w:r>
      <w:r>
        <w:t xml:space="preserve"> </w:t>
      </w:r>
      <w:r>
        <w:rPr>
          <w:rStyle w:val="VerbatimChar"/>
        </w:rPr>
        <w:t xml:space="preserve">NiveauConfidentialité</w:t>
      </w:r>
      <w:r>
        <w:t xml:space="preserve"> </w:t>
      </w:r>
      <w:r>
        <w:t xml:space="preserve">(public, interne, restreint, confidentiel) ;</w:t>
      </w:r>
      <w:r>
        <w:t xml:space="preserve"> </w:t>
      </w:r>
      <w:r>
        <w:t xml:space="preserve">-</w:t>
      </w:r>
      <w:r>
        <w:t xml:space="preserve"> </w:t>
      </w:r>
      <w:r>
        <w:rPr>
          <w:rStyle w:val="VerbatimChar"/>
        </w:rPr>
        <w:t xml:space="preserve">Délégation</w:t>
      </w:r>
      <w:r>
        <w:t xml:space="preserve"> </w:t>
      </w:r>
      <w:r>
        <w:t xml:space="preserve">(délégant, délégataire, périmètre, durée) ;</w:t>
      </w:r>
      <w:r>
        <w:t xml:space="preserve"> </w:t>
      </w:r>
      <w:r>
        <w:t xml:space="preserve">-</w:t>
      </w:r>
      <w:r>
        <w:t xml:space="preserve"> </w:t>
      </w:r>
      <w:r>
        <w:rPr>
          <w:rStyle w:val="VerbatimChar"/>
        </w:rPr>
        <w:t xml:space="preserve">VisaHiérarchique</w:t>
      </w:r>
      <w:r>
        <w:t xml:space="preserve"> </w:t>
      </w:r>
      <w:r>
        <w:t xml:space="preserve">(extension de</w:t>
      </w:r>
      <w:r>
        <w:t xml:space="preserve"> </w:t>
      </w:r>
      <w:r>
        <w:rPr>
          <w:rStyle w:val="VerbatimChar"/>
        </w:rPr>
        <w:t xml:space="preserve">Validation</w:t>
      </w:r>
      <w:r>
        <w:t xml:space="preserve"> </w:t>
      </w:r>
      <w:r>
        <w:t xml:space="preserve">avec ordre Service → Responsable → Cabinet → Institution).</w:t>
      </w:r>
    </w:p>
    <w:p>
      <w:pPr>
        <w:pStyle w:val="BodyText"/>
      </w:pPr>
      <w:r>
        <w:t xml:space="preserve">Spécificités : parapheur numérique, registre des courriers renforcé (numérotation officielle), protection des données personnelles conforme au Code du numérique béninois et aux exigences APDP.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Mode PME</w:t>
            </w:r>
          </w:p>
        </w:tc>
        <w:tc>
          <w:tcPr/>
          <w:p>
            <w:pPr>
              <w:pStyle w:val="Compact"/>
              <w:jc w:val="left"/>
            </w:pPr>
            <w:r>
              <w:t xml:space="preserve">Mode Institution</w:t>
            </w:r>
          </w:p>
        </w:tc>
      </w:tr>
      <w:tr>
        <w:tc>
          <w:tcPr/>
          <w:p>
            <w:pPr>
              <w:pStyle w:val="Compact"/>
              <w:jc w:val="left"/>
            </w:pPr>
            <w:r>
              <w:t xml:space="preserve">Validation</w:t>
            </w:r>
          </w:p>
        </w:tc>
        <w:tc>
          <w:tcPr/>
          <w:p>
            <w:pPr>
              <w:pStyle w:val="Compact"/>
              <w:jc w:val="left"/>
            </w:pPr>
            <w:r>
              <w:t xml:space="preserve">Un seul niveau (dirigeant)</w:t>
            </w:r>
          </w:p>
        </w:tc>
        <w:tc>
          <w:tcPr/>
          <w:p>
            <w:pPr>
              <w:pStyle w:val="Compact"/>
              <w:jc w:val="left"/>
            </w:pPr>
            <w:r>
              <w:t xml:space="preserve">Circuit hiérarchique multi-niveaux</w:t>
            </w:r>
          </w:p>
        </w:tc>
      </w:tr>
      <w:tr>
        <w:tc>
          <w:tcPr/>
          <w:p>
            <w:pPr>
              <w:pStyle w:val="Compact"/>
              <w:jc w:val="left"/>
            </w:pPr>
            <w:r>
              <w:t xml:space="preserve">Confidentialité</w:t>
            </w:r>
          </w:p>
        </w:tc>
        <w:tc>
          <w:tcPr/>
          <w:p>
            <w:pPr>
              <w:pStyle w:val="Compact"/>
              <w:jc w:val="left"/>
            </w:pPr>
            <w:r>
              <w:t xml:space="preserve">Binaire (accès entreprise)</w:t>
            </w:r>
          </w:p>
        </w:tc>
        <w:tc>
          <w:tcPr/>
          <w:p>
            <w:pPr>
              <w:pStyle w:val="Compact"/>
              <w:jc w:val="left"/>
            </w:pPr>
            <w:r>
              <w:t xml:space="preserve">Graduée (4 niveaux)</w:t>
            </w:r>
          </w:p>
        </w:tc>
      </w:tr>
      <w:tr>
        <w:tc>
          <w:tcPr/>
          <w:p>
            <w:pPr>
              <w:pStyle w:val="Compact"/>
              <w:jc w:val="left"/>
            </w:pPr>
            <w:r>
              <w:t xml:space="preserve">Structure</w:t>
            </w:r>
          </w:p>
        </w:tc>
        <w:tc>
          <w:tcPr/>
          <w:p>
            <w:pPr>
              <w:pStyle w:val="Compact"/>
              <w:jc w:val="left"/>
            </w:pPr>
            <w:r>
              <w:t xml:space="preserve">Entreprise → Secrétaire</w:t>
            </w:r>
          </w:p>
        </w:tc>
        <w:tc>
          <w:tcPr/>
          <w:p>
            <w:pPr>
              <w:pStyle w:val="Compact"/>
              <w:jc w:val="left"/>
            </w:pPr>
            <w:r>
              <w:t xml:space="preserve">Institution → Cabinet → Service → Responsable → Secrétaire → Agent</w:t>
            </w:r>
          </w:p>
        </w:tc>
      </w:tr>
      <w:tr>
        <w:tc>
          <w:tcPr/>
          <w:p>
            <w:pPr>
              <w:pStyle w:val="Compact"/>
              <w:jc w:val="left"/>
            </w:pPr>
            <w:r>
              <w:t xml:space="preserve">Délégation</w:t>
            </w:r>
          </w:p>
        </w:tc>
        <w:tc>
          <w:tcPr/>
          <w:p>
            <w:pPr>
              <w:pStyle w:val="Compact"/>
              <w:jc w:val="left"/>
            </w:pPr>
            <w:r>
              <w:t xml:space="preserve">Non prévue</w:t>
            </w:r>
          </w:p>
        </w:tc>
        <w:tc>
          <w:tcPr/>
          <w:p>
            <w:pPr>
              <w:pStyle w:val="Compact"/>
              <w:jc w:val="left"/>
            </w:pPr>
            <w:r>
              <w:t xml:space="preserve">Objet dédié avec périmètre/durée</w:t>
            </w:r>
          </w:p>
        </w:tc>
      </w:tr>
      <w:tr>
        <w:tc>
          <w:tcPr/>
          <w:p>
            <w:pPr>
              <w:pStyle w:val="Compact"/>
              <w:jc w:val="left"/>
            </w:pPr>
            <w:r>
              <w:t xml:space="preserve">Registre courrier</w:t>
            </w:r>
          </w:p>
        </w:tc>
        <w:tc>
          <w:tcPr/>
          <w:p>
            <w:pPr>
              <w:pStyle w:val="Compact"/>
              <w:jc w:val="left"/>
            </w:pPr>
            <w:r>
              <w:t xml:space="preserve">Standard</w:t>
            </w:r>
          </w:p>
        </w:tc>
        <w:tc>
          <w:tcPr/>
          <w:p>
            <w:pPr>
              <w:pStyle w:val="Compact"/>
              <w:jc w:val="left"/>
            </w:pPr>
            <w:r>
              <w:t xml:space="preserve">Renforcé (numérotation officielle)</w:t>
            </w:r>
          </w:p>
        </w:tc>
      </w:tr>
    </w:tbl>
    <w:bookmarkEnd w:id="133"/>
    <w:bookmarkStart w:id="134" w:name="Xd4485585ca7cc9d7f4dea1822778e5e8d069364"/>
    <w:p>
      <w:pPr>
        <w:pStyle w:val="Heading3"/>
      </w:pPr>
      <w:r>
        <w:t xml:space="preserve">35.3 Cas d’application : GEC — Gestion Électronique des Courriers pour l’UAC</w:t>
      </w:r>
    </w:p>
    <w:p>
      <w:pPr>
        <w:pStyle w:val="FirstParagraph"/>
      </w:pPr>
      <w:r>
        <w:t xml:space="preserve">🟢[Document] Cas d’usage institutionnel déjà cadré, conservé intégralement comme référence de configuration du Mode Institution : Institution = UAC, Cabinet/Direction = Rectorat, Service = Vice-Rectorats/Décanats, Responsable = Doyens/Directeurs, Agent = personnel administratif. Compléments identifiés : numéro d’arrivée automatique séquentiel par entité/année (format</w:t>
      </w:r>
      <w:r>
        <w:t xml:space="preserve"> </w:t>
      </w:r>
      <w:r>
        <w:rPr>
          <w:rStyle w:val="VerbatimChar"/>
        </w:rPr>
        <w:t xml:space="preserve">[Entité]-[Année]-[Séquence]</w:t>
      </w:r>
      <w:r>
        <w:t xml:space="preserve">, ex.</w:t>
      </w:r>
      <w:r>
        <w:t xml:space="preserve"> </w:t>
      </w:r>
      <w:r>
        <w:rPr>
          <w:rStyle w:val="VerbatimChar"/>
        </w:rPr>
        <w:t xml:space="preserve">UAC-2026-000452</w:t>
      </w:r>
      <w:r>
        <w:t xml:space="preserve">), verrouillage en lecture seule dès statut validé/archivé, MFA recommandée pour Recteur/Doyens, prérequis de déploiement (scanner à chaque secrétariat, connexion internet stable, prototype pilote sur un seul Vice-Rectorat avant généralisation).</w:t>
      </w:r>
    </w:p>
    <w:bookmarkEnd w:id="134"/>
    <w:bookmarkEnd w:id="135"/>
    <w:bookmarkStart w:id="136" w:name="X274f22b7d8a7881ec03d91f5b9347ffdd8220c8"/>
    <w:p>
      <w:pPr>
        <w:pStyle w:val="Heading2"/>
      </w:pPr>
      <w:r>
        <w:t xml:space="preserve">36. Critères d’acceptation (échantillon transverse)</w:t>
      </w:r>
    </w:p>
    <w:p>
      <w:pPr>
        <w:pStyle w:val="FirstParagraph"/>
      </w:pPr>
      <w:r>
        <w:t xml:space="preserve">🟠[Proposition complémentaire]</w:t>
      </w:r>
    </w:p>
    <w:p>
      <w:pPr>
        <w:numPr>
          <w:ilvl w:val="0"/>
          <w:numId w:val="1044"/>
        </w:numPr>
        <w:pStyle w:val="Compact"/>
      </w:pPr>
      <w:r>
        <w:t xml:space="preserve">Aucune écriture comptable ne peut être déséquilibrée (débit ≠ crédit) en base de données.</w:t>
      </w:r>
    </w:p>
    <w:p>
      <w:pPr>
        <w:numPr>
          <w:ilvl w:val="0"/>
          <w:numId w:val="1044"/>
        </w:numPr>
        <w:pStyle w:val="Compact"/>
      </w:pPr>
      <w:r>
        <w:t xml:space="preserve">Aucune donnée d’une entreprise A n’est jamais visible, même partiellement, par un utilisateur non affecté à l’entreprise A (test d’intrusion croisée obligatoire avant toute mise en production).</w:t>
      </w:r>
    </w:p>
    <w:p>
      <w:pPr>
        <w:numPr>
          <w:ilvl w:val="0"/>
          <w:numId w:val="1044"/>
        </w:numPr>
        <w:pStyle w:val="Compact"/>
      </w:pPr>
      <w:r>
        <w:t xml:space="preserve">Aucune action IA sensible (écriture comptable, déclaration, paiement) n’est appliquée sans validation humaine tracée.</w:t>
      </w:r>
    </w:p>
    <w:p>
      <w:pPr>
        <w:numPr>
          <w:ilvl w:val="0"/>
          <w:numId w:val="1044"/>
        </w:numPr>
        <w:pStyle w:val="Compact"/>
      </w:pPr>
      <w:r>
        <w:t xml:space="preserve">Un changement de taux fiscal (nouvelle version de</w:t>
      </w:r>
      <w:r>
        <w:t xml:space="preserve"> </w:t>
      </w:r>
      <w:r>
        <w:rPr>
          <w:rStyle w:val="VerbatimChar"/>
        </w:rPr>
        <w:t xml:space="preserve">RegleFiscale</w:t>
      </w:r>
      <w:r>
        <w:t xml:space="preserve">) n’affecte jamais le calcul d’une période antérieure déjà clôturée.</w:t>
      </w:r>
    </w:p>
    <w:p>
      <w:pPr>
        <w:numPr>
          <w:ilvl w:val="0"/>
          <w:numId w:val="1044"/>
        </w:numPr>
        <w:pStyle w:val="Compact"/>
      </w:pPr>
      <w:r>
        <w:t xml:space="preserve">Le Score de Conformité GEL® se met à jour automatiquement dans l’heure suivant un changement d’état d’un document ou d’une échéance.</w:t>
      </w:r>
    </w:p>
    <w:p>
      <w:pPr>
        <w:numPr>
          <w:ilvl w:val="0"/>
          <w:numId w:val="1044"/>
        </w:numPr>
        <w:pStyle w:val="Compact"/>
      </w:pPr>
      <w:r>
        <w:t xml:space="preserve">Toute suppression demandée (compte, entreprise) passe par une période de rétention avant suppression physique définitive.</w:t>
      </w:r>
    </w:p>
    <w:p>
      <w:pPr>
        <w:numPr>
          <w:ilvl w:val="0"/>
          <w:numId w:val="1044"/>
        </w:numPr>
        <w:pStyle w:val="Compact"/>
      </w:pPr>
      <w:r>
        <w:t xml:space="preserve">Le mode dégradé permet la saisie hors connexion et la synchronisation automatique au retour du réseau, sans perte de données.</w:t>
      </w:r>
    </w:p>
    <w:p>
      <w:pPr>
        <w:numPr>
          <w:ilvl w:val="0"/>
          <w:numId w:val="1044"/>
        </w:numPr>
        <w:pStyle w:val="Compact"/>
      </w:pPr>
      <w:r>
        <w:t xml:space="preserve">L’ensemble de l’interface et de l’historique est rédigé en français, sans jargon technique non traduit, pour rester lisible par un dirigeant non-comptable.</w:t>
      </w:r>
    </w:p>
    <w:bookmarkEnd w:id="136"/>
    <w:bookmarkStart w:id="137" w:name="priorisation-p0p3"/>
    <w:p>
      <w:pPr>
        <w:pStyle w:val="Heading2"/>
      </w:pPr>
      <w:r>
        <w:t xml:space="preserve">37. Priorisation (P0–P3)</w:t>
      </w:r>
    </w:p>
    <w:p>
      <w:pPr>
        <w:pStyle w:val="FirstParagraph"/>
      </w:pPr>
      <w:r>
        <w:t xml:space="preserve">🟢[Document — méthode imposée par le prompt maître]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Définition</w:t>
            </w:r>
          </w:p>
        </w:tc>
        <w:tc>
          <w:tcPr/>
          <w:p>
            <w:pPr>
              <w:pStyle w:val="Compact"/>
              <w:jc w:val="left"/>
            </w:pPr>
            <w:r>
              <w:t xml:space="preserve">Exemples issus de ce document</w:t>
            </w:r>
          </w:p>
        </w:tc>
      </w:tr>
      <w:tr>
        <w:tc>
          <w:tcPr/>
          <w:p>
            <w:pPr>
              <w:pStyle w:val="Compact"/>
              <w:jc w:val="left"/>
            </w:pPr>
            <w:r>
              <w:rPr>
                <w:bCs/>
                <w:b/>
              </w:rPr>
              <w:t xml:space="preserve">P0 — Critique</w:t>
            </w:r>
          </w:p>
        </w:tc>
        <w:tc>
          <w:tcPr/>
          <w:p>
            <w:pPr>
              <w:pStyle w:val="Compact"/>
              <w:jc w:val="left"/>
            </w:pPr>
            <w:r>
              <w:t xml:space="preserve">Indispensable au fonctionnement initial</w:t>
            </w:r>
          </w:p>
        </w:tc>
        <w:tc>
          <w:tcPr/>
          <w:p>
            <w:pPr>
              <w:pStyle w:val="Compact"/>
              <w:jc w:val="left"/>
            </w:pPr>
            <w:r>
              <w:t xml:space="preserve">Gestion des utilisateurs/rôles, écritures comptables (COM-001), plan comptable SYSCOHADA, module Secrétariat de base, workflow Courrier, 2FA, isolation multi-tenant, TVA (FIS-001), clôture assistée de base (COM-002), rapprochement bancaire (TRS-001)</w:t>
            </w:r>
          </w:p>
        </w:tc>
      </w:tr>
      <w:tr>
        <w:tc>
          <w:tcPr/>
          <w:p>
            <w:pPr>
              <w:pStyle w:val="Compact"/>
              <w:jc w:val="left"/>
            </w:pPr>
            <w:r>
              <w:rPr>
                <w:bCs/>
                <w:b/>
              </w:rPr>
              <w:t xml:space="preserve">P1 — Haute</w:t>
            </w:r>
          </w:p>
        </w:tc>
        <w:tc>
          <w:tcPr/>
          <w:p>
            <w:pPr>
              <w:pStyle w:val="Compact"/>
              <w:jc w:val="left"/>
            </w:pPr>
            <w:r>
              <w:t xml:space="preserve">Indispensable rapidement après le lancement</w:t>
            </w:r>
          </w:p>
        </w:tc>
        <w:tc>
          <w:tcPr/>
          <w:p>
            <w:pPr>
              <w:pStyle w:val="Compact"/>
              <w:jc w:val="left"/>
            </w:pPr>
            <w:r>
              <w:t xml:space="preserve">IA documentaire (IA-001), Score de Conformité GEL®, Immobilisations (IMM-001), Paie/ITS/CNSS, Passeport Entreprise GEL®, Mode Cabinet</w:t>
            </w:r>
          </w:p>
        </w:tc>
      </w:tr>
      <w:tr>
        <w:tc>
          <w:tcPr/>
          <w:p>
            <w:pPr>
              <w:pStyle w:val="Compact"/>
              <w:jc w:val="left"/>
            </w:pPr>
            <w:r>
              <w:rPr>
                <w:bCs/>
                <w:b/>
              </w:rPr>
              <w:t xml:space="preserve">P2 — Moyenne</w:t>
            </w:r>
          </w:p>
        </w:tc>
        <w:tc>
          <w:tcPr/>
          <w:p>
            <w:pPr>
              <w:pStyle w:val="Compact"/>
              <w:jc w:val="left"/>
            </w:pPr>
            <w:r>
              <w:t xml:space="preserve">Importante mais non bloquante</w:t>
            </w:r>
          </w:p>
        </w:tc>
        <w:tc>
          <w:tcPr/>
          <w:p>
            <w:pPr>
              <w:pStyle w:val="Compact"/>
              <w:jc w:val="left"/>
            </w:pPr>
            <w:r>
              <w:t xml:space="preserve">Comptabilité analytique, Budgets, Marketplace (inscription sans matching), Stocks avancés, WhatsApp/voix (IA niveau 4-5)</w:t>
            </w:r>
          </w:p>
        </w:tc>
      </w:tr>
      <w:tr>
        <w:tc>
          <w:tcPr/>
          <w:p>
            <w:pPr>
              <w:pStyle w:val="Compact"/>
              <w:jc w:val="left"/>
            </w:pPr>
            <w:r>
              <w:rPr>
                <w:bCs/>
                <w:b/>
              </w:rPr>
              <w:t xml:space="preserve">P3 — Évolution</w:t>
            </w:r>
          </w:p>
        </w:tc>
        <w:tc>
          <w:tcPr/>
          <w:p>
            <w:pPr>
              <w:pStyle w:val="Compact"/>
              <w:jc w:val="left"/>
            </w:pPr>
            <w:r>
              <w:t xml:space="preserve">Fonctionnalité future</w:t>
            </w:r>
          </w:p>
        </w:tc>
        <w:tc>
          <w:tcPr/>
          <w:p>
            <w:pPr>
              <w:pStyle w:val="Compact"/>
              <w:jc w:val="left"/>
            </w:pPr>
            <w:r>
              <w:t xml:space="preserve">Marketplace avec mise en relation automatique, extension multi-pays au-delà du Bénin, Mode Institution complet, analyse prédictive avancée</w:t>
            </w:r>
          </w:p>
        </w:tc>
      </w:tr>
    </w:tbl>
    <w:bookmarkEnd w:id="137"/>
    <w:bookmarkStart w:id="138" w:name="mvp-et-versions"/>
    <w:p>
      <w:pPr>
        <w:pStyle w:val="Heading2"/>
      </w:pPr>
      <w:r>
        <w:t xml:space="preserve">38. MVP et versions</w:t>
      </w:r>
    </w:p>
    <w:p>
      <w:pPr>
        <w:pStyle w:val="FirstParagraph"/>
      </w:pPr>
      <w:r>
        <w:t xml:space="preserve">🟠[Proposition complémentaire — synthèse fusionnant les deux feuilles de route source, cohérente avec Partie 37]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Contenu</w:t>
            </w:r>
          </w:p>
        </w:tc>
      </w:tr>
      <w:tr>
        <w:tc>
          <w:tcPr/>
          <w:p>
            <w:pPr>
              <w:pStyle w:val="Compact"/>
              <w:jc w:val="left"/>
            </w:pPr>
            <w:r>
              <w:rPr>
                <w:bCs/>
                <w:b/>
              </w:rPr>
              <w:t xml:space="preserve">MVP</w:t>
            </w:r>
          </w:p>
        </w:tc>
        <w:tc>
          <w:tcPr/>
          <w:p>
            <w:pPr>
              <w:pStyle w:val="Compact"/>
              <w:jc w:val="left"/>
            </w:pPr>
            <w:r>
              <w:t xml:space="preserve">Utilisateurs/rôles, Secrétariat de base (Documents, Courriers, Agenda, Tâches), Comptabilité de base (plan SYSCOHADA Bénin, écritures, journaux, grand livre, balance), Facturation TVA 18 %, Dépenses, Banque avec rapprochement manuel, États financiers de base (Bilan, Compte de résultat), Déclaration TVA/ITS manuelle assistée, Sécurité de base (2FA, chiffrement, isolation, audit trail)</w:t>
            </w:r>
          </w:p>
        </w:tc>
      </w:tr>
      <w:tr>
        <w:tc>
          <w:tcPr/>
          <w:p>
            <w:pPr>
              <w:pStyle w:val="Compact"/>
              <w:jc w:val="left"/>
            </w:pPr>
            <w:r>
              <w:rPr>
                <w:bCs/>
                <w:b/>
              </w:rPr>
              <w:t xml:space="preserve">Version 1</w:t>
            </w:r>
          </w:p>
        </w:tc>
        <w:tc>
          <w:tcPr/>
          <w:p>
            <w:pPr>
              <w:pStyle w:val="Compact"/>
              <w:jc w:val="left"/>
            </w:pPr>
            <w:r>
              <w:t xml:space="preserve">Assistant de clôture complet, IA documentaire (OCR + proposition d’écriture), Score de Conformité GEL®, Passeport Entreprise GEL®, Immobilisations, Modèle 2 (pool GEL), gestion des demandes clients, moteur fiscal formalisé (objet</w:t>
            </w:r>
            <w:r>
              <w:t xml:space="preserve"> </w:t>
            </w:r>
            <w:r>
              <w:rPr>
                <w:rStyle w:val="VerbatimChar"/>
              </w:rPr>
              <w:t xml:space="preserve">RegleFiscale</w:t>
            </w:r>
            <w:r>
              <w:t xml:space="preserve"> </w:t>
            </w:r>
            <w:r>
              <w:t xml:space="preserve">versionné)</w:t>
            </w:r>
          </w:p>
        </w:tc>
      </w:tr>
      <w:tr>
        <w:tc>
          <w:tcPr/>
          <w:p>
            <w:pPr>
              <w:pStyle w:val="Compact"/>
              <w:jc w:val="left"/>
            </w:pPr>
            <w:r>
              <w:rPr>
                <w:bCs/>
                <w:b/>
              </w:rPr>
              <w:t xml:space="preserve">Version 2</w:t>
            </w:r>
          </w:p>
        </w:tc>
        <w:tc>
          <w:tcPr/>
          <w:p>
            <w:pPr>
              <w:pStyle w:val="Compact"/>
              <w:jc w:val="left"/>
            </w:pPr>
            <w:r>
              <w:t xml:space="preserve">Marketplace (inscription, sans matching automatique), Comptabilité analytique, Budgets, Paie/CNSS complète, Stocks, Mode Cabinet, IA de contrôle (détection d’anomalies), Copilote comptable conversationnel</w:t>
            </w:r>
          </w:p>
        </w:tc>
      </w:tr>
      <w:tr>
        <w:tc>
          <w:tcPr/>
          <w:p>
            <w:pPr>
              <w:pStyle w:val="Compact"/>
              <w:jc w:val="left"/>
            </w:pPr>
            <w:r>
              <w:rPr>
                <w:bCs/>
                <w:b/>
              </w:rPr>
              <w:t xml:space="preserve">Évolutions futures</w:t>
            </w:r>
          </w:p>
        </w:tc>
        <w:tc>
          <w:tcPr/>
          <w:p>
            <w:pPr>
              <w:pStyle w:val="Compact"/>
              <w:jc w:val="left"/>
            </w:pPr>
            <w:r>
              <w:t xml:space="preserve">Extension à un second pays OHADA, Mode Institution complet, Marketplace avec mise en relation automatique, IA prédictive avancée, automatisations personnalisables (Si/Alors), voix et mode dégradé avancé</w:t>
            </w:r>
          </w:p>
        </w:tc>
      </w:tr>
    </w:tbl>
    <w:bookmarkEnd w:id="138"/>
    <w:bookmarkStart w:id="143" w:name="roadmap-de-développement"/>
    <w:p>
      <w:pPr>
        <w:pStyle w:val="Heading2"/>
      </w:pPr>
      <w:r>
        <w:t xml:space="preserve">39. Roadmap de développement</w:t>
      </w:r>
    </w:p>
    <w:p>
      <w:pPr>
        <w:pStyle w:val="FirstParagraph"/>
      </w:pPr>
      <w:r>
        <w:t xml:space="preserve">🟢[Document] Fusion des deux feuilles de route (« GEL SABINET » en 4 phases et « GEL » global en 4 phases), harmonisée en un plan unique cohérent avec la priorisation (Partie 37) :</w:t>
      </w:r>
    </w:p>
    <w:bookmarkStart w:id="139" w:name="phase-1-socle-fonctionnel-mvp"/>
    <w:p>
      <w:pPr>
        <w:pStyle w:val="Heading3"/>
      </w:pPr>
      <w:r>
        <w:t xml:space="preserve">Phase 1 — Socle fonctionnel (MVP)</w:t>
      </w:r>
    </w:p>
    <w:p>
      <w:pPr>
        <w:numPr>
          <w:ilvl w:val="0"/>
          <w:numId w:val="1045"/>
        </w:numPr>
        <w:pStyle w:val="Compact"/>
      </w:pPr>
      <w:r>
        <w:t xml:space="preserve">Gestion des utilisateurs, rôles, permissions (Partie 8) ; authentification et sécurité de base (Partie 26).</w:t>
      </w:r>
    </w:p>
    <w:p>
      <w:pPr>
        <w:numPr>
          <w:ilvl w:val="0"/>
          <w:numId w:val="1045"/>
        </w:numPr>
        <w:pStyle w:val="Compact"/>
      </w:pPr>
      <w:r>
        <w:t xml:space="preserve">Portails Secrétariat et Comptabilité avec les modules déjà listés en existants (Partie 9).</w:t>
      </w:r>
    </w:p>
    <w:p>
      <w:pPr>
        <w:numPr>
          <w:ilvl w:val="0"/>
          <w:numId w:val="1045"/>
        </w:numPr>
        <w:pStyle w:val="Compact"/>
      </w:pPr>
      <w:r>
        <w:t xml:space="preserve">Comptes Administrateur d’Entreprise et Super Administrateur.</w:t>
      </w:r>
    </w:p>
    <w:p>
      <w:pPr>
        <w:numPr>
          <w:ilvl w:val="0"/>
          <w:numId w:val="1045"/>
        </w:numPr>
        <w:pStyle w:val="Compact"/>
      </w:pPr>
      <w:r>
        <w:t xml:space="preserve">Flux d’invitation Modèle 1 (entreprise avec personnel propre).</w:t>
      </w:r>
    </w:p>
    <w:p>
      <w:pPr>
        <w:numPr>
          <w:ilvl w:val="0"/>
          <w:numId w:val="1045"/>
        </w:numPr>
        <w:pStyle w:val="Compact"/>
      </w:pPr>
      <w:r>
        <w:t xml:space="preserve">Comptabilité de base : plan SYSCOHADA Bénin préchargé, écritures, journaux, grand livre, balance, états financiers de base.</w:t>
      </w:r>
    </w:p>
    <w:p>
      <w:pPr>
        <w:numPr>
          <w:ilvl w:val="0"/>
          <w:numId w:val="1045"/>
        </w:numPr>
        <w:pStyle w:val="Compact"/>
      </w:pPr>
      <w:r>
        <w:t xml:space="preserve">Moteur fiscal Bénin (paramétré, mais architecture déjà multi-pays — Partie 11).</w:t>
      </w:r>
    </w:p>
    <w:p>
      <w:pPr>
        <w:numPr>
          <w:ilvl w:val="0"/>
          <w:numId w:val="1045"/>
        </w:numPr>
        <w:pStyle w:val="Compact"/>
      </w:pPr>
      <w:r>
        <w:t xml:space="preserve">Gestion documentaire de base (sans indexation IA à ce stade).</w:t>
      </w:r>
    </w:p>
    <w:p>
      <w:pPr>
        <w:numPr>
          <w:ilvl w:val="0"/>
          <w:numId w:val="1045"/>
        </w:numPr>
        <w:pStyle w:val="Compact"/>
      </w:pPr>
      <w:r>
        <w:t xml:space="preserve">Système de notifications temps réel et PWA installable.</w:t>
      </w:r>
    </w:p>
    <w:bookmarkEnd w:id="139"/>
    <w:bookmarkStart w:id="140" w:name="X33ad9c50796d442579acb579c043f67dba9ad1b"/>
    <w:p>
      <w:pPr>
        <w:pStyle w:val="Heading3"/>
      </w:pPr>
      <w:r>
        <w:t xml:space="preserve">Phase 2 — Service géré, conformité et déclenchement de l’IA</w:t>
      </w:r>
    </w:p>
    <w:p>
      <w:pPr>
        <w:numPr>
          <w:ilvl w:val="0"/>
          <w:numId w:val="1046"/>
        </w:numPr>
        <w:pStyle w:val="Compact"/>
      </w:pPr>
      <w:r>
        <w:t xml:space="preserve">Modèle 2 : pool de personnel GEL, affectation, coordination secrétaire/comptable.</w:t>
      </w:r>
    </w:p>
    <w:p>
      <w:pPr>
        <w:numPr>
          <w:ilvl w:val="0"/>
          <w:numId w:val="1046"/>
        </w:numPr>
        <w:pStyle w:val="Compact"/>
      </w:pPr>
      <w:r>
        <w:t xml:space="preserve">Module de gestion des demandes clients (sans compte autonome).</w:t>
      </w:r>
    </w:p>
    <w:p>
      <w:pPr>
        <w:numPr>
          <w:ilvl w:val="0"/>
          <w:numId w:val="1046"/>
        </w:numPr>
        <w:pStyle w:val="Compact"/>
      </w:pPr>
      <w:r>
        <w:t xml:space="preserve">Assistant IA niveaux 1 à 3 (réactif, proactif, orchestration inter-modules), y compris IA documentaire et suggestion d’écritures.</w:t>
      </w:r>
    </w:p>
    <w:p>
      <w:pPr>
        <w:numPr>
          <w:ilvl w:val="0"/>
          <w:numId w:val="1046"/>
        </w:numPr>
        <w:pStyle w:val="Compact"/>
      </w:pPr>
      <w:r>
        <w:t xml:space="preserve">Score de Conformité GEL®, Passeport Entreprise GEL®.</w:t>
      </w:r>
    </w:p>
    <w:p>
      <w:pPr>
        <w:numPr>
          <w:ilvl w:val="0"/>
          <w:numId w:val="1046"/>
        </w:numPr>
        <w:pStyle w:val="Compact"/>
      </w:pPr>
      <w:r>
        <w:t xml:space="preserve">Assistant de clôture comptable intelligent (checklist complète).</w:t>
      </w:r>
    </w:p>
    <w:p>
      <w:pPr>
        <w:numPr>
          <w:ilvl w:val="0"/>
          <w:numId w:val="1046"/>
        </w:numPr>
        <w:pStyle w:val="Compact"/>
      </w:pPr>
      <w:r>
        <w:t xml:space="preserve">Immobilisations, Paie &amp; Charges sociales de base.</w:t>
      </w:r>
    </w:p>
    <w:p>
      <w:pPr>
        <w:numPr>
          <w:ilvl w:val="0"/>
          <w:numId w:val="1046"/>
        </w:numPr>
        <w:pStyle w:val="Compact"/>
      </w:pPr>
      <w:r>
        <w:t xml:space="preserve">Mode Institution (si un client institutionnel comme l’UAC est priorisé à ce stade).</w:t>
      </w:r>
    </w:p>
    <w:bookmarkEnd w:id="140"/>
    <w:bookmarkStart w:id="141" w:name="Xb0ddaa1d85895aa6ae6ceb4d24ebeb8e949ed54"/>
    <w:p>
      <w:pPr>
        <w:pStyle w:val="Heading3"/>
      </w:pPr>
      <w:r>
        <w:t xml:space="preserve">Phase 3 — Extension des usages et indépendants</w:t>
      </w:r>
    </w:p>
    <w:p>
      <w:pPr>
        <w:numPr>
          <w:ilvl w:val="0"/>
          <w:numId w:val="1047"/>
        </w:numPr>
        <w:pStyle w:val="Compact"/>
      </w:pPr>
      <w:r>
        <w:t xml:space="preserve">Modèle 3 : inscription autonome des professionnels indépendants, essai gratuit puis abonnement.</w:t>
      </w:r>
    </w:p>
    <w:p>
      <w:pPr>
        <w:numPr>
          <w:ilvl w:val="0"/>
          <w:numId w:val="1047"/>
        </w:numPr>
        <w:pStyle w:val="Compact"/>
      </w:pPr>
      <w:r>
        <w:t xml:space="preserve">Marketplace des professionnels (inscription, sans mise en relation automatique).</w:t>
      </w:r>
    </w:p>
    <w:p>
      <w:pPr>
        <w:numPr>
          <w:ilvl w:val="0"/>
          <w:numId w:val="1047"/>
        </w:numPr>
        <w:pStyle w:val="Compact"/>
      </w:pPr>
      <w:r>
        <w:t xml:space="preserve">Mode Cabinet (portefeuille multi-clients).</w:t>
      </w:r>
    </w:p>
    <w:p>
      <w:pPr>
        <w:numPr>
          <w:ilvl w:val="0"/>
          <w:numId w:val="1047"/>
        </w:numPr>
        <w:pStyle w:val="Compact"/>
      </w:pPr>
      <w:r>
        <w:t xml:space="preserve">Comptabilité analytique, Budgets, Stocks avancés, Trésorerie prévisionnelle.</w:t>
      </w:r>
    </w:p>
    <w:p>
      <w:pPr>
        <w:numPr>
          <w:ilvl w:val="0"/>
          <w:numId w:val="1047"/>
        </w:numPr>
        <w:pStyle w:val="Compact"/>
      </w:pPr>
      <w:r>
        <w:t xml:space="preserve">Application mobile (fonctions clés : tableau de bord, notifications, validation/signature).</w:t>
      </w:r>
    </w:p>
    <w:p>
      <w:pPr>
        <w:numPr>
          <w:ilvl w:val="0"/>
          <w:numId w:val="1047"/>
        </w:numPr>
        <w:pStyle w:val="Compact"/>
      </w:pPr>
      <w:r>
        <w:t xml:space="preserve">Signature électronique, notifications intelligentes avancées.</w:t>
      </w:r>
    </w:p>
    <w:p>
      <w:pPr>
        <w:numPr>
          <w:ilvl w:val="0"/>
          <w:numId w:val="1047"/>
        </w:numPr>
        <w:pStyle w:val="Compact"/>
      </w:pPr>
      <w:r>
        <w:t xml:space="preserve">Assistant IA niveaux 4 et 5 (automatisations personnalisables, WhatsApp, voix, mode dégradé).</w:t>
      </w:r>
    </w:p>
    <w:bookmarkEnd w:id="141"/>
    <w:bookmarkStart w:id="142" w:name="Xbabf472b0170457ec58ea07cfa1445b77780d96"/>
    <w:p>
      <w:pPr>
        <w:pStyle w:val="Heading3"/>
      </w:pPr>
      <w:r>
        <w:t xml:space="preserve">Phase 4 — Intelligence artificielle avancée et marketplace complète</w:t>
      </w:r>
    </w:p>
    <w:p>
      <w:pPr>
        <w:numPr>
          <w:ilvl w:val="0"/>
          <w:numId w:val="1048"/>
        </w:numPr>
        <w:pStyle w:val="Compact"/>
      </w:pPr>
      <w:r>
        <w:t xml:space="preserve">IA de contrôle avancée (détection d’anomalies systématique), IA prédictive (trésorerie, chiffre d’affaires, charges, risques fiscaux).</w:t>
      </w:r>
    </w:p>
    <w:p>
      <w:pPr>
        <w:numPr>
          <w:ilvl w:val="0"/>
          <w:numId w:val="1048"/>
        </w:numPr>
        <w:pStyle w:val="Compact"/>
      </w:pPr>
      <w:r>
        <w:t xml:space="preserve">Copilote comptable conversationnel complet, explicable.</w:t>
      </w:r>
    </w:p>
    <w:p>
      <w:pPr>
        <w:numPr>
          <w:ilvl w:val="0"/>
          <w:numId w:val="1048"/>
        </w:numPr>
        <w:pStyle w:val="Compact"/>
      </w:pPr>
      <w:r>
        <w:t xml:space="preserve">Recommandations automatiques de mise en relation Marketplace.</w:t>
      </w:r>
    </w:p>
    <w:p>
      <w:pPr>
        <w:numPr>
          <w:ilvl w:val="0"/>
          <w:numId w:val="1048"/>
        </w:numPr>
        <w:pStyle w:val="Compact"/>
      </w:pPr>
      <w:r>
        <w:t xml:space="preserve">Extension du moteur fiscal à un second, puis à d’autres pays de l’espace OHADA.</w:t>
      </w:r>
    </w:p>
    <w:bookmarkEnd w:id="142"/>
    <w:bookmarkEnd w:id="143"/>
    <w:bookmarkStart w:id="144" w:name="tests-et-recette"/>
    <w:p>
      <w:pPr>
        <w:pStyle w:val="Heading2"/>
      </w:pPr>
      <w:r>
        <w:t xml:space="preserve">40. Tests et recette</w:t>
      </w:r>
    </w:p>
    <w:p>
      <w:pPr>
        <w:pStyle w:val="FirstParagraph"/>
      </w:pPr>
      <w:r>
        <w:t xml:space="preserve">🟠[Proposition complémentaire — non détaillé dans les documents source, exigé par le prompt maître]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 de test</w:t>
            </w:r>
          </w:p>
        </w:tc>
        <w:tc>
          <w:tcPr/>
          <w:p>
            <w:pPr>
              <w:pStyle w:val="Compact"/>
              <w:jc w:val="left"/>
            </w:pPr>
            <w:r>
              <w:t xml:space="preserve">Objet</w:t>
            </w:r>
          </w:p>
        </w:tc>
      </w:tr>
      <w:tr>
        <w:tc>
          <w:tcPr/>
          <w:p>
            <w:pPr>
              <w:pStyle w:val="Compact"/>
              <w:jc w:val="left"/>
            </w:pPr>
            <w:r>
              <w:t xml:space="preserve">Tests unitaires</w:t>
            </w:r>
          </w:p>
        </w:tc>
        <w:tc>
          <w:tcPr/>
          <w:p>
            <w:pPr>
              <w:pStyle w:val="Compact"/>
              <w:jc w:val="left"/>
            </w:pPr>
            <w:r>
              <w:t xml:space="preserve">Moteur comptable (équilibre des écritures), moteur fiscal (calcul des taux/barèmes par version)</w:t>
            </w:r>
          </w:p>
        </w:tc>
      </w:tr>
      <w:tr>
        <w:tc>
          <w:tcPr/>
          <w:p>
            <w:pPr>
              <w:pStyle w:val="Compact"/>
              <w:jc w:val="left"/>
            </w:pPr>
            <w:r>
              <w:t xml:space="preserve">Tests d’intégration</w:t>
            </w:r>
          </w:p>
        </w:tc>
        <w:tc>
          <w:tcPr/>
          <w:p>
            <w:pPr>
              <w:pStyle w:val="Compact"/>
              <w:jc w:val="left"/>
            </w:pPr>
            <w:r>
              <w:t xml:space="preserve">Chaîne OCR → proposition d’écriture → validation → comptabilisation ; workflow Courrier ; workflow Comptable</w:t>
            </w:r>
          </w:p>
        </w:tc>
      </w:tr>
      <w:tr>
        <w:tc>
          <w:tcPr/>
          <w:p>
            <w:pPr>
              <w:pStyle w:val="Compact"/>
              <w:jc w:val="left"/>
            </w:pPr>
            <w:r>
              <w:t xml:space="preserve">Tests de non-régression fiscale</w:t>
            </w:r>
          </w:p>
        </w:tc>
        <w:tc>
          <w:tcPr/>
          <w:p>
            <w:pPr>
              <w:pStyle w:val="Compact"/>
              <w:jc w:val="left"/>
            </w:pPr>
            <w:r>
              <w:t xml:space="preserve">Vérification qu’une période clôturée reste inchangée après une mise à jour de</w:t>
            </w:r>
            <w:r>
              <w:t xml:space="preserve"> </w:t>
            </w:r>
            <w:r>
              <w:rPr>
                <w:rStyle w:val="VerbatimChar"/>
              </w:rPr>
              <w:t xml:space="preserve">RegleFiscale</w:t>
            </w:r>
          </w:p>
        </w:tc>
      </w:tr>
      <w:tr>
        <w:tc>
          <w:tcPr/>
          <w:p>
            <w:pPr>
              <w:pStyle w:val="Compact"/>
              <w:jc w:val="left"/>
            </w:pPr>
            <w:r>
              <w:t xml:space="preserve">Tests de sécurité / intrusion</w:t>
            </w:r>
          </w:p>
        </w:tc>
        <w:tc>
          <w:tcPr/>
          <w:p>
            <w:pPr>
              <w:pStyle w:val="Compact"/>
              <w:jc w:val="left"/>
            </w:pPr>
            <w:r>
              <w:t xml:space="preserve">Isolation multi-tenant (tentative d’accès croisé entre deux entreprises), tests de pénétration réguliers</w:t>
            </w:r>
          </w:p>
        </w:tc>
      </w:tr>
      <w:tr>
        <w:tc>
          <w:tcPr/>
          <w:p>
            <w:pPr>
              <w:pStyle w:val="Compact"/>
              <w:jc w:val="left"/>
            </w:pPr>
            <w:r>
              <w:t xml:space="preserve">Tests de charge</w:t>
            </w:r>
          </w:p>
        </w:tc>
        <w:tc>
          <w:tcPr/>
          <w:p>
            <w:pPr>
              <w:pStyle w:val="Compact"/>
              <w:jc w:val="left"/>
            </w:pPr>
            <w:r>
              <w:t xml:space="preserve">Comportement de la plateforme avec un volume croissant d’entreprises et d’écritures simultanées</w:t>
            </w:r>
          </w:p>
        </w:tc>
      </w:tr>
      <w:tr>
        <w:tc>
          <w:tcPr/>
          <w:p>
            <w:pPr>
              <w:pStyle w:val="Compact"/>
              <w:jc w:val="left"/>
            </w:pPr>
            <w:r>
              <w:t xml:space="preserve">Tests en mode dégradé</w:t>
            </w:r>
          </w:p>
        </w:tc>
        <w:tc>
          <w:tcPr/>
          <w:p>
            <w:pPr>
              <w:pStyle w:val="Compact"/>
              <w:jc w:val="left"/>
            </w:pPr>
            <w:r>
              <w:t xml:space="preserve">Saisie hors connexion et synchronisation, sans perte ni doublon</w:t>
            </w:r>
          </w:p>
        </w:tc>
      </w:tr>
      <w:tr>
        <w:tc>
          <w:tcPr/>
          <w:p>
            <w:pPr>
              <w:pStyle w:val="Compact"/>
              <w:jc w:val="left"/>
            </w:pPr>
            <w:r>
              <w:t xml:space="preserve">Recette métier</w:t>
            </w:r>
          </w:p>
        </w:tc>
        <w:tc>
          <w:tcPr/>
          <w:p>
            <w:pPr>
              <w:pStyle w:val="Compact"/>
              <w:jc w:val="left"/>
            </w:pPr>
            <w:r>
              <w:t xml:space="preserve">Validation par un comptable et un fiscaliste béninois de chaque calcul fiscal avant mise en production (Partie 12.1)</w:t>
            </w:r>
          </w:p>
        </w:tc>
      </w:tr>
      <w:tr>
        <w:tc>
          <w:tcPr/>
          <w:p>
            <w:pPr>
              <w:pStyle w:val="Compact"/>
              <w:jc w:val="left"/>
            </w:pPr>
            <w:r>
              <w:t xml:space="preserve">Recette utilisateur (UAT)</w:t>
            </w:r>
          </w:p>
        </w:tc>
        <w:tc>
          <w:tcPr/>
          <w:p>
            <w:pPr>
              <w:pStyle w:val="Compact"/>
              <w:jc w:val="left"/>
            </w:pPr>
            <w:r>
              <w:t xml:space="preserve">Test des parcours complets par des utilisateurs pilotes (une entreprise, un cabinet) avant généralisation</w:t>
            </w:r>
          </w:p>
        </w:tc>
      </w:tr>
    </w:tbl>
    <w:bookmarkEnd w:id="144"/>
    <w:bookmarkStart w:id="145" w:name="déploiement"/>
    <w:p>
      <w:pPr>
        <w:pStyle w:val="Heading2"/>
      </w:pPr>
      <w:r>
        <w:t xml:space="preserve">41. Déploiement</w:t>
      </w:r>
    </w:p>
    <w:p>
      <w:pPr>
        <w:pStyle w:val="FirstParagraph"/>
      </w:pPr>
      <w:r>
        <w:t xml:space="preserve">🟠[Proposition complémentaire]</w:t>
      </w:r>
    </w:p>
    <w:p>
      <w:pPr>
        <w:numPr>
          <w:ilvl w:val="0"/>
          <w:numId w:val="1049"/>
        </w:numPr>
        <w:pStyle w:val="Compact"/>
      </w:pPr>
      <w:r>
        <w:rPr>
          <w:bCs/>
          <w:b/>
        </w:rPr>
        <w:t xml:space="preserve">Déploiement pilote</w:t>
      </w:r>
      <w:r>
        <w:t xml:space="preserve"> </w:t>
      </w:r>
      <w:r>
        <w:t xml:space="preserve">: une première entreprise cliente en conditions réelles (Phase 1), puis extension progressive.</w:t>
      </w:r>
    </w:p>
    <w:p>
      <w:pPr>
        <w:numPr>
          <w:ilvl w:val="0"/>
          <w:numId w:val="1049"/>
        </w:numPr>
        <w:pStyle w:val="Compact"/>
      </w:pPr>
      <w:r>
        <w:rPr>
          <w:bCs/>
          <w:b/>
        </w:rPr>
        <w:t xml:space="preserve">Prérequis de déploiement pour le cas Institution/GEC</w:t>
      </w:r>
      <w:r>
        <w:t xml:space="preserve"> </w:t>
      </w:r>
      <w:r>
        <w:t xml:space="preserve">(rappel Partie 35.3) : scanner à chaque secrétariat, connexion internet stable, postes d’administration dédiés, prototype pilote sur un seul service avant généralisation.</w:t>
      </w:r>
    </w:p>
    <w:p>
      <w:pPr>
        <w:numPr>
          <w:ilvl w:val="0"/>
          <w:numId w:val="1049"/>
        </w:numPr>
        <w:pStyle w:val="Compact"/>
      </w:pPr>
      <w:r>
        <w:rPr>
          <w:bCs/>
          <w:b/>
        </w:rPr>
        <w:t xml:space="preserve">Environnements</w:t>
      </w:r>
      <w:r>
        <w:t xml:space="preserve"> </w:t>
      </w:r>
      <w:r>
        <w:t xml:space="preserve">: développement, recette (avec données de test</w:t>
      </w:r>
      <w:r>
        <w:t xml:space="preserve"> </w:t>
      </w:r>
      <w:r>
        <w:rPr>
          <w:bCs/>
          <w:b/>
        </w:rPr>
        <w:t xml:space="preserve">jamais</w:t>
      </w:r>
      <w:r>
        <w:t xml:space="preserve"> </w:t>
      </w:r>
      <w:r>
        <w:t xml:space="preserve">en production, conformément à la Règle « aucune donnée fictive » Partie 26.1), production.</w:t>
      </w:r>
    </w:p>
    <w:p>
      <w:pPr>
        <w:numPr>
          <w:ilvl w:val="0"/>
          <w:numId w:val="1049"/>
        </w:numPr>
        <w:pStyle w:val="Compact"/>
      </w:pPr>
      <w:r>
        <w:rPr>
          <w:bCs/>
          <w:b/>
        </w:rPr>
        <w:t xml:space="preserve">Bascule progressive</w:t>
      </w:r>
      <w:r>
        <w:t xml:space="preserve"> </w:t>
      </w:r>
      <w:r>
        <w:t xml:space="preserve">par module (Secrétariat puis Comptabilité, ou l’inverse selon le profil du client pilote).</w:t>
      </w:r>
    </w:p>
    <w:p>
      <w:pPr>
        <w:numPr>
          <w:ilvl w:val="0"/>
          <w:numId w:val="1049"/>
        </w:numPr>
        <w:pStyle w:val="Compact"/>
      </w:pPr>
      <w:r>
        <w:rPr>
          <w:bCs/>
          <w:b/>
        </w:rPr>
        <w:t xml:space="preserve">Plan de reprise après sinistre</w:t>
      </w:r>
      <w:r>
        <w:t xml:space="preserve"> </w:t>
      </w:r>
      <w:r>
        <w:t xml:space="preserve">documenté et testé avant la mise en production réelle (Partie 26.2).</w:t>
      </w:r>
    </w:p>
    <w:bookmarkEnd w:id="145"/>
    <w:bookmarkStart w:id="146" w:name="formation"/>
    <w:p>
      <w:pPr>
        <w:pStyle w:val="Heading2"/>
      </w:pPr>
      <w:r>
        <w:t xml:space="preserve">42. Formation</w:t>
      </w:r>
    </w:p>
    <w:p>
      <w:pPr>
        <w:pStyle w:val="FirstParagraph"/>
      </w:pPr>
      <w:r>
        <w:t xml:space="preserve">🟠[Proposition complémentaire]</w:t>
      </w:r>
    </w:p>
    <w:p>
      <w:pPr>
        <w:numPr>
          <w:ilvl w:val="0"/>
          <w:numId w:val="1050"/>
        </w:numPr>
        <w:pStyle w:val="Compact"/>
      </w:pPr>
      <w:r>
        <w:t xml:space="preserve">Formation des équipes GEL (Secrétariat, Comptabilité) à l’utilisation de la plateforme et à la validation des propositions IA.</w:t>
      </w:r>
    </w:p>
    <w:p>
      <w:pPr>
        <w:numPr>
          <w:ilvl w:val="0"/>
          <w:numId w:val="1050"/>
        </w:numPr>
        <w:pStyle w:val="Compact"/>
      </w:pPr>
      <w:r>
        <w:t xml:space="preserve">Documentation utilisateur en français, alignée avec l’exigence de lisibilité pour un dirigeant non-comptable (Partie 26 et Partie 24).</w:t>
      </w:r>
    </w:p>
    <w:p>
      <w:pPr>
        <w:numPr>
          <w:ilvl w:val="0"/>
          <w:numId w:val="1050"/>
        </w:numPr>
        <w:pStyle w:val="Compact"/>
      </w:pPr>
      <w:r>
        <w:t xml:space="preserve">Formation spécifique des comptables du pool GEL et des professionnels indépendants sur le moteur fiscal multi-pays (à mesure de l’extension géographique).</w:t>
      </w:r>
    </w:p>
    <w:p>
      <w:pPr>
        <w:numPr>
          <w:ilvl w:val="0"/>
          <w:numId w:val="1050"/>
        </w:numPr>
        <w:pStyle w:val="Compact"/>
      </w:pPr>
      <w:r>
        <w:t xml:space="preserve">Rattachement possible au pôle 7 « Formation professionnelle » de la vision stratégique (Partie 2.1), qui reste hors périmètre applicatif mais peut s’appuyer sur la documentation produite pour ce cahier des charges.</w:t>
      </w:r>
    </w:p>
    <w:bookmarkEnd w:id="146"/>
    <w:bookmarkStart w:id="147" w:name="maintenance-et-support"/>
    <w:p>
      <w:pPr>
        <w:pStyle w:val="Heading2"/>
      </w:pPr>
      <w:r>
        <w:t xml:space="preserve">43. Maintenance et support</w:t>
      </w:r>
    </w:p>
    <w:p>
      <w:pPr>
        <w:pStyle w:val="FirstParagraph"/>
      </w:pPr>
      <w:r>
        <w:t xml:space="preserve">🟠[Proposition complémentaire]</w:t>
      </w:r>
    </w:p>
    <w:p>
      <w:pPr>
        <w:numPr>
          <w:ilvl w:val="0"/>
          <w:numId w:val="1051"/>
        </w:numPr>
        <w:pStyle w:val="Compact"/>
      </w:pPr>
      <w:r>
        <w:t xml:space="preserve">Centre de tickets de support et annonces plateforme, piloté par le Super Administrateur (Partie 26.3).</w:t>
      </w:r>
    </w:p>
    <w:p>
      <w:pPr>
        <w:numPr>
          <w:ilvl w:val="0"/>
          <w:numId w:val="1051"/>
        </w:numPr>
        <w:pStyle w:val="Compact"/>
      </w:pPr>
      <w:r>
        <w:t xml:space="preserve">Veille réglementaire continue (Partie 33) comme processus de maintenance récurrent, distinct de la maintenance applicative classique.</w:t>
      </w:r>
    </w:p>
    <w:p>
      <w:pPr>
        <w:numPr>
          <w:ilvl w:val="0"/>
          <w:numId w:val="1051"/>
        </w:numPr>
        <w:pStyle w:val="Compact"/>
      </w:pPr>
      <w:r>
        <w:t xml:space="preserve">Sauvegardes régulières et tests de restauration périodiques (Partie 26.2).</w:t>
      </w:r>
    </w:p>
    <w:p>
      <w:pPr>
        <w:numPr>
          <w:ilvl w:val="0"/>
          <w:numId w:val="1051"/>
        </w:numPr>
        <w:pStyle w:val="Compact"/>
      </w:pPr>
      <w:r>
        <w:t xml:space="preserve">Suivi du coût réel de l’IA par rapport à la facturation, avec ajustement de marge (Partie 13.9).</w:t>
      </w:r>
    </w:p>
    <w:bookmarkEnd w:id="147"/>
    <w:bookmarkStart w:id="148" w:name="évolutions-futures"/>
    <w:p>
      <w:pPr>
        <w:pStyle w:val="Heading2"/>
      </w:pPr>
      <w:r>
        <w:t xml:space="preserve">44. Évolutions futures</w:t>
      </w:r>
    </w:p>
    <w:p>
      <w:pPr>
        <w:pStyle w:val="FirstParagraph"/>
      </w:pPr>
      <w:r>
        <w:t xml:space="preserve">🟢[Document]</w:t>
      </w:r>
    </w:p>
    <w:p>
      <w:pPr>
        <w:numPr>
          <w:ilvl w:val="0"/>
          <w:numId w:val="1052"/>
        </w:numPr>
        <w:pStyle w:val="Compact"/>
      </w:pPr>
      <w:r>
        <w:t xml:space="preserve">Ouverture de la Marketplace de mise en relation automatique (recherche par une entreprise d’un comptable, d’une secrétaire, d’un fiscaliste ou d’un consultant selon compétences, expérience, domaine d’expertise, disponibilité).</w:t>
      </w:r>
    </w:p>
    <w:p>
      <w:pPr>
        <w:numPr>
          <w:ilvl w:val="0"/>
          <w:numId w:val="1052"/>
        </w:numPr>
        <w:pStyle w:val="Compact"/>
      </w:pPr>
      <w:r>
        <w:t xml:space="preserve">Extension du moteur fiscal aux autres pays OHADA (Côte d’Ivoire, Togo, Sénégal, Burkina Faso, Mali, Niger, Guinée, Cameroun, Gabon, Congo, RDC…), au rythme fixé par la roadmap commerciale, sans réécriture du socle applicatif.</w:t>
      </w:r>
    </w:p>
    <w:p>
      <w:pPr>
        <w:numPr>
          <w:ilvl w:val="0"/>
          <w:numId w:val="1052"/>
        </w:numPr>
        <w:pStyle w:val="Compact"/>
      </w:pPr>
      <w:r>
        <w:t xml:space="preserve">Analyse prédictive avancée (anticipation des échéances à risque, recommandations sur le Score de Conformité GEL®).</w:t>
      </w:r>
    </w:p>
    <w:p>
      <w:pPr>
        <w:numPr>
          <w:ilvl w:val="0"/>
          <w:numId w:val="1052"/>
        </w:numPr>
        <w:pStyle w:val="Compact"/>
      </w:pPr>
      <w:r>
        <w:t xml:space="preserve">Repère indicatif du plan quinquennal stratégique (non applicatif, contexte)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Année</w:t>
            </w:r>
          </w:p>
        </w:tc>
        <w:tc>
          <w:tcPr/>
          <w:p>
            <w:pPr>
              <w:pStyle w:val="Compact"/>
              <w:jc w:val="left"/>
            </w:pPr>
            <w:r>
              <w:t xml:space="preserve">Axe</w:t>
            </w:r>
          </w:p>
        </w:tc>
        <w:tc>
          <w:tcPr/>
          <w:p>
            <w:pPr>
              <w:pStyle w:val="Compact"/>
              <w:jc w:val="left"/>
            </w:pPr>
            <w:r>
              <w:t xml:space="preserve">Correspondance feuille de route technique</w:t>
            </w:r>
          </w:p>
        </w:tc>
      </w:tr>
      <w:tr>
        <w:tc>
          <w:tcPr/>
          <w:p>
            <w:pPr>
              <w:pStyle w:val="Compact"/>
              <w:jc w:val="left"/>
            </w:pPr>
            <w:r>
              <w:t xml:space="preserve">1 — Construire</w:t>
            </w:r>
          </w:p>
        </w:tc>
        <w:tc>
          <w:tcPr/>
          <w:p>
            <w:pPr>
              <w:pStyle w:val="Compact"/>
              <w:jc w:val="left"/>
            </w:pPr>
            <w:r>
              <w:t xml:space="preserve">Plateforme, processus, premiers partenariats</w:t>
            </w:r>
          </w:p>
        </w:tc>
        <w:tc>
          <w:tcPr/>
          <w:p>
            <w:pPr>
              <w:pStyle w:val="Compact"/>
              <w:jc w:val="left"/>
            </w:pPr>
            <w:r>
              <w:t xml:space="preserve">Phase 1</w:t>
            </w:r>
          </w:p>
        </w:tc>
      </w:tr>
      <w:tr>
        <w:tc>
          <w:tcPr/>
          <w:p>
            <w:pPr>
              <w:pStyle w:val="Compact"/>
              <w:jc w:val="left"/>
            </w:pPr>
            <w:r>
              <w:t xml:space="preserve">2 — Consolider</w:t>
            </w:r>
          </w:p>
        </w:tc>
        <w:tc>
          <w:tcPr/>
          <w:p>
            <w:pPr>
              <w:pStyle w:val="Compact"/>
              <w:jc w:val="left"/>
            </w:pPr>
            <w:r>
              <w:t xml:space="preserve">Portefeuille clients, secrétaires/comptables partenaires</w:t>
            </w:r>
          </w:p>
        </w:tc>
        <w:tc>
          <w:tcPr/>
          <w:p>
            <w:pPr>
              <w:pStyle w:val="Compact"/>
              <w:jc w:val="left"/>
            </w:pPr>
            <w:r>
              <w:t xml:space="preserve">Phase 2 (+ Marketplace)</w:t>
            </w:r>
          </w:p>
        </w:tc>
      </w:tr>
      <w:tr>
        <w:tc>
          <w:tcPr/>
          <w:p>
            <w:pPr>
              <w:pStyle w:val="Compact"/>
              <w:jc w:val="left"/>
            </w:pPr>
            <w:r>
              <w:t xml:space="preserve">3 — Déployer</w:t>
            </w:r>
          </w:p>
        </w:tc>
        <w:tc>
          <w:tcPr/>
          <w:p>
            <w:pPr>
              <w:pStyle w:val="Compact"/>
              <w:jc w:val="left"/>
            </w:pPr>
            <w:r>
              <w:t xml:space="preserve">Couverture nationale, application mobile, coffre-fort numérique</w:t>
            </w:r>
          </w:p>
        </w:tc>
        <w:tc>
          <w:tcPr/>
          <w:p>
            <w:pPr>
              <w:pStyle w:val="Compact"/>
              <w:jc w:val="left"/>
            </w:pPr>
            <w:r>
              <w:t xml:space="preserve">Phase 3</w:t>
            </w:r>
          </w:p>
        </w:tc>
      </w:tr>
      <w:tr>
        <w:tc>
          <w:tcPr/>
          <w:p>
            <w:pPr>
              <w:pStyle w:val="Compact"/>
              <w:jc w:val="left"/>
            </w:pPr>
            <w:r>
              <w:t xml:space="preserve">4 — Innover</w:t>
            </w:r>
          </w:p>
        </w:tc>
        <w:tc>
          <w:tcPr/>
          <w:p>
            <w:pPr>
              <w:pStyle w:val="Compact"/>
              <w:jc w:val="left"/>
            </w:pPr>
            <w:r>
              <w:t xml:space="preserve">IA avancée, reconnaissance de documents, assistants</w:t>
            </w:r>
          </w:p>
        </w:tc>
        <w:tc>
          <w:tcPr/>
          <w:p>
            <w:pPr>
              <w:pStyle w:val="Compact"/>
              <w:jc w:val="left"/>
            </w:pPr>
            <w:r>
              <w:t xml:space="preserve">Phase 4</w:t>
            </w:r>
          </w:p>
        </w:tc>
      </w:tr>
      <w:tr>
        <w:tc>
          <w:tcPr/>
          <w:p>
            <w:pPr>
              <w:pStyle w:val="Compact"/>
              <w:jc w:val="left"/>
            </w:pPr>
            <w:r>
              <w:t xml:space="preserve">5 — Rayonner</w:t>
            </w:r>
          </w:p>
        </w:tc>
        <w:tc>
          <w:tcPr/>
          <w:p>
            <w:pPr>
              <w:pStyle w:val="Compact"/>
              <w:jc w:val="left"/>
            </w:pPr>
            <w:r>
              <w:t xml:space="preserve">Déploiement régional (OHADA), multilingue, intégrations</w:t>
            </w:r>
          </w:p>
        </w:tc>
        <w:tc>
          <w:tcPr/>
          <w:p>
            <w:pPr>
              <w:pStyle w:val="Compact"/>
              <w:jc w:val="left"/>
            </w:pPr>
            <w:r>
              <w:t xml:space="preserve">Au-delà du périmètre applicatif actuel</w:t>
            </w:r>
          </w:p>
        </w:tc>
      </w:tr>
    </w:tbl>
    <w:bookmarkEnd w:id="148"/>
    <w:bookmarkStart w:id="149" w:name="glossaire"/>
    <w:p>
      <w:pPr>
        <w:pStyle w:val="Heading2"/>
      </w:pPr>
      <w:r>
        <w:t xml:space="preserve">45. Glossaire</w:t>
      </w:r>
    </w:p>
    <w:p>
      <w:pPr>
        <w:pStyle w:val="FirstParagraph"/>
      </w:pPr>
      <w:r>
        <w:t xml:space="preserve">🟢[Document]/🔵[Réglementaire]/🟠[Proposition complémentaire]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OHADA</w:t>
            </w:r>
          </w:p>
        </w:tc>
        <w:tc>
          <w:tcPr/>
          <w:p>
            <w:pPr>
              <w:pStyle w:val="Compact"/>
              <w:jc w:val="left"/>
            </w:pPr>
            <w:r>
              <w:t xml:space="preserve">Organisation pour l’Harmonisation en Afrique du Droit des Affaires — 17 États membres</w:t>
            </w:r>
          </w:p>
        </w:tc>
      </w:tr>
      <w:tr>
        <w:tc>
          <w:tcPr/>
          <w:p>
            <w:pPr>
              <w:pStyle w:val="Compact"/>
              <w:jc w:val="left"/>
            </w:pPr>
            <w:r>
              <w:rPr>
                <w:bCs/>
                <w:b/>
              </w:rPr>
              <w:t xml:space="preserve">AUDCIF</w:t>
            </w:r>
          </w:p>
        </w:tc>
        <w:tc>
          <w:tcPr/>
          <w:p>
            <w:pPr>
              <w:pStyle w:val="Compact"/>
              <w:jc w:val="left"/>
            </w:pPr>
            <w:r>
              <w:t xml:space="preserve">Acte Uniforme relatif au Droit Comptable et à l’Information Financière (OHADA, révisé 2017, applicable depuis le 1er janvier 2018)</w:t>
            </w:r>
          </w:p>
        </w:tc>
      </w:tr>
      <w:tr>
        <w:tc>
          <w:tcPr/>
          <w:p>
            <w:pPr>
              <w:pStyle w:val="Compact"/>
              <w:jc w:val="left"/>
            </w:pPr>
            <w:r>
              <w:rPr>
                <w:bCs/>
                <w:b/>
              </w:rPr>
              <w:t xml:space="preserve">SYSCOHADA</w:t>
            </w:r>
          </w:p>
        </w:tc>
        <w:tc>
          <w:tcPr/>
          <w:p>
            <w:pPr>
              <w:pStyle w:val="Compact"/>
              <w:jc w:val="left"/>
            </w:pPr>
            <w:r>
              <w:t xml:space="preserve">Système Comptable OHADA — référentiel comptable en vigueur dans l’espace UEMOA/OHADA, structuré en 9 classes de comptes (Partie 10.2)</w:t>
            </w:r>
          </w:p>
        </w:tc>
      </w:tr>
      <w:tr>
        <w:tc>
          <w:tcPr/>
          <w:p>
            <w:pPr>
              <w:pStyle w:val="Compact"/>
              <w:jc w:val="left"/>
            </w:pPr>
            <w:r>
              <w:rPr>
                <w:bCs/>
                <w:b/>
              </w:rPr>
              <w:t xml:space="preserve">CGI</w:t>
            </w:r>
          </w:p>
        </w:tc>
        <w:tc>
          <w:tcPr/>
          <w:p>
            <w:pPr>
              <w:pStyle w:val="Compact"/>
              <w:jc w:val="left"/>
            </w:pPr>
            <w:r>
              <w:t xml:space="preserve">Code Général des Impôts (droit national — au Bénin notamment)</w:t>
            </w:r>
          </w:p>
        </w:tc>
      </w:tr>
      <w:tr>
        <w:tc>
          <w:tcPr/>
          <w:p>
            <w:pPr>
              <w:pStyle w:val="Compact"/>
              <w:jc w:val="left"/>
            </w:pPr>
            <w:r>
              <w:rPr>
                <w:bCs/>
                <w:b/>
              </w:rPr>
              <w:t xml:space="preserve">DGI</w:t>
            </w:r>
          </w:p>
        </w:tc>
        <w:tc>
          <w:tcPr/>
          <w:p>
            <w:pPr>
              <w:pStyle w:val="Compact"/>
              <w:jc w:val="left"/>
            </w:pPr>
            <w:r>
              <w:t xml:space="preserve">Direction Générale des Impôts — administration fiscale béninoise, distincte de la CNSS</w:t>
            </w:r>
          </w:p>
        </w:tc>
      </w:tr>
      <w:tr>
        <w:tc>
          <w:tcPr/>
          <w:p>
            <w:pPr>
              <w:pStyle w:val="Compact"/>
              <w:jc w:val="left"/>
            </w:pPr>
            <w:r>
              <w:rPr>
                <w:bCs/>
                <w:b/>
              </w:rPr>
              <w:t xml:space="preserve">CNSS</w:t>
            </w:r>
          </w:p>
        </w:tc>
        <w:tc>
          <w:tcPr/>
          <w:p>
            <w:pPr>
              <w:pStyle w:val="Compact"/>
              <w:jc w:val="left"/>
            </w:pPr>
            <w:r>
              <w:t xml:space="preserve">Caisse Nationale de Sécurité Sociale (Bénin)</w:t>
            </w:r>
          </w:p>
        </w:tc>
      </w:tr>
      <w:tr>
        <w:tc>
          <w:tcPr/>
          <w:p>
            <w:pPr>
              <w:pStyle w:val="Compact"/>
              <w:jc w:val="left"/>
            </w:pPr>
            <w:r>
              <w:rPr>
                <w:bCs/>
                <w:b/>
              </w:rPr>
              <w:t xml:space="preserve">APDP</w:t>
            </w:r>
          </w:p>
        </w:tc>
        <w:tc>
          <w:tcPr/>
          <w:p>
            <w:pPr>
              <w:pStyle w:val="Compact"/>
              <w:jc w:val="left"/>
            </w:pPr>
            <w:r>
              <w:t xml:space="preserve">Autorité de Protection des Données Personnelles (Bénin)</w:t>
            </w:r>
          </w:p>
        </w:tc>
      </w:tr>
      <w:tr>
        <w:tc>
          <w:tcPr/>
          <w:p>
            <w:pPr>
              <w:pStyle w:val="Compact"/>
              <w:jc w:val="left"/>
            </w:pPr>
            <w:r>
              <w:rPr>
                <w:bCs/>
                <w:b/>
              </w:rPr>
              <w:t xml:space="preserve">TVA</w:t>
            </w:r>
          </w:p>
        </w:tc>
        <w:tc>
          <w:tcPr/>
          <w:p>
            <w:pPr>
              <w:pStyle w:val="Compact"/>
              <w:jc w:val="left"/>
            </w:pPr>
            <w:r>
              <w:t xml:space="preserve">Taxe sur la Valeur Ajoutée — 18 % taux unique au Bénin (2026)</w:t>
            </w:r>
          </w:p>
        </w:tc>
      </w:tr>
      <w:tr>
        <w:tc>
          <w:tcPr/>
          <w:p>
            <w:pPr>
              <w:pStyle w:val="Compact"/>
              <w:jc w:val="left"/>
            </w:pPr>
            <w:r>
              <w:rPr>
                <w:bCs/>
                <w:b/>
              </w:rPr>
              <w:t xml:space="preserve">IS</w:t>
            </w:r>
          </w:p>
        </w:tc>
        <w:tc>
          <w:tcPr/>
          <w:p>
            <w:pPr>
              <w:pStyle w:val="Compact"/>
              <w:jc w:val="left"/>
            </w:pPr>
            <w:r>
              <w:t xml:space="preserve">Impôt sur les Sociétés — 30 % du bénéfice imposable au Bénin (25 % pour l’enseignement privé)</w:t>
            </w:r>
          </w:p>
        </w:tc>
      </w:tr>
      <w:tr>
        <w:tc>
          <w:tcPr/>
          <w:p>
            <w:pPr>
              <w:pStyle w:val="Compact"/>
              <w:jc w:val="left"/>
            </w:pPr>
            <w:r>
              <w:rPr>
                <w:bCs/>
                <w:b/>
              </w:rPr>
              <w:t xml:space="preserve">ITS</w:t>
            </w:r>
          </w:p>
        </w:tc>
        <w:tc>
          <w:tcPr/>
          <w:p>
            <w:pPr>
              <w:pStyle w:val="Compact"/>
              <w:jc w:val="left"/>
            </w:pPr>
            <w:r>
              <w:t xml:space="preserve">Impôt sur les Traitements et Salaires — impôt béninois sur les revenus salariaux, à barème progressif mensuel (remplace toute mention erronée d’« IRPP » pour les salaires)</w:t>
            </w:r>
          </w:p>
        </w:tc>
      </w:tr>
      <w:tr>
        <w:tc>
          <w:tcPr/>
          <w:p>
            <w:pPr>
              <w:pStyle w:val="Compact"/>
              <w:jc w:val="left"/>
            </w:pPr>
            <w:r>
              <w:rPr>
                <w:bCs/>
                <w:b/>
              </w:rPr>
              <w:t xml:space="preserve">TPS</w:t>
            </w:r>
          </w:p>
        </w:tc>
        <w:tc>
          <w:tcPr/>
          <w:p>
            <w:pPr>
              <w:pStyle w:val="Compact"/>
              <w:jc w:val="left"/>
            </w:pPr>
            <w:r>
              <w:t xml:space="preserve">Taxe Professionnelle Synthétique — régime fiscal simplifié béninois pour les petites entreprises</w:t>
            </w:r>
          </w:p>
        </w:tc>
      </w:tr>
      <w:tr>
        <w:tc>
          <w:tcPr/>
          <w:p>
            <w:pPr>
              <w:pStyle w:val="Compact"/>
              <w:jc w:val="left"/>
            </w:pPr>
            <w:r>
              <w:rPr>
                <w:bCs/>
                <w:b/>
              </w:rPr>
              <w:t xml:space="preserve">VPS</w:t>
            </w:r>
          </w:p>
        </w:tc>
        <w:tc>
          <w:tcPr/>
          <w:p>
            <w:pPr>
              <w:pStyle w:val="Compact"/>
              <w:jc w:val="left"/>
            </w:pPr>
            <w:r>
              <w:t xml:space="preserve">Versement Patronal sur Salaires</w:t>
            </w:r>
          </w:p>
        </w:tc>
      </w:tr>
      <w:tr>
        <w:tc>
          <w:tcPr/>
          <w:p>
            <w:pPr>
              <w:pStyle w:val="Compact"/>
              <w:jc w:val="left"/>
            </w:pPr>
            <w:r>
              <w:rPr>
                <w:bCs/>
                <w:b/>
              </w:rPr>
              <w:t xml:space="preserve">AIB</w:t>
            </w:r>
          </w:p>
        </w:tc>
        <w:tc>
          <w:tcPr/>
          <w:p>
            <w:pPr>
              <w:pStyle w:val="Compact"/>
              <w:jc w:val="left"/>
            </w:pPr>
            <w:r>
              <w:t xml:space="preserve">Acompte sur Impôt assis sur les Bénéfices</w:t>
            </w:r>
          </w:p>
        </w:tc>
      </w:tr>
      <w:tr>
        <w:tc>
          <w:tcPr/>
          <w:p>
            <w:pPr>
              <w:pStyle w:val="Compact"/>
              <w:jc w:val="left"/>
            </w:pPr>
            <w:r>
              <w:rPr>
                <w:bCs/>
                <w:b/>
              </w:rPr>
              <w:t xml:space="preserve">MFP</w:t>
            </w:r>
          </w:p>
        </w:tc>
        <w:tc>
          <w:tcPr/>
          <w:p>
            <w:pPr>
              <w:pStyle w:val="Compact"/>
              <w:jc w:val="left"/>
            </w:pPr>
            <w:r>
              <w:t xml:space="preserve">Minimum Forfaitaire de Perception</w:t>
            </w:r>
          </w:p>
        </w:tc>
      </w:tr>
      <w:tr>
        <w:tc>
          <w:tcPr/>
          <w:p>
            <w:pPr>
              <w:pStyle w:val="Compact"/>
              <w:jc w:val="left"/>
            </w:pPr>
            <w:r>
              <w:rPr>
                <w:bCs/>
                <w:b/>
              </w:rPr>
              <w:t xml:space="preserve">e-MECeF / Sygmef</w:t>
            </w:r>
          </w:p>
        </w:tc>
        <w:tc>
          <w:tcPr/>
          <w:p>
            <w:pPr>
              <w:pStyle w:val="Compact"/>
              <w:jc w:val="left"/>
            </w:pPr>
            <w:r>
              <w:t xml:space="preserve">Dispositif de facturation électronique certifiée en vigueur au Bénin</w:t>
            </w:r>
          </w:p>
        </w:tc>
      </w:tr>
      <w:tr>
        <w:tc>
          <w:tcPr/>
          <w:p>
            <w:pPr>
              <w:pStyle w:val="Compact"/>
              <w:jc w:val="left"/>
            </w:pPr>
            <w:r>
              <w:rPr>
                <w:bCs/>
                <w:b/>
              </w:rPr>
              <w:t xml:space="preserve">RAG</w:t>
            </w:r>
          </w:p>
        </w:tc>
        <w:tc>
          <w:tcPr/>
          <w:p>
            <w:pPr>
              <w:pStyle w:val="Compact"/>
              <w:jc w:val="left"/>
            </w:pPr>
            <w:r>
              <w:t xml:space="preserve">Retrieval-Augmented Generation (génération augmentée par récupération) — technique IA fournissant à l’IA le contexte réel de l’entreprise</w:t>
            </w:r>
          </w:p>
        </w:tc>
      </w:tr>
      <w:tr>
        <w:tc>
          <w:tcPr/>
          <w:p>
            <w:pPr>
              <w:pStyle w:val="Compact"/>
              <w:jc w:val="left"/>
            </w:pPr>
            <w:r>
              <w:rPr>
                <w:bCs/>
                <w:b/>
              </w:rPr>
              <w:t xml:space="preserve">Mode support</w:t>
            </w:r>
          </w:p>
        </w:tc>
        <w:tc>
          <w:tcPr/>
          <w:p>
            <w:pPr>
              <w:pStyle w:val="Compact"/>
              <w:jc w:val="left"/>
            </w:pPr>
            <w:r>
              <w:t xml:space="preserve">Session temporaire et journalisée permettant au Super Admin d’assister une entreprise cliente</w:t>
            </w:r>
          </w:p>
        </w:tc>
      </w:tr>
      <w:tr>
        <w:tc>
          <w:tcPr/>
          <w:p>
            <w:pPr>
              <w:pStyle w:val="Compact"/>
              <w:jc w:val="left"/>
            </w:pPr>
            <w:r>
              <w:rPr>
                <w:bCs/>
                <w:b/>
              </w:rPr>
              <w:t xml:space="preserve">IA ACTION</w:t>
            </w:r>
          </w:p>
        </w:tc>
        <w:tc>
          <w:tcPr/>
          <w:p>
            <w:pPr>
              <w:pStyle w:val="Compact"/>
              <w:jc w:val="left"/>
            </w:pPr>
            <w:r>
              <w:t xml:space="preserve">Mention utilisée dans l’Historique pour toute action réalisée par l’assistant IA</w:t>
            </w:r>
          </w:p>
        </w:tc>
      </w:tr>
      <w:tr>
        <w:tc>
          <w:tcPr/>
          <w:p>
            <w:pPr>
              <w:pStyle w:val="Compact"/>
              <w:jc w:val="left"/>
            </w:pPr>
            <w:r>
              <w:rPr>
                <w:bCs/>
                <w:b/>
              </w:rPr>
              <w:t xml:space="preserve">Demande client</w:t>
            </w:r>
          </w:p>
        </w:tc>
        <w:tc>
          <w:tcPr/>
          <w:p>
            <w:pPr>
              <w:pStyle w:val="Compact"/>
              <w:jc w:val="left"/>
            </w:pPr>
            <w:r>
              <w:t xml:space="preserve">Sollicitation soumise par un client final d’une entreprise via un formulaire simple, sans création de compte, traitée directement par le personnel de l’entreprise</w:t>
            </w:r>
          </w:p>
        </w:tc>
      </w:tr>
      <w:tr>
        <w:tc>
          <w:tcPr/>
          <w:p>
            <w:pPr>
              <w:pStyle w:val="Compact"/>
              <w:jc w:val="left"/>
            </w:pPr>
            <w:r>
              <w:rPr>
                <w:bCs/>
                <w:b/>
              </w:rPr>
              <w:t xml:space="preserve">Pool de personnel GEL</w:t>
            </w:r>
          </w:p>
        </w:tc>
        <w:tc>
          <w:tcPr/>
          <w:p>
            <w:pPr>
              <w:pStyle w:val="Compact"/>
              <w:jc w:val="left"/>
            </w:pPr>
            <w:r>
              <w:t xml:space="preserve">Ensemble des secrétaires et comptables employés/partenaires de GEL, affectables aux entreprises du Modèle 2</w:t>
            </w:r>
          </w:p>
        </w:tc>
      </w:tr>
      <w:tr>
        <w:tc>
          <w:tcPr/>
          <w:p>
            <w:pPr>
              <w:pStyle w:val="Compact"/>
              <w:jc w:val="left"/>
            </w:pPr>
            <w:r>
              <w:rPr>
                <w:bCs/>
                <w:b/>
              </w:rPr>
              <w:t xml:space="preserve">Score de Conformité GEL®</w:t>
            </w:r>
          </w:p>
        </w:tc>
        <w:tc>
          <w:tcPr/>
          <w:p>
            <w:pPr>
              <w:pStyle w:val="Compact"/>
              <w:jc w:val="left"/>
            </w:pPr>
            <w:r>
              <w:t xml:space="preserve">Outil propriétaire de notation de la conformité administrative, comptable et fiscale d’une entreprise</w:t>
            </w:r>
          </w:p>
        </w:tc>
      </w:tr>
      <w:tr>
        <w:tc>
          <w:tcPr/>
          <w:p>
            <w:pPr>
              <w:pStyle w:val="Compact"/>
              <w:jc w:val="left"/>
            </w:pPr>
            <w:r>
              <w:rPr>
                <w:bCs/>
                <w:b/>
              </w:rPr>
              <w:t xml:space="preserve">Passeport Entreprise GEL®</w:t>
            </w:r>
          </w:p>
        </w:tc>
        <w:tc>
          <w:tcPr/>
          <w:p>
            <w:pPr>
              <w:pStyle w:val="Compact"/>
              <w:jc w:val="left"/>
            </w:pPr>
            <w:r>
              <w:t xml:space="preserve">Document de synthèse (identité + conformité + indicateurs financiers) généré automatiquement</w:t>
            </w:r>
          </w:p>
        </w:tc>
      </w:tr>
      <w:tr>
        <w:tc>
          <w:tcPr/>
          <w:p>
            <w:pPr>
              <w:pStyle w:val="Compact"/>
              <w:jc w:val="left"/>
            </w:pPr>
            <w:r>
              <w:rPr>
                <w:bCs/>
                <w:b/>
              </w:rPr>
              <w:t xml:space="preserve">Tableau de Bord GEL®</w:t>
            </w:r>
          </w:p>
        </w:tc>
        <w:tc>
          <w:tcPr/>
          <w:p>
            <w:pPr>
              <w:pStyle w:val="Compact"/>
              <w:jc w:val="left"/>
            </w:pPr>
            <w:r>
              <w:t xml:space="preserve">Vue agrégée pour le dirigeant de l’ensemble des indicateurs clés</w:t>
            </w:r>
          </w:p>
        </w:tc>
      </w:tr>
    </w:tbl>
    <w:p>
      <w:r>
        <w:pict>
          <v:rect style="width:0;height:1.5pt" o:hralign="center" o:hrstd="t" o:hr="t"/>
        </w:pict>
      </w:r>
    </w:p>
    <w:bookmarkEnd w:id="149"/>
    <w:bookmarkStart w:id="150" w:name="annexe-sources-et-limites-de-ce-document"/>
    <w:p>
      <w:pPr>
        <w:pStyle w:val="Heading2"/>
      </w:pPr>
      <w:r>
        <w:t xml:space="preserve">Annexe — Sources et limites de ce document</w:t>
      </w:r>
    </w:p>
    <w:p>
      <w:pPr>
        <w:pStyle w:val="FirstParagraph"/>
      </w:pPr>
      <w:r>
        <w:t xml:space="preserve">Ce cahier des charges a été produit à partir des documents fournis par l’utilisateur (deux cahiers des charges GEL, 24 captures d’écran du prototype, l’AUDCIF au format PDF) et de recherches web complémentaires explicitement demandées (référentiel plan-comptable-ohada.com, actualité fiscale Bénin 2026). Deux limites doivent être communiquées clairement à l’équipe projet :</w:t>
      </w:r>
    </w:p>
    <w:p>
      <w:pPr>
        <w:numPr>
          <w:ilvl w:val="0"/>
          <w:numId w:val="1053"/>
        </w:numPr>
        <w:pStyle w:val="Compact"/>
      </w:pPr>
      <w:r>
        <w:rPr>
          <w:bCs/>
          <w:b/>
        </w:rPr>
        <w:t xml:space="preserve">Le contenu détaillé du CGI béninois 2026 et de la loi de finances 2026</w:t>
      </w:r>
      <w:r>
        <w:t xml:space="preserve"> </w:t>
      </w:r>
      <w:r>
        <w:t xml:space="preserve">n’a pas pu être vérifié article par article sur le texte officiel intégral dans le cadre de cette session (le PDF disponible sur budgetbenin.bj n’a pas pu être extrait en texte exploitable). Les taux et réformes cités en Partie 12 combinent les données déjà présentes dans les cahiers des charges transmis et des recherches web complémentaires ;</w:t>
      </w:r>
      <w:r>
        <w:t xml:space="preserve"> </w:t>
      </w:r>
      <w:r>
        <w:rPr>
          <w:bCs/>
          <w:b/>
        </w:rPr>
        <w:t xml:space="preserve">ils doivent être formellement validés par un fiscaliste béninois avant tout paramétrage définitif du moteur fiscal en production</w:t>
      </w:r>
      <w:r>
        <w:t xml:space="preserve">.</w:t>
      </w:r>
    </w:p>
    <w:p>
      <w:pPr>
        <w:numPr>
          <w:ilvl w:val="0"/>
          <w:numId w:val="1053"/>
        </w:numPr>
        <w:pStyle w:val="Compact"/>
      </w:pPr>
      <w:r>
        <w:rPr>
          <w:bCs/>
          <w:b/>
        </w:rPr>
        <w:t xml:space="preserve">Le texte intégral de l’AUDCIF transmis (PDF de 94 Mo)</w:t>
      </w:r>
      <w:r>
        <w:t xml:space="preserve"> </w:t>
      </w:r>
      <w:r>
        <w:t xml:space="preserve">est un scan du Journal Officiel OHADA dont l’extraction automatique de texte s’est révélée en grande partie illisible (encodage/OCR défaillant), à l’exception de sa table des matières. La</w:t>
      </w:r>
      <w:r>
        <w:t xml:space="preserve"> </w:t>
      </w:r>
      <w:r>
        <w:rPr>
          <w:bCs/>
          <w:b/>
        </w:rPr>
        <w:t xml:space="preserve">nomenclature des 9 classes et des comptes du plan SYSCOHADA</w:t>
      </w:r>
      <w:r>
        <w:t xml:space="preserve"> </w:t>
      </w:r>
      <w:r>
        <w:t xml:space="preserve">utilisée dans ce document (Partie 10.2) provient donc de la consultation directe du site de référence demandé par l’utilisateur (plan-comptable-ohada.com), qui reprend la même nomenclature officielle. Pour toute question d’interprétation fine d’un compte (fonctionnement détaillé, exclusions, éléments de contrôle), il est recommandé de consulter directement l’AUDCIF ou plan-comptable-ohada.com au moment du développement du module concerné.</w:t>
      </w:r>
    </w:p>
    <w:p>
      <w:pPr>
        <w:pStyle w:val="FirstParagraph"/>
      </w:pPr>
      <w:r>
        <w:rPr>
          <w:bCs/>
          <w:b/>
        </w:rPr>
        <w:t xml:space="preserve">Fin du cahier des charges global du projet GEL.</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2026-08-09T19:28:19Z</dcterms:created>
  <dcterms:modified xsi:type="dcterms:W3CDTF">2026-08-09T19:28:19Z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