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ABF-001 Reviewer Guide</w:t>
      </w:r>
    </w:p>
    <w:p>
      <w:pPr>
        <w:pStyle w:val="Heading1"/>
      </w:pPr>
      <w:r>
        <w:t>Purpose</w:t>
      </w:r>
    </w:p>
    <w:p>
      <w:r>
        <w:t>This guide directs independent reviewers to the load-bearing claims, evidence routes, and known limitations of ABF-001.</w:t>
      </w:r>
    </w:p>
    <w:p>
      <w:pPr>
        <w:pStyle w:val="Heading1"/>
      </w:pPr>
      <w:r>
        <w:t>Suggested review sequence</w:t>
      </w:r>
    </w:p>
    <w:p>
      <w:pPr>
        <w:pStyle w:val="ListNumber"/>
      </w:pPr>
      <w:r>
        <w:t>Read the abstract, Sections 2-5, and the claim ledger.</w:t>
      </w:r>
    </w:p>
    <w:p>
      <w:pPr>
        <w:pStyle w:val="ListNumber"/>
      </w:pPr>
      <w:r>
        <w:t>Check the Reed-Muller degree threshold in Theorem 1.</w:t>
      </w:r>
    </w:p>
    <w:p>
      <w:pPr>
        <w:pStyle w:val="ListNumber"/>
      </w:pPr>
      <w:r>
        <w:t>Check the affine-coordinate spanning argument in Theorem 2.</w:t>
      </w:r>
    </w:p>
    <w:p>
      <w:pPr>
        <w:pStyle w:val="ListNumber"/>
      </w:pPr>
      <w:r>
        <w:t>Recompute the order-zero signature formula.</w:t>
      </w:r>
    </w:p>
    <w:p>
      <w:pPr>
        <w:pStyle w:val="ListNumber"/>
      </w:pPr>
      <w:r>
        <w:t>Run the primary verifier and six focused tests.</w:t>
      </w:r>
    </w:p>
    <w:p>
      <w:pPr>
        <w:pStyle w:val="ListNumber"/>
      </w:pPr>
      <w:r>
        <w:t>Run the independent bitset verifier.</w:t>
      </w:r>
    </w:p>
    <w:p>
      <w:pPr>
        <w:pStyle w:val="ListNumber"/>
      </w:pPr>
      <w:r>
        <w:t>Compare the two edge-atlas SHA-256 identities.</w:t>
      </w:r>
    </w:p>
    <w:p>
      <w:pPr>
        <w:pStyle w:val="ListNumber"/>
      </w:pPr>
      <w:r>
        <w:t>Inspect the corrected indexed-versus-distinct radical count.</w:t>
      </w:r>
    </w:p>
    <w:p>
      <w:pPr>
        <w:pStyle w:val="ListNumber"/>
      </w:pPr>
      <w:r>
        <w:t>Search for prior equivalent results under alternate terminology.</w:t>
      </w:r>
    </w:p>
    <w:p>
      <w:pPr>
        <w:pStyle w:val="Heading1"/>
      </w:pPr>
      <w:r>
        <w:t>Principal claims to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6F1"/>
          </w:tcPr>
          <w:p>
            <w:r>
              <w:t>Claim</w:t>
            </w:r>
          </w:p>
        </w:tc>
        <w:tc>
          <w:tcPr>
            <w:tcW w:type="dxa" w:w="5112"/>
            <w:shd w:fill="DCE6F1"/>
          </w:tcPr>
          <w:p>
            <w:r>
              <w:t>Failure mode to seek</w:t>
            </w:r>
          </w:p>
        </w:tc>
      </w:tr>
      <w:tr>
        <w:tc>
          <w:tcPr>
            <w:tcW w:type="dxa" w:w="5112"/>
          </w:tcPr>
          <w:p>
            <w:r>
              <w:t>Moment criterion</w:t>
            </w:r>
          </w:p>
        </w:tc>
        <w:tc>
          <w:tcPr>
            <w:tcW w:type="dxa" w:w="5112"/>
          </w:tcPr>
          <w:p>
            <w:r>
              <w:t>off-by-one degree threshold or incomplete monomial span</w:t>
            </w:r>
          </w:p>
        </w:tc>
      </w:tr>
      <w:tr>
        <w:tc>
          <w:tcPr>
            <w:tcW w:type="dxa" w:w="5112"/>
          </w:tcPr>
          <w:p>
            <w:r>
              <w:t>Bidual incidence</w:t>
            </w:r>
          </w:p>
        </w:tc>
        <w:tc>
          <w:tcPr>
            <w:tcW w:type="dxa" w:w="5112"/>
          </w:tcPr>
          <w:p>
            <w:r>
              <w:t>affine-coordinate convention error or nonlinearity in q</w:t>
            </w:r>
          </w:p>
        </w:tc>
      </w:tr>
      <w:tr>
        <w:tc>
          <w:tcPr>
            <w:tcW w:type="dxa" w:w="5112"/>
          </w:tcPr>
          <w:p>
            <w:r>
              <w:t>Punctured kernel</w:t>
            </w:r>
          </w:p>
        </w:tc>
        <w:tc>
          <w:tcPr>
            <w:tcW w:type="dxa" w:w="5112"/>
          </w:tcPr>
          <w:p>
            <w:r>
              <w:t>invalid parameter retained or valid parameter omitted</w:t>
            </w:r>
          </w:p>
        </w:tc>
      </w:tr>
      <w:tr>
        <w:tc>
          <w:tcPr>
            <w:tcW w:type="dxa" w:w="5112"/>
          </w:tcPr>
          <w:p>
            <w:r>
              <w:t>Symmetric pencil</w:t>
            </w:r>
          </w:p>
        </w:tc>
        <w:tc>
          <w:tcPr>
            <w:tcW w:type="dxa" w:w="5112"/>
          </w:tcPr>
          <w:p>
            <w:r>
              <w:t>matrix indexing error, asymmetry, or wrong kernel interpretation</w:t>
            </w:r>
          </w:p>
        </w:tc>
      </w:tr>
      <w:tr>
        <w:tc>
          <w:tcPr>
            <w:tcW w:type="dxa" w:w="5112"/>
          </w:tcPr>
          <w:p>
            <w:r>
              <w:t>511 exceptional hyperplanes</w:t>
            </w:r>
          </w:p>
        </w:tc>
        <w:tc>
          <w:tcPr>
            <w:tcW w:type="dxa" w:w="5112"/>
          </w:tcPr>
          <w:p>
            <w:r>
              <w:t>rank/nullity or invalid-parameter counting error</w:t>
            </w:r>
          </w:p>
        </w:tc>
      </w:tr>
      <w:tr>
        <w:tc>
          <w:tcPr>
            <w:tcW w:type="dxa" w:w="5112"/>
          </w:tcPr>
          <w:p>
            <w:r>
              <w:t>Rank histogram</w:t>
            </w:r>
          </w:p>
        </w:tc>
        <w:tc>
          <w:tcPr>
            <w:tcW w:type="dxa" w:w="5112"/>
          </w:tcPr>
          <w:p>
            <w:r>
              <w:t>truth-table or elimination error</w:t>
            </w:r>
          </w:p>
        </w:tc>
      </w:tr>
      <w:tr>
        <w:tc>
          <w:tcPr>
            <w:tcW w:type="dxa" w:w="5112"/>
          </w:tcPr>
          <w:p>
            <w:r>
              <w:t>469-edge double count</w:t>
            </w:r>
          </w:p>
        </w:tc>
        <w:tc>
          <w:tcPr>
            <w:tcW w:type="dxa" w:w="5112"/>
          </w:tcPr>
          <w:p>
            <w:r>
              <w:t>disagreement between mask-first and hyperplane-first routes</w:t>
            </w:r>
          </w:p>
        </w:tc>
      </w:tr>
      <w:tr>
        <w:tc>
          <w:tcPr>
            <w:tcW w:type="dxa" w:w="5112"/>
          </w:tcPr>
          <w:p>
            <w:r>
              <w:t>202 distinct subspaces</w:t>
            </w:r>
          </w:p>
        </w:tc>
        <w:tc>
          <w:tcPr>
            <w:tcW w:type="dxa" w:w="5112"/>
          </w:tcPr>
          <w:p>
            <w:r>
              <w:t>unrecognized additional duplicate or intersection</w:t>
            </w:r>
          </w:p>
        </w:tc>
      </w:tr>
      <w:tr>
        <w:tc>
          <w:tcPr>
            <w:tcW w:type="dxa" w:w="5112"/>
          </w:tcPr>
          <w:p>
            <w:r>
              <w:t>Forest census</w:t>
            </w:r>
          </w:p>
        </w:tc>
        <w:tc>
          <w:tcPr>
            <w:tcW w:type="dxa" w:w="5112"/>
          </w:tcPr>
          <w:p>
            <w:r>
              <w:t>missed cycle or component</w:t>
            </w:r>
          </w:p>
        </w:tc>
      </w:tr>
    </w:tbl>
    <w:p>
      <w:pPr>
        <w:pStyle w:val="Heading1"/>
      </w:pPr>
      <w:r>
        <w:t>Evidence hierarchy</w:t>
      </w:r>
    </w:p>
    <w:p>
      <w:pPr>
        <w:ind w:left="259"/>
      </w:pPr>
      <w:r>
        <w:rPr>
          <w:rFonts w:ascii="Aptos Mono" w:hAnsi="Aptos Mono"/>
          <w:sz w:val="16"/>
        </w:rPr>
        <w:t>human proof</w:t>
        <w:br/>
        <w:t xml:space="preserve">    + fresh NumPy implementation</w:t>
        <w:br/>
        <w:t xml:space="preserve">    + separately written bitset implementation</w:t>
        <w:br/>
        <w:t xml:space="preserve">    + historical separately written C implementation</w:t>
        <w:br/>
        <w:t xml:space="preserve">    + exhaustive small-universe controls</w:t>
        <w:br/>
        <w:t xml:space="preserve">    + deterministic hashes</w:t>
      </w:r>
    </w:p>
    <w:p>
      <w:r>
        <w:t>This hierarchy is substantial internal evidence. It is not external validation.</w:t>
      </w:r>
    </w:p>
    <w:p>
      <w:pPr>
        <w:pStyle w:val="Heading1"/>
      </w:pPr>
      <w:r>
        <w:t>Corrected finite statement</w:t>
      </w:r>
    </w:p>
    <w:p>
      <w:r>
        <w:t>The exact wording is:</w:t>
      </w:r>
    </w:p>
    <w:p>
      <w:pPr>
        <w:ind w:left="360"/>
      </w:pPr>
      <w:r>
        <w:t>The 255 nonzero masks contain 203 singular mask-indexed radicals representing 202 distinct nonzero radical subspaces. The only duplicate is the line `119d5`, shared by masks `8a` and `9b`.</w:t>
      </w:r>
    </w:p>
    <w:p>
      <w:r>
        <w:t>Do not shorten this to “203 distinct radicals.”</w:t>
      </w:r>
    </w:p>
    <w:p>
      <w:pPr>
        <w:pStyle w:val="Heading1"/>
      </w:pPr>
      <w:r>
        <w:t>Review dispositions</w:t>
      </w:r>
    </w:p>
    <w:p>
      <w:r>
        <w:t>Use one or more of:</w:t>
      </w:r>
    </w:p>
    <w:p>
      <w:pPr>
        <w:pStyle w:val="ListBullet"/>
      </w:pPr>
      <w:r>
        <w:t>confirmed for stated scope;</w:t>
      </w:r>
    </w:p>
    <w:p>
      <w:pPr>
        <w:pStyle w:val="ListBullet"/>
      </w:pPr>
      <w:r>
        <w:t>clarification required;</w:t>
      </w:r>
    </w:p>
    <w:p>
      <w:pPr>
        <w:pStyle w:val="ListBullet"/>
      </w:pPr>
      <w:r>
        <w:t>proof gap;</w:t>
      </w:r>
    </w:p>
    <w:p>
      <w:pPr>
        <w:pStyle w:val="ListBullet"/>
      </w:pPr>
      <w:r>
        <w:t>computational discrepancy;</w:t>
      </w:r>
    </w:p>
    <w:p>
      <w:pPr>
        <w:pStyle w:val="ListBullet"/>
      </w:pPr>
      <w:r>
        <w:t>earlier equivalent theorem;</w:t>
      </w:r>
    </w:p>
    <w:p>
      <w:pPr>
        <w:pStyle w:val="ListBullet"/>
      </w:pPr>
      <w:r>
        <w:t>known consequence;</w:t>
      </w:r>
    </w:p>
    <w:p>
      <w:pPr>
        <w:pStyle w:val="ListBullet"/>
      </w:pPr>
      <w:r>
        <w:t>counterexample;</w:t>
      </w:r>
    </w:p>
    <w:p>
      <w:pPr>
        <w:pStyle w:val="ListBullet"/>
      </w:pPr>
      <w:r>
        <w:t>scope reduction;</w:t>
      </w:r>
    </w:p>
    <w:p>
      <w:pPr>
        <w:pStyle w:val="ListBullet"/>
      </w:pPr>
      <w:r>
        <w:t>suitable after revision;</w:t>
      </w:r>
    </w:p>
    <w:p>
      <w:pPr>
        <w:pStyle w:val="ListBullet"/>
      </w:pPr>
      <w:r>
        <w:t>unsuitable for publication.</w:t>
      </w:r>
    </w:p>
    <w:p>
      <w:pPr>
        <w:pStyle w:val="Heading1"/>
      </w:pPr>
      <w:r>
        <w:t>Claim boundaries</w:t>
      </w:r>
    </w:p>
    <w:p>
      <w:r>
        <w:t>ABF-001 is not peer reviewed, proof-assistant verified, independently externally reproduced, historically first, or a full-width cryptographic result.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ABF-001</dc:title>
  <dc:subject>Candidate public technical review</dc:subject>
  <dc:creator>Matthew S. Novak</dc:creator>
  <cp:keywords>Boolean functions; affine restrictions; Reed-Muller; incidence geometry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