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je9rk8e4f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11 — GOVERNANCE &amp; POLICY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i8h0uhq1f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Governance-by-Math: Regulatory Models Enabled by Proof-Before-Action Enforcement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hjn9xogpu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nmwp163gg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presents NOVAK as a foundation for a new class of governance and regulatory systems. By embedding execution integrity directly into software, infrastructure, and administrative processes, NOVAK enables regulations that are self-enforcing, transparent, and provably followed — without relying on manual audits or after-the-fact punishment.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586zzaewg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governance depends on: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rules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trusting institutions to follow them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after the fact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punishing deviation inconsistently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allows regulators and policymakers to express certain classes of rules as </w:t>
      </w:r>
      <w:r w:rsidDel="00000000" w:rsidR="00000000" w:rsidRPr="00000000">
        <w:rPr>
          <w:b w:val="1"/>
          <w:bCs w:val="1"/>
          <w:rtl w:val="0"/>
        </w:rPr>
        <w:t xml:space="preserve">cryptographically enforced execution constraints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system cannot prove it is following the rules, it is not allowed to act.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“law-as-enforced-execution” rather than “law-as-written-intent.”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wfjn5ryyl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Self-Enforcing Regulation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Regulations in finance, healthcare, transportation, and safety-critical systems often fail because: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is delayed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is spotty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are complex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 are absorbed as a cost of doing business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NOVAK: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are embedded in the Safety Gate and EIR/HVET logic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action that violates rules becomes non-executable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non-compliance becomes technically impossible (not just illegal)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new paradigm: </w:t>
      </w:r>
      <w:r w:rsidDel="00000000" w:rsidR="00000000" w:rsidRPr="00000000">
        <w:rPr>
          <w:b w:val="1"/>
          <w:bCs w:val="1"/>
          <w:rtl w:val="0"/>
        </w:rPr>
        <w:t xml:space="preserve">regulation that cannot be bypassed.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mxi89xn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Policy Transparency and Traceability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rule-governed action produces: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verifiable evidence trail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binding between rule, input, and output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tamper-proof inclusion in RGAC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regulatory visibility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 dashboards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provable compliance reporting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or auditor access where appropriate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shifts from “checking after the fact” to “ensuring systems cannot misbehave in the first place.”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dfl4925zx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Impact on Public Agencies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can be applied to: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benefits administration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and contracting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and permitting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and revenue systems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justice and case management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elections infrastructure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domain, it: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fraud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silent misrouting or overrides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eligibility and process guarantees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that case outcomes are the result of correct rule application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gain operational integrity; the public gains verifiable fairness.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wr9k2n04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International Policy Harmonization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PbA systems provide: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shared technical language for compliance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machine-verifiable proof of adherence to cross-border standards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ambiguity about implementation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basis for mutual trust between governments and large institutions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enable: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interoperable regulatory frameworks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integrity requirements for AI and automation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trade and finance compliance proofs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birgebj2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Limits of Governance-by-Math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policy can or should be fully deterministic. Human judgment is essential for: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cases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compassionate exceptions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norms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interpretation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best suited for: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eligibility checks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integrity-preserving constraints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non-tampering guarantees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yes/no compliance conditions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remains human-led; NOVAK ensures systems do what they are </w:t>
      </w:r>
      <w:r w:rsidDel="00000000" w:rsidR="00000000" w:rsidRPr="00000000">
        <w:rPr>
          <w:i w:val="1"/>
          <w:iCs w:val="1"/>
          <w:rtl w:val="0"/>
        </w:rPr>
        <w:t xml:space="preserve">supposed</w:t>
      </w:r>
      <w:r w:rsidDel="00000000" w:rsidR="00000000" w:rsidRPr="00000000">
        <w:rPr>
          <w:rtl w:val="0"/>
        </w:rPr>
        <w:t xml:space="preserve"> to 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hbry22ywx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Migration Path for Policymakers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adoption plan: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critical integrity gaps</w:t>
      </w:r>
      <w:r w:rsidDel="00000000" w:rsidR="00000000" w:rsidRPr="00000000">
        <w:rPr>
          <w:rtl w:val="0"/>
        </w:rPr>
        <w:t xml:space="preserve"> (e.g., benefits fraud, procurement, safety systems).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Formalize specific rules</w:t>
      </w:r>
      <w:r w:rsidDel="00000000" w:rsidR="00000000" w:rsidRPr="00000000">
        <w:rPr>
          <w:rtl w:val="0"/>
        </w:rPr>
        <w:t xml:space="preserve"> into machine-verifiable conditions.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NOVAK Safety Gates</w:t>
      </w:r>
      <w:r w:rsidDel="00000000" w:rsidR="00000000" w:rsidRPr="00000000">
        <w:rPr>
          <w:rtl w:val="0"/>
        </w:rPr>
        <w:t xml:space="preserve"> around existing systems.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in controlled environments</w:t>
      </w:r>
      <w:r w:rsidDel="00000000" w:rsidR="00000000" w:rsidRPr="00000000">
        <w:rPr>
          <w:rtl w:val="0"/>
        </w:rPr>
        <w:t xml:space="preserve"> (single agency, single program).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horizontally</w:t>
      </w:r>
      <w:r w:rsidDel="00000000" w:rsidR="00000000" w:rsidRPr="00000000">
        <w:rPr>
          <w:rtl w:val="0"/>
        </w:rPr>
        <w:t xml:space="preserve"> to other programs and sectors.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 reporting and proof formats</w:t>
      </w:r>
      <w:r w:rsidDel="00000000" w:rsidR="00000000" w:rsidRPr="00000000">
        <w:rPr>
          <w:rtl w:val="0"/>
        </w:rPr>
        <w:t xml:space="preserve"> for audits and public trust.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gradual policy modernization without ripping out existing infrastructure.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c7y2gcjh2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provides the technical foundation for </w:t>
      </w:r>
      <w:r w:rsidDel="00000000" w:rsidR="00000000" w:rsidRPr="00000000">
        <w:rPr>
          <w:b w:val="1"/>
          <w:bCs w:val="1"/>
          <w:rtl w:val="0"/>
        </w:rPr>
        <w:t xml:space="preserve">governance that cannot silently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politics, ethics, or human decision-making — but it gives policymakers a tool they have never had before: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ability to write rules that systems are structurally incapable of disobeying.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