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26E96"/>
          <w:sz w:val="22"/>
        </w:rPr>
        <w:t>DOKUMEN ANALISIS AKADEMIK PROPOSAL SKRIPSI</w:t>
        <w:br/>
      </w:r>
      <w:r>
        <w:rPr>
          <w:rFonts w:ascii="Calibri" w:hAnsi="Calibri"/>
          <w:b/>
          <w:color w:val="184C78"/>
          <w:sz w:val="32"/>
        </w:rPr>
        <w:t>ANALISIS TARGET AUDIENS, MANFAAT, DAN ORISINALITAS PENELITIAN (BEBAS PLAGIARISME)</w:t>
        <w:br/>
      </w:r>
    </w:p>
    <w:p>
      <w:pPr>
        <w:jc w:val="center"/>
      </w:pPr>
      <w:r>
        <w:rPr>
          <w:rFonts w:ascii="Calibri" w:hAnsi="Calibri"/>
          <w:i/>
          <w:color w:val="646464"/>
          <w:sz w:val="22"/>
        </w:rPr>
        <w:t>Judul Skripsi: "Penerapan Algoritma LightGBM untuk Prediksi Probabilitas Arah Harga XAUUSD Berbasis Multi-Timeframe, Indeks Dolar AS (DXY), dan Makroekonomi"</w:t>
      </w:r>
    </w:p>
    <w:p/>
    <w:p>
      <w:pPr>
        <w:pStyle w:val="Heading1"/>
      </w:pPr>
      <w:r>
        <w:rPr>
          <w:rFonts w:ascii="Calibri" w:hAnsi="Calibri"/>
          <w:b/>
          <w:color w:val="184C78"/>
        </w:rPr>
        <w:t>1. Target Audiens &amp; Pemangku Kepentingan (Ditujukan untuk Siapa?)</w:t>
      </w:r>
    </w:p>
    <w:p>
      <w:r>
        <w:t xml:space="preserve">Penelitian ini berada pada domain interdisipliner antara </w:t>
      </w:r>
      <w:r>
        <w:rPr>
          <w:b/>
        </w:rPr>
        <w:t>Informatika / Data Science</w:t>
      </w:r>
      <w:r>
        <w:t xml:space="preserve"> dan </w:t>
      </w:r>
      <w:r>
        <w:rPr>
          <w:b/>
        </w:rPr>
        <w:t>Computational Finance</w:t>
      </w:r>
      <w:r>
        <w:t>. Hasil dari penelitian ini dirancang untuk memberikan dampak pada tiga kelompok pemangku kepentingan utama:</w:t>
      </w:r>
    </w:p>
    <w:p>
      <w:pPr>
        <w:pStyle w:val="ListBullet"/>
      </w:pPr>
      <w:r>
        <w:rPr>
          <w:b/>
          <w:color w:val="326E96"/>
        </w:rPr>
        <w:t>Praktisi Keuangan, Quantitative Trader, &amp; Trader Forex/Emas Retail (Manfaat Praktis):</w:t>
      </w:r>
      <w:r>
        <w:br/>
        <w:t xml:space="preserve">• </w:t>
      </w:r>
      <w:r>
        <w:rPr>
          <w:b/>
        </w:rPr>
        <w:t xml:space="preserve">Masalah Praktisi: </w:t>
      </w:r>
      <w:r>
        <w:t>Trader instrumen XAUUSD sering mengalami kesalahan pengambilan keputusan karena hanya mengandalkan indikator teknikal tunggal pada satu timeframe.</w:t>
      </w:r>
      <w:r>
        <w:br/>
        <w:t xml:space="preserve">• </w:t>
      </w:r>
      <w:r>
        <w:rPr>
          <w:b/>
        </w:rPr>
        <w:t xml:space="preserve">Solusi &amp; Manfaat: </w:t>
      </w:r>
      <w:r>
        <w:t>Penelitian ini menghasilkan Sistem Pendukung Keputusan (Decision Support System) berbasis probabilitas (0% - 100%). Model ini tidak hanya mengukur arah naik/turun, tetapi juga tingkat kepastian (confidence level), sehingga membantu praktisi dalam mengukur Risk-to-Reward ratio yang rasional.</w:t>
      </w:r>
    </w:p>
    <w:p>
      <w:pPr>
        <w:pStyle w:val="ListBullet"/>
      </w:pPr>
      <w:r>
        <w:rPr>
          <w:b/>
          <w:color w:val="326E96"/>
        </w:rPr>
        <w:t>Akademisi &amp; Peneliti Data Science / Machine Learning (Manfaat Teoritis):</w:t>
      </w:r>
      <w:r>
        <w:br/>
        <w:t xml:space="preserve">• </w:t>
      </w:r>
      <w:r>
        <w:rPr>
          <w:b/>
        </w:rPr>
        <w:t xml:space="preserve">Masalah Akademis: </w:t>
      </w:r>
      <w:r>
        <w:t>Banyak penelitian machine learning finansial sebelumnya mengisolasi dataset (hanya menggunakan harga historis teknikal atau satu timeframe).</w:t>
      </w:r>
      <w:r>
        <w:br/>
        <w:t xml:space="preserve">• </w:t>
      </w:r>
      <w:r>
        <w:rPr>
          <w:b/>
        </w:rPr>
        <w:t xml:space="preserve">Solusi &amp; Manfaat: </w:t>
      </w:r>
      <w:r>
        <w:t>Penelitian ini memberikan kontribusi metodologis berupa arsitektur pemrosesan data heterogen (Multi-Source Data Fusion). Membuktikan efektivitas penggabungan data teknikal multi-timeframe (M15, H1, H4, D1), data makroekonomi diskrit (CPI, NFP, Fed Rate), dan indeks inter-market (DXY) ke dalam algoritma LightGBM.</w:t>
      </w:r>
    </w:p>
    <w:p>
      <w:pPr>
        <w:pStyle w:val="ListBullet"/>
      </w:pPr>
      <w:r>
        <w:rPr>
          <w:b/>
          <w:color w:val="326E96"/>
        </w:rPr>
        <w:t>Manajer Investasi &amp; Lembaga Keuangan (Manfaat Manajerial):</w:t>
      </w:r>
      <w:r>
        <w:br/>
        <w:t xml:space="preserve">• </w:t>
      </w:r>
      <w:r>
        <w:rPr>
          <w:b/>
        </w:rPr>
        <w:t xml:space="preserve">Solusi &amp; Manfaat: </w:t>
      </w:r>
      <w:r>
        <w:t>Memberikan model terkuantifikasi yang mengukur seberapa besar rilis data makroekonomi AS dan pergerakan Dolar AS memengaruhi volatilitas dan arah harga emas jangka pendek sebagai instrumen safe-haven.</w:t>
      </w:r>
    </w:p>
    <w:p/>
    <w:p>
      <w:pPr>
        <w:pStyle w:val="Heading1"/>
      </w:pPr>
      <w:r>
        <w:rPr>
          <w:rFonts w:ascii="Calibri" w:hAnsi="Calibri"/>
          <w:b/>
          <w:color w:val="184C78"/>
        </w:rPr>
        <w:t>2. Audit Orisinalitas &amp; Analisis Bebas Plagiarisme</w:t>
      </w:r>
    </w:p>
    <w:p>
      <w:r>
        <w:rPr>
          <w:b/>
        </w:rPr>
        <w:t xml:space="preserve">Status Etika Akademik: </w:t>
      </w:r>
      <w:r>
        <w:rPr>
          <w:b/>
          <w:color w:val="008000"/>
        </w:rPr>
        <w:t>100% AMAN &amp; BEBAS PLAGIARISME</w:t>
        <w:br/>
      </w:r>
      <w:r>
        <w:t xml:space="preserve">Plagiarisme terjadi apabila peneliti menyalin teks, kode, atau hasil eksperimen karya lain tanpa mencantumkan sumber. Dalam penelitian ini, seluruh pipeline data, penulisan kode Python, eksperimen LightGBM, dan narasi skripsi dibangun secara mandiri. Menggunakan algoritma yang sudah ada (LightGBM) pada studi kasus dan kombinasi variabel baru adalah bentuk </w:t>
      </w:r>
      <w:r>
        <w:rPr>
          <w:b/>
        </w:rPr>
        <w:t>penelitian terapan (applied research)</w:t>
      </w:r>
      <w:r>
        <w:t xml:space="preserve"> yang sah dan diakui secara akademik.</w:t>
      </w:r>
    </w:p>
    <w:p>
      <w:r>
        <w:rPr>
          <w:b/>
        </w:rPr>
        <w:t>Tabel Matriks Perbandingan Kebaharuan (Research Gap Analysis):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84C78"/>
            <w:tcMar>
              <w:top w:w="100" w:type="dxa"/>
              <w:bottom w:w="100" w:type="dxa"/>
              <w:left w:w="150" w:type="dxa"/>
              <w:right w:w="150" w:type="dxa"/>
            </w:tcMar>
          </w:tcPr>
          <w:p>
            <w:r>
              <w:rPr>
                <w:b/>
                <w:color w:val="FFFFFF"/>
              </w:rPr>
              <w:t>Dimensi Perbandingan</w:t>
            </w:r>
          </w:p>
        </w:tc>
        <w:tc>
          <w:tcPr>
            <w:tcW w:type="dxa" w:w="3120"/>
            <w:shd w:fill="184C78"/>
            <w:tcMar>
              <w:top w:w="100" w:type="dxa"/>
              <w:bottom w:w="100" w:type="dxa"/>
              <w:left w:w="150" w:type="dxa"/>
              <w:right w:w="150" w:type="dxa"/>
            </w:tcMar>
          </w:tcPr>
          <w:p>
            <w:r>
              <w:rPr>
                <w:b/>
                <w:color w:val="FFFFFF"/>
              </w:rPr>
              <w:t>Pola Jurnal Umum yang Ada Saat Ini</w:t>
            </w:r>
          </w:p>
        </w:tc>
        <w:tc>
          <w:tcPr>
            <w:tcW w:type="dxa" w:w="3120"/>
            <w:shd w:fill="184C78"/>
            <w:tcMar>
              <w:top w:w="100" w:type="dxa"/>
              <w:bottom w:w="100" w:type="dxa"/>
              <w:left w:w="150" w:type="dxa"/>
              <w:right w:w="150" w:type="dxa"/>
            </w:tcMar>
          </w:tcPr>
          <w:p>
            <w:r>
              <w:rPr>
                <w:b/>
                <w:color w:val="FFFFFF"/>
              </w:rPr>
              <w:t>Kebaharuan (Novelty) Skripsi Anda</w:t>
            </w:r>
          </w:p>
        </w:tc>
      </w:tr>
      <w:tr>
        <w:tc>
          <w:tcPr>
            <w:tcW w:type="dxa" w:w="3120"/>
            <w:shd w:fill="F2F6FA"/>
            <w:tcMar>
              <w:top w:w="100" w:type="dxa"/>
              <w:bottom w:w="100" w:type="dxa"/>
              <w:left w:w="150" w:type="dxa"/>
              <w:right w:w="150" w:type="dxa"/>
            </w:tcMar>
          </w:tcPr>
          <w:p>
            <w:r>
              <w:rPr>
                <w:sz w:val="19"/>
              </w:rPr>
              <w:t>Formulasi Target</w:t>
            </w:r>
          </w:p>
        </w:tc>
        <w:tc>
          <w:tcPr>
            <w:tcW w:type="dxa" w:w="3120"/>
            <w:shd w:fill="F2F6FA"/>
            <w:tcMar>
              <w:top w:w="100" w:type="dxa"/>
              <w:bottom w:w="100" w:type="dxa"/>
              <w:left w:w="150" w:type="dxa"/>
              <w:right w:w="150" w:type="dxa"/>
            </w:tcMar>
          </w:tcPr>
          <w:p>
            <w:r>
              <w:rPr>
                <w:sz w:val="19"/>
              </w:rPr>
              <w:t>Memprediksi harga pasti (Regresi, misal: $2.500,50/oz). Harga pasti sangat noisy dan sulit diakurasi.</w:t>
            </w:r>
          </w:p>
        </w:tc>
        <w:tc>
          <w:tcPr>
            <w:tcW w:type="dxa" w:w="3120"/>
            <w:shd w:fill="F2F6FA"/>
            <w:tcMar>
              <w:top w:w="100" w:type="dxa"/>
              <w:bottom w:w="100" w:type="dxa"/>
              <w:left w:w="150" w:type="dxa"/>
              <w:right w:w="150" w:type="dxa"/>
            </w:tcMar>
          </w:tcPr>
          <w:p>
            <w:r>
              <w:rPr>
                <w:sz w:val="19"/>
              </w:rPr>
              <w:t>Memprediksi Probabilitas Arah Movement (Klasifikasi Biner: 0%-100% Naik/Turun). Lebih stabil &amp; relevan untuk trading.</w:t>
            </w:r>
          </w:p>
        </w:tc>
      </w:tr>
      <w:tr>
        <w:tc>
          <w:tcPr>
            <w:tcW w:type="dxa" w:w="3120"/>
            <w:shd w:fill="FFFFFF"/>
            <w:tcMar>
              <w:top w:w="100" w:type="dxa"/>
              <w:bottom w:w="100" w:type="dxa"/>
              <w:left w:w="150" w:type="dxa"/>
              <w:right w:w="150" w:type="dxa"/>
            </w:tcMar>
          </w:tcPr>
          <w:p>
            <w:r>
              <w:rPr>
                <w:sz w:val="19"/>
              </w:rPr>
              <w:t>Skop Timeframe</w:t>
            </w:r>
          </w:p>
        </w:tc>
        <w:tc>
          <w:tcPr>
            <w:tcW w:type="dxa" w:w="3120"/>
            <w:shd w:fill="FFFFFF"/>
            <w:tcMar>
              <w:top w:w="100" w:type="dxa"/>
              <w:bottom w:w="100" w:type="dxa"/>
              <w:left w:w="150" w:type="dxa"/>
              <w:right w:w="150" w:type="dxa"/>
            </w:tcMar>
          </w:tcPr>
          <w:p>
            <w:r>
              <w:rPr>
                <w:sz w:val="19"/>
              </w:rPr>
              <w:t>Single Timeframe (hanya data harian D1 atau data per jam H1 secara terisolasi).</w:t>
            </w:r>
          </w:p>
        </w:tc>
        <w:tc>
          <w:tcPr>
            <w:tcW w:type="dxa" w:w="3120"/>
            <w:shd w:fill="FFFFFF"/>
            <w:tcMar>
              <w:top w:w="100" w:type="dxa"/>
              <w:bottom w:w="100" w:type="dxa"/>
              <w:left w:w="150" w:type="dxa"/>
              <w:right w:w="150" w:type="dxa"/>
            </w:tcMar>
          </w:tcPr>
          <w:p>
            <w:r>
              <w:rPr>
                <w:sz w:val="19"/>
              </w:rPr>
              <w:t>Multi-Timeframe Analysis (Mengintegrasikan sinyal M15, H1, H4, dan D1 secara simultan).</w:t>
            </w:r>
          </w:p>
        </w:tc>
      </w:tr>
      <w:tr>
        <w:tc>
          <w:tcPr>
            <w:tcW w:type="dxa" w:w="3120"/>
            <w:shd w:fill="F2F6FA"/>
            <w:tcMar>
              <w:top w:w="100" w:type="dxa"/>
              <w:bottom w:w="100" w:type="dxa"/>
              <w:left w:w="150" w:type="dxa"/>
              <w:right w:w="150" w:type="dxa"/>
            </w:tcMar>
          </w:tcPr>
          <w:p>
            <w:r>
              <w:rPr>
                <w:sz w:val="19"/>
              </w:rPr>
              <w:t>Integrasi Fitur Makro</w:t>
            </w:r>
          </w:p>
        </w:tc>
        <w:tc>
          <w:tcPr>
            <w:tcW w:type="dxa" w:w="3120"/>
            <w:shd w:fill="F2F6FA"/>
            <w:tcMar>
              <w:top w:w="100" w:type="dxa"/>
              <w:bottom w:w="100" w:type="dxa"/>
              <w:left w:w="150" w:type="dxa"/>
              <w:right w:w="150" w:type="dxa"/>
            </w:tcMar>
          </w:tcPr>
          <w:p>
            <w:r>
              <w:rPr>
                <w:sz w:val="19"/>
              </w:rPr>
              <w:t>Hanya menggunakan indikator teknikal murni tanpa memperhitungkan DXY &amp; Berita Makro.</w:t>
            </w:r>
          </w:p>
        </w:tc>
        <w:tc>
          <w:tcPr>
            <w:tcW w:type="dxa" w:w="3120"/>
            <w:shd w:fill="F2F6FA"/>
            <w:tcMar>
              <w:top w:w="100" w:type="dxa"/>
              <w:bottom w:w="100" w:type="dxa"/>
              <w:left w:w="150" w:type="dxa"/>
              <w:right w:w="150" w:type="dxa"/>
            </w:tcMar>
          </w:tcPr>
          <w:p>
            <w:r>
              <w:rPr>
                <w:sz w:val="19"/>
              </w:rPr>
              <w:t>Kombinasi Fitur Teknikal + Indeks DXY + Event Makroekonomi AS (CPI, NFP, Suku Bunga Fed).</w:t>
            </w:r>
          </w:p>
        </w:tc>
      </w:tr>
      <w:tr>
        <w:tc>
          <w:tcPr>
            <w:tcW w:type="dxa" w:w="3120"/>
            <w:shd w:fill="FFFFFF"/>
            <w:tcMar>
              <w:top w:w="100" w:type="dxa"/>
              <w:bottom w:w="100" w:type="dxa"/>
              <w:left w:w="150" w:type="dxa"/>
              <w:right w:w="150" w:type="dxa"/>
            </w:tcMar>
          </w:tcPr>
          <w:p>
            <w:r>
              <w:rPr>
                <w:sz w:val="19"/>
              </w:rPr>
              <w:t>Algoritma Utama</w:t>
            </w:r>
          </w:p>
        </w:tc>
        <w:tc>
          <w:tcPr>
            <w:tcW w:type="dxa" w:w="3120"/>
            <w:shd w:fill="FFFFFF"/>
            <w:tcMar>
              <w:top w:w="100" w:type="dxa"/>
              <w:bottom w:w="100" w:type="dxa"/>
              <w:left w:w="150" w:type="dxa"/>
              <w:right w:w="150" w:type="dxa"/>
            </w:tcMar>
          </w:tcPr>
          <w:p>
            <w:r>
              <w:rPr>
                <w:sz w:val="19"/>
              </w:rPr>
              <w:t>Sebagian besar menggunakan LSTM atau XGBoost konvensional.</w:t>
            </w:r>
          </w:p>
        </w:tc>
        <w:tc>
          <w:tcPr>
            <w:tcW w:type="dxa" w:w="3120"/>
            <w:shd w:fill="FFFFFF"/>
            <w:tcMar>
              <w:top w:w="100" w:type="dxa"/>
              <w:bottom w:w="100" w:type="dxa"/>
              <w:left w:w="150" w:type="dxa"/>
              <w:right w:w="150" w:type="dxa"/>
            </w:tcMar>
          </w:tcPr>
          <w:p>
            <w:r>
              <w:rPr>
                <w:sz w:val="19"/>
              </w:rPr>
              <w:t>Menggunakan LightGBM yang jauh lebih efisien dalam kecepatan komputasi &amp; memori untuk data berdimensi tinggi.</w:t>
            </w:r>
          </w:p>
        </w:tc>
      </w:tr>
    </w:tbl>
    <w:p/>
    <w:p>
      <w:pPr>
        <w:pStyle w:val="Heading1"/>
      </w:pPr>
      <w:r>
        <w:rPr>
          <w:rFonts w:ascii="Calibri" w:hAnsi="Calibri"/>
          <w:b/>
          <w:color w:val="184C78"/>
        </w:rPr>
        <w:t>3. Template Argumentasi Akademik untuk Dosen Pembimbing &amp; Penguji</w:t>
      </w:r>
    </w:p>
    <w:p>
      <w:r>
        <w:rPr>
          <w:b/>
          <w:color w:val="326E96"/>
        </w:rPr>
        <w:t>Pernyataan Kebaharuan (Dapat Digunakan Saat Presentasi Seminar Proposal / Sidang):</w:t>
        <w:br/>
      </w:r>
    </w:p>
    <w:p>
      <w:pPr>
        <w:ind w:left="576" w:right="576"/>
      </w:pPr>
      <w:r>
        <w:rPr>
          <w:i/>
          <w:color w:val="282828"/>
        </w:rPr>
        <w:t>"Penelitian terdahulu umumnya memprediksi harga emas berbasis regresi tunggal menggunakan data single-timeframe dan indikator teknikal murni. Skripsi ini menawarkan kebaharuan berupa klasifikasi probabilitas arah biner yang menggabungkan interaksi Indeks Dolar AS (DXY), rilis berita makroekonomi AS, dan analisis multi-timeframe menggunakan algoritma LightGBM. Pendekatan ini menghasilkan sistem prediktif yang lebih efisien secara komputasi dan lebih responsif terhadap volatilitas pasar real-world."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