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B365D"/>
          <w:sz w:val="32"/>
        </w:rPr>
        <w:t>BUKU PANDUAN INSIGHT &amp; DEFENSE SKRIPSI</w:t>
        <w:br/>
      </w:r>
      <w:r>
        <w:rPr>
          <w:rFonts w:ascii="Times New Roman" w:hAnsi="Times New Roman"/>
          <w:i/>
          <w:color w:val="555555"/>
          <w:sz w:val="22"/>
        </w:rPr>
        <w:t>Dokumentasi Komprehensif Arsitektur Model, Rekayasa Fitur, Preprocessing, dan Bank Tanya Jawab Sidang Skripsi</w:t>
        <w:br/>
      </w:r>
    </w:p>
    <w:tbl>
      <w:tblPr>
        <w:tblW w:type="auto" w:w="0"/>
        <w:jc w:val="center"/>
        <w:tblLook w:firstColumn="1" w:firstRow="1" w:lastColumn="0" w:lastRow="0" w:noHBand="0" w:noVBand="1" w:val="04A0"/>
      </w:tblPr>
      <w:tblGrid>
        <w:gridCol w:w="4680"/>
        <w:gridCol w:w="4680"/>
      </w:tblGrid>
      <w:tr>
        <w:tc>
          <w:tcPr>
            <w:tcW w:type="dxa" w:w="3168"/>
            <w:shd w:fill="F4F6F8"/>
            <w:tcMar>
              <w:top w:w="60" w:type="dxa"/>
              <w:bottom w:w="60" w:type="dxa"/>
              <w:left w:w="100" w:type="dxa"/>
              <w:right w:w="100" w:type="dxa"/>
            </w:tcMar>
          </w:tcPr>
          <w:p>
            <w:pPr>
              <w:spacing w:before="40" w:after="40"/>
            </w:pPr>
            <w:r>
              <w:rPr>
                <w:rFonts w:ascii="Times New Roman" w:hAnsi="Times New Roman"/>
                <w:b/>
                <w:sz w:val="20"/>
              </w:rPr>
              <w:t>Judul Resmi Skripsi</w:t>
            </w:r>
          </w:p>
        </w:tc>
        <w:tc>
          <w:tcPr>
            <w:tcW w:type="dxa" w:w="6192"/>
            <w:shd w:fill="FFFFFF"/>
            <w:tcMar>
              <w:top w:w="60" w:type="dxa"/>
              <w:bottom w:w="60" w:type="dxa"/>
              <w:left w:w="100" w:type="dxa"/>
              <w:right w:w="100" w:type="dxa"/>
            </w:tcMar>
          </w:tcPr>
          <w:p>
            <w:pPr>
              <w:spacing w:before="40" w:after="40"/>
            </w:pPr>
            <w:r>
              <w:rPr>
                <w:rFonts w:ascii="Times New Roman" w:hAnsi="Times New Roman"/>
                <w:b/>
                <w:color w:val="1B365D"/>
                <w:sz w:val="20"/>
              </w:rPr>
              <w:t>Penerapan Algoritma LightGBM untuk Prediksi Probabilitas Arah Harga XAUUSD Berbasis Multi-Timeframe, Indeks Dolar AS (DXY), dan Makroekonomi</w:t>
            </w:r>
          </w:p>
        </w:tc>
      </w:tr>
      <w:tr>
        <w:tc>
          <w:tcPr>
            <w:tcW w:type="dxa" w:w="3168"/>
            <w:shd w:fill="F4F6F8"/>
            <w:tcMar>
              <w:top w:w="60" w:type="dxa"/>
              <w:bottom w:w="60" w:type="dxa"/>
              <w:left w:w="100" w:type="dxa"/>
              <w:right w:w="100" w:type="dxa"/>
            </w:tcMar>
          </w:tcPr>
          <w:p>
            <w:pPr>
              <w:spacing w:before="40" w:after="40"/>
            </w:pPr>
            <w:r>
              <w:rPr>
                <w:rFonts w:ascii="Times New Roman" w:hAnsi="Times New Roman"/>
                <w:b/>
                <w:sz w:val="20"/>
              </w:rPr>
              <w:t>Nama Peneliti / NIM</w:t>
            </w:r>
          </w:p>
        </w:tc>
        <w:tc>
          <w:tcPr>
            <w:tcW w:type="dxa" w:w="6192"/>
            <w:shd w:fill="FFFFFF"/>
            <w:tcMar>
              <w:top w:w="60" w:type="dxa"/>
              <w:bottom w:w="60" w:type="dxa"/>
              <w:left w:w="100" w:type="dxa"/>
              <w:right w:w="100" w:type="dxa"/>
            </w:tcMar>
          </w:tcPr>
          <w:p>
            <w:pPr>
              <w:spacing w:before="40" w:after="40"/>
            </w:pPr>
            <w:r>
              <w:rPr>
                <w:rFonts w:ascii="Times New Roman" w:hAnsi="Times New Roman"/>
                <w:sz w:val="20"/>
              </w:rPr>
              <w:t>Nouval Ditya Maheswara / 123230165</w:t>
            </w:r>
          </w:p>
        </w:tc>
      </w:tr>
      <w:tr>
        <w:tc>
          <w:tcPr>
            <w:tcW w:type="dxa" w:w="3168"/>
            <w:shd w:fill="F4F6F8"/>
            <w:tcMar>
              <w:top w:w="60" w:type="dxa"/>
              <w:bottom w:w="60" w:type="dxa"/>
              <w:left w:w="100" w:type="dxa"/>
              <w:right w:w="100" w:type="dxa"/>
            </w:tcMar>
          </w:tcPr>
          <w:p>
            <w:pPr>
              <w:spacing w:before="40" w:after="40"/>
            </w:pPr>
            <w:r>
              <w:rPr>
                <w:rFonts w:ascii="Times New Roman" w:hAnsi="Times New Roman"/>
                <w:b/>
                <w:sz w:val="20"/>
              </w:rPr>
              <w:t>Program Studi / Jurusan</w:t>
            </w:r>
          </w:p>
        </w:tc>
        <w:tc>
          <w:tcPr>
            <w:tcW w:type="dxa" w:w="6192"/>
            <w:shd w:fill="FFFFFF"/>
            <w:tcMar>
              <w:top w:w="60" w:type="dxa"/>
              <w:bottom w:w="60" w:type="dxa"/>
              <w:left w:w="100" w:type="dxa"/>
              <w:right w:w="100" w:type="dxa"/>
            </w:tcMar>
          </w:tcPr>
          <w:p>
            <w:pPr>
              <w:spacing w:before="40" w:after="40"/>
            </w:pPr>
            <w:r>
              <w:rPr>
                <w:rFonts w:ascii="Times New Roman" w:hAnsi="Times New Roman"/>
                <w:sz w:val="20"/>
              </w:rPr>
              <w:t>Informatika, Fakultas Teknik Industri, UPN "Veteran" Yogyakarta</w:t>
            </w:r>
          </w:p>
        </w:tc>
      </w:tr>
      <w:tr>
        <w:tc>
          <w:tcPr>
            <w:tcW w:type="dxa" w:w="3168"/>
            <w:shd w:fill="F4F6F8"/>
            <w:tcMar>
              <w:top w:w="60" w:type="dxa"/>
              <w:bottom w:w="60" w:type="dxa"/>
              <w:left w:w="100" w:type="dxa"/>
              <w:right w:w="100" w:type="dxa"/>
            </w:tcMar>
          </w:tcPr>
          <w:p>
            <w:pPr>
              <w:spacing w:before="40" w:after="40"/>
            </w:pPr>
            <w:r>
              <w:rPr>
                <w:rFonts w:ascii="Times New Roman" w:hAnsi="Times New Roman"/>
                <w:b/>
                <w:sz w:val="20"/>
              </w:rPr>
              <w:t>Peminatan Keilmuan</w:t>
            </w:r>
          </w:p>
        </w:tc>
        <w:tc>
          <w:tcPr>
            <w:tcW w:type="dxa" w:w="6192"/>
            <w:shd w:fill="FFFFFF"/>
            <w:tcMar>
              <w:top w:w="60" w:type="dxa"/>
              <w:bottom w:w="60" w:type="dxa"/>
              <w:left w:w="100" w:type="dxa"/>
              <w:right w:w="100" w:type="dxa"/>
            </w:tcMar>
          </w:tcPr>
          <w:p>
            <w:pPr>
              <w:spacing w:before="40" w:after="40"/>
            </w:pPr>
            <w:r>
              <w:rPr>
                <w:rFonts w:ascii="Times New Roman" w:hAnsi="Times New Roman"/>
                <w:sz w:val="20"/>
              </w:rPr>
              <w:t>Machine Learning &amp; Computational Finance</w:t>
            </w:r>
          </w:p>
        </w:tc>
      </w:tr>
      <w:tr>
        <w:tc>
          <w:tcPr>
            <w:tcW w:type="dxa" w:w="3168"/>
            <w:shd w:fill="F4F6F8"/>
            <w:tcMar>
              <w:top w:w="60" w:type="dxa"/>
              <w:bottom w:w="60" w:type="dxa"/>
              <w:left w:w="100" w:type="dxa"/>
              <w:right w:w="100" w:type="dxa"/>
            </w:tcMar>
          </w:tcPr>
          <w:p>
            <w:pPr>
              <w:spacing w:before="40" w:after="40"/>
            </w:pPr>
            <w:r>
              <w:rPr>
                <w:rFonts w:ascii="Times New Roman" w:hAnsi="Times New Roman"/>
                <w:b/>
                <w:sz w:val="20"/>
              </w:rPr>
              <w:t>Model &amp; Konteks Data</w:t>
            </w:r>
          </w:p>
        </w:tc>
        <w:tc>
          <w:tcPr>
            <w:tcW w:type="dxa" w:w="6192"/>
            <w:shd w:fill="FFFFFF"/>
            <w:tcMar>
              <w:top w:w="60" w:type="dxa"/>
              <w:bottom w:w="60" w:type="dxa"/>
              <w:left w:w="100" w:type="dxa"/>
              <w:right w:w="100" w:type="dxa"/>
            </w:tcMar>
          </w:tcPr>
          <w:p>
            <w:pPr>
              <w:spacing w:before="40" w:after="40"/>
            </w:pPr>
            <w:r>
              <w:rPr>
                <w:rFonts w:ascii="Times New Roman" w:hAnsi="Times New Roman"/>
                <w:sz w:val="20"/>
              </w:rPr>
              <w:t>LightGBM Classifier Versi 4.0 (44 Fitur Input Multi-Domain, Timeframe Utama M15)</w:t>
            </w:r>
          </w:p>
        </w:tc>
      </w:tr>
    </w:tbl>
    <w:p>
      <w:pPr>
        <w:spacing w:after="200"/>
      </w:pPr>
    </w:p>
    <w:p>
      <w:pPr>
        <w:keepNext/>
        <w:spacing w:before="280" w:after="80"/>
      </w:pPr>
      <w:r>
        <w:rPr>
          <w:rFonts w:ascii="Times New Roman" w:hAnsi="Times New Roman"/>
          <w:b/>
          <w:color w:val="1B365D"/>
          <w:sz w:val="28"/>
        </w:rPr>
        <w:t>BAB 1: FUNDAMENTAL PENELITIAN &amp; RUMUSAN MASALAH</w:t>
      </w:r>
    </w:p>
    <w:p>
      <w:pPr>
        <w:spacing w:before="0" w:after="120" w:line="276" w:lineRule="auto"/>
        <w:jc w:val="both"/>
      </w:pPr>
      <w:r>
        <w:rPr>
          <w:rFonts w:ascii="Times New Roman" w:hAnsi="Times New Roman"/>
          <w:i w:val="0"/>
          <w:color w:val="222222"/>
          <w:sz w:val="22"/>
        </w:rPr>
        <w:t>Perdagangan komoditas Emas dunia terhadap Dolar AS (XAUUSD) merupakan instrumen derivatif dengan likuiditas raksasa, namun memiliki volatilitas non-linear yang sangat tinggi dan sarat dengan derau acak (high noise density). Trader retail yang menggunakan indikator lagging konvensional (RSI/MACD statis) kerap terjebak dalam perangkap likuiditas (liquidity hunt / false breakout) yang dipicu oleh institusi besar (Smart Money). Di sisi lain, riset peramalan finansial sebelumnya memiliki tiga celah utama: (1) orientasi keliru antara regresi nominal versus klasifikasi probabilitas terkalibrasi; (2) pengabaian analisis intermarket DXY dan berita makroekonomi AS; serta (3) ketiadaan forward testing pasar nyata dengan manajemen risiko adaptif.</w:t>
      </w:r>
    </w:p>
    <w:p>
      <w:pPr>
        <w:keepNext/>
        <w:spacing w:before="200" w:after="80"/>
      </w:pPr>
      <w:r>
        <w:rPr>
          <w:rFonts w:ascii="Times New Roman" w:hAnsi="Times New Roman"/>
          <w:b/>
          <w:color w:val="0F52BA"/>
          <w:sz w:val="25"/>
        </w:rPr>
        <w:t>1.1 Rumusan Masalah Resmi (Bentuk Pernyataan / Problem Statements)</w:t>
      </w:r>
    </w:p>
    <w:p>
      <w:pPr>
        <w:spacing w:before="0" w:after="120" w:line="276" w:lineRule="auto"/>
        <w:jc w:val="both"/>
      </w:pPr>
      <w:r>
        <w:rPr>
          <w:rFonts w:ascii="Times New Roman" w:hAnsi="Times New Roman"/>
          <w:i w:val="0"/>
          <w:color w:val="222222"/>
          <w:sz w:val="22"/>
        </w:rPr>
        <w:t>Sesuai arahan dosen pembimbing, rumusan masalah dalam penelitian ini dirumuskan dalam bentuk pernyataan deklaratif yang berorientasi pada pemecahan komputasi rekayasa informatika:</w:t>
      </w:r>
    </w:p>
    <w:p>
      <w:pPr>
        <w:spacing w:before="0" w:after="120" w:line="276" w:lineRule="auto"/>
        <w:jc w:val="both"/>
      </w:pPr>
      <w:r>
        <w:rPr>
          <w:rFonts w:ascii="Times New Roman" w:hAnsi="Times New Roman"/>
          <w:b/>
          <w:color w:val="1B365D"/>
          <w:sz w:val="22"/>
        </w:rPr>
        <w:t xml:space="preserve">1. Problem Statement 1 (Feature Fusion): </w:t>
      </w:r>
      <w:r>
        <w:rPr>
          <w:rFonts w:ascii="Times New Roman" w:hAnsi="Times New Roman"/>
          <w:i w:val="0"/>
          <w:color w:val="222222"/>
          <w:sz w:val="22"/>
        </w:rPr>
        <w:t>Perancangan dan pengintegrasian arsitektur Multi-Source Feature Fusion yang memadukan 44 variabel prediktif heterogen mencakup geometri candlestick, Smart Money Concepts (Order Block, FVG, BOS, CHoCH), korelasi intermarket Indeks Dolar AS (DXY), variabel makroekonomi dinamis kontinu (minutes-to-news, bias ekspektasi forecast vs previous, bobot dampak berita, kalender NFP, CPI, FOMC), serta jangkar dan kemiringan tren multi-timeframe H4/H1 secara sinkron tanpa menimbulkan bias kebocoran data masa depan (lookahead bias / data leakage).</w:t>
      </w:r>
    </w:p>
    <w:p>
      <w:pPr>
        <w:spacing w:before="0" w:after="120" w:line="276" w:lineRule="auto"/>
        <w:jc w:val="both"/>
      </w:pPr>
      <w:r>
        <w:rPr>
          <w:rFonts w:ascii="Times New Roman" w:hAnsi="Times New Roman"/>
          <w:b/>
          <w:color w:val="1B365D"/>
          <w:sz w:val="22"/>
        </w:rPr>
        <w:t xml:space="preserve">2. Problem Statement 2 (Model Optimization): </w:t>
      </w:r>
      <w:r>
        <w:rPr>
          <w:rFonts w:ascii="Times New Roman" w:hAnsi="Times New Roman"/>
          <w:i w:val="0"/>
          <w:color w:val="222222"/>
          <w:sz w:val="22"/>
        </w:rPr>
        <w:t>Penerapan dan pengoptimalan algoritma LightGBM Classifier dengan skema Leaf-wise Tree Growth, regularisasi L1/L2 (reg_alpha dan reg_lambda), pembobotan kelas seimbang (balanced class weights), serta hyperparameter tuning sistematis guna menghasilkan estimasi probabilitas arah pergerakan harga XAUUSD yang terkalibrasi presisi pada timeframe M15.</w:t>
      </w:r>
    </w:p>
    <w:p>
      <w:pPr>
        <w:spacing w:before="0" w:after="120" w:line="276" w:lineRule="auto"/>
        <w:jc w:val="both"/>
      </w:pPr>
      <w:r>
        <w:rPr>
          <w:rFonts w:ascii="Times New Roman" w:hAnsi="Times New Roman"/>
          <w:b/>
          <w:color w:val="1B365D"/>
          <w:sz w:val="22"/>
        </w:rPr>
        <w:t xml:space="preserve">3. Problem Statement 3 (Execution Engine &amp; Risk): </w:t>
      </w:r>
      <w:r>
        <w:rPr>
          <w:rFonts w:ascii="Times New Roman" w:hAnsi="Times New Roman"/>
          <w:i w:val="0"/>
          <w:color w:val="222222"/>
          <w:sz w:val="22"/>
        </w:rPr>
        <w:t>Perancangan dan pengimplementasian arsitektur sistem eksekusi otomatis zero-delay terintegrasi MetaTrader 5 API yang menerapkan filter ambang batas keyakinan tinggi (high-conviction threshold ≥ 65%), proteksi anti counter-trend multi-timeframe H4, Pre-News Caution Guard makroekonomi, serta manajemen risiko kuantitatif dinamis (Dynamic ATR Stop-Loss, Risk-to-Reward Ratio 1 : 2.5, trailing profit lock, Max Daily Losses, dan Cooldown Period).</w:t>
      </w:r>
    </w:p>
    <w:p>
      <w:pPr>
        <w:spacing w:before="0" w:after="120" w:line="276" w:lineRule="auto"/>
        <w:jc w:val="both"/>
      </w:pPr>
      <w:r>
        <w:rPr>
          <w:rFonts w:ascii="Times New Roman" w:hAnsi="Times New Roman"/>
          <w:b/>
          <w:color w:val="1B365D"/>
          <w:sz w:val="22"/>
        </w:rPr>
        <w:t xml:space="preserve">4. Problem Statement 4 (Scenario Evaluator Engine): </w:t>
      </w:r>
      <w:r>
        <w:rPr>
          <w:rFonts w:ascii="Times New Roman" w:hAnsi="Times New Roman"/>
          <w:i w:val="0"/>
          <w:color w:val="222222"/>
          <w:sz w:val="22"/>
        </w:rPr>
        <w:t>Pembangunan dan pengujian modul Post-Trade Scenario Evaluator Engine untuk mendiagnosa secara transparan akar penyebab keberhasilan (Take Profit) maupun kegagalan (Stop Loss) pada setiap transaksi tertutup, serta menguji ketahanan skenario pasar 5 hingga 10 kali transaksi sebagai mekanisme evaluasi berkelanjutan (continuous learning) model.</w:t>
      </w:r>
    </w:p>
    <w:p>
      <w:pPr>
        <w:spacing w:before="0" w:after="120" w:line="276" w:lineRule="auto"/>
        <w:jc w:val="both"/>
      </w:pPr>
      <w:r>
        <w:rPr>
          <w:rFonts w:ascii="Times New Roman" w:hAnsi="Times New Roman"/>
          <w:b/>
          <w:color w:val="1B365D"/>
          <w:sz w:val="22"/>
        </w:rPr>
        <w:t xml:space="preserve">5. Problem Statement 5 (Empirical Benchmark): </w:t>
      </w:r>
      <w:r>
        <w:rPr>
          <w:rFonts w:ascii="Times New Roman" w:hAnsi="Times New Roman"/>
          <w:i w:val="0"/>
          <w:color w:val="222222"/>
          <w:sz w:val="22"/>
        </w:rPr>
        <w:t>Pengukuran dan evaluasi komparasi kinerja model LightGBM terhadap algoritma machine learning pembanding (XGBoost dan Random Forest) berdasarkan metrik evaluasi klasifikasi statistik (ROC-AUC, Log Loss, Precision, Recall, F1-Score) serta metrik profitabilitas forward testing pasar nyata (Win Rate, Profit Factor, Maksimum Drawdown, dan Return on Investment).</w:t>
      </w:r>
    </w:p>
    <w:p>
      <w:pPr>
        <w:keepNext/>
        <w:spacing w:before="200" w:after="80"/>
      </w:pPr>
      <w:r>
        <w:rPr>
          <w:rFonts w:ascii="Times New Roman" w:hAnsi="Times New Roman"/>
          <w:b/>
          <w:color w:val="0F52BA"/>
          <w:sz w:val="25"/>
        </w:rPr>
        <w:t>1.2 Batasan Masalah Utama</w:t>
      </w:r>
    </w:p>
    <w:p>
      <w:pPr>
        <w:spacing w:before="0" w:after="120" w:line="276" w:lineRule="auto"/>
        <w:jc w:val="both"/>
      </w:pPr>
      <w:r>
        <w:rPr>
          <w:rFonts w:ascii="Times New Roman" w:hAnsi="Times New Roman"/>
          <w:i w:val="0"/>
          <w:color w:val="222222"/>
          <w:sz w:val="22"/>
        </w:rPr>
        <w:t>• Objek Instrumen: Pasangan Emas Spot terhadap Dolar AS (XAUUSD) di broker teregulasi.</w:t>
      </w:r>
    </w:p>
    <w:p>
      <w:pPr>
        <w:spacing w:before="0" w:after="120" w:line="276" w:lineRule="auto"/>
        <w:jc w:val="both"/>
      </w:pPr>
      <w:r>
        <w:rPr>
          <w:rFonts w:ascii="Times New Roman" w:hAnsi="Times New Roman"/>
          <w:i w:val="0"/>
          <w:color w:val="222222"/>
          <w:sz w:val="22"/>
        </w:rPr>
        <w:t>• Timeframe Operasional Utama: Timeframe M15 (15 Menit) sebagai 'Sweet Spot' yang memadukan kecepatan respon eksekusi dan minimnya derau acak, didukung konfirmasi tren makro H1 dan H4.</w:t>
      </w:r>
    </w:p>
    <w:p>
      <w:pPr>
        <w:spacing w:before="0" w:after="120" w:line="276" w:lineRule="auto"/>
        <w:jc w:val="both"/>
      </w:pPr>
      <w:r>
        <w:rPr>
          <w:rFonts w:ascii="Times New Roman" w:hAnsi="Times New Roman"/>
          <w:i w:val="0"/>
          <w:color w:val="222222"/>
          <w:sz w:val="22"/>
        </w:rPr>
        <w:t>• Dimensi Variabel: 44 Fitur Input Multi-Domain (Geometri M15, SMC, Fibo, DXY, Berita Makro Dinamis, Continuous EMA Distance H1/H4, ADX, dan Volume Ratio).</w:t>
      </w:r>
    </w:p>
    <w:p>
      <w:pPr>
        <w:spacing w:before="0" w:after="120" w:line="276" w:lineRule="auto"/>
        <w:jc w:val="both"/>
      </w:pPr>
      <w:r>
        <w:rPr>
          <w:rFonts w:ascii="Times New Roman" w:hAnsi="Times New Roman"/>
          <w:i w:val="0"/>
          <w:color w:val="222222"/>
          <w:sz w:val="22"/>
        </w:rPr>
        <w:t>• Ambang Batas Keyakinan: Eksekusi transaksi hanya dipicu jika probabilitas keyakinan model ≥ 65.0%.</w:t>
      </w:r>
    </w:p>
    <w:p>
      <w:pPr>
        <w:keepNext/>
        <w:spacing w:before="280" w:after="80"/>
      </w:pPr>
      <w:r>
        <w:rPr>
          <w:rFonts w:ascii="Times New Roman" w:hAnsi="Times New Roman"/>
          <w:b/>
          <w:color w:val="1B365D"/>
          <w:sz w:val="28"/>
        </w:rPr>
        <w:t>BAB 2: KARAKTERISTIK DATA &amp; JUSTIFIKASI ALGORITMA LIGHTGBM</w:t>
      </w:r>
    </w:p>
    <w:p>
      <w:pPr>
        <w:spacing w:before="0" w:after="120" w:line="276" w:lineRule="auto"/>
        <w:jc w:val="both"/>
      </w:pPr>
      <w:r>
        <w:rPr>
          <w:rFonts w:ascii="Times New Roman" w:hAnsi="Times New Roman"/>
          <w:i w:val="0"/>
          <w:color w:val="222222"/>
          <w:sz w:val="22"/>
        </w:rPr>
        <w:t>Pertanyaan paling krusial dari penguji saat sidang adalah: 'Mengapa Anda memilih LightGBM? Mengapa bukan Deep Learning (seperti LSTM/BiLSTM) atau Random Forest?' Jawaban ilmiahnya berpijak pada karakteristik data yang Anda gunakan dan arsitektur internal LightGBM.</w:t>
      </w:r>
    </w:p>
    <w:p>
      <w:pPr>
        <w:keepNext/>
        <w:spacing w:before="200" w:after="80"/>
      </w:pPr>
      <w:r>
        <w:rPr>
          <w:rFonts w:ascii="Times New Roman" w:hAnsi="Times New Roman"/>
          <w:b/>
          <w:color w:val="0F52BA"/>
          <w:sz w:val="25"/>
        </w:rPr>
        <w:t>2.1 Karakteristik Data: Data Tabular Heterogen (Heterogeneous Tabular Data)</w:t>
      </w:r>
    </w:p>
    <w:p>
      <w:pPr>
        <w:spacing w:before="0" w:after="120" w:line="276" w:lineRule="auto"/>
        <w:jc w:val="both"/>
      </w:pPr>
      <w:r>
        <w:rPr>
          <w:rFonts w:ascii="Times New Roman" w:hAnsi="Times New Roman"/>
          <w:i w:val="0"/>
          <w:color w:val="222222"/>
          <w:sz w:val="22"/>
        </w:rPr>
        <w:t>Data penelitian ini bukan data citra visual (gambar), bukan sinyal audio satu dimensi, dan bukan teks bahasa alami. Data penelitian ini adalah data tabular terstruktur berdimensi 44 fitur yang bersifat heterogen (campuran rasio kontinu, laju perubahan returns, osilator berskala 0-100, dan fitur biner diskrit 0/1).</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Landasan Literatur Ilmiah Bergengsi (Kutipan untuk Penguji)</w:t>
              <w:br/>
            </w:r>
            <w:r>
              <w:rPr>
                <w:rFonts w:ascii="Times New Roman" w:hAnsi="Times New Roman"/>
                <w:i w:val="0"/>
                <w:color w:val="2C3E50"/>
                <w:sz w:val="21"/>
              </w:rPr>
              <w:t>Riset benchmark AI dunia oleh Grinsztajn et al. (NeurIPS 2022) berjudul 'Why do tree-based models still outperform deep learning on tabular data?' membuktikan secara matematis dan empiris bahwa pada data tabular heterogen, algoritma Tree-based Ensemble (khususnya Gradient Boosted Decision Trees seperti LightGBM) secara konsisten mengungguli arsitektur Deep Learning (seperti MLP, ResNet, TabNet, maupun RNN/LSTM). Algoritma pohon tidak rentan terhadap fitur uninformative, mampu menangani batas keputusan non-smooth, serta invarian terhadap rotasi fitur.</w:t>
            </w:r>
          </w:p>
        </w:tc>
      </w:tr>
    </w:tbl>
    <w:p>
      <w:pPr>
        <w:spacing w:after="120"/>
      </w:pPr>
    </w:p>
    <w:p>
      <w:pPr>
        <w:keepNext/>
        <w:spacing w:before="200" w:after="80"/>
      </w:pPr>
      <w:r>
        <w:rPr>
          <w:rFonts w:ascii="Times New Roman" w:hAnsi="Times New Roman"/>
          <w:b/>
          <w:color w:val="0F52BA"/>
          <w:sz w:val="25"/>
        </w:rPr>
        <w:t>2.2 Empat Keunggulan Arsitektur Internal LightGBM</w:t>
      </w:r>
    </w:p>
    <w:p>
      <w:pPr>
        <w:spacing w:before="0" w:after="120" w:line="276" w:lineRule="auto"/>
        <w:jc w:val="both"/>
      </w:pPr>
      <w:r>
        <w:rPr>
          <w:rFonts w:ascii="Times New Roman" w:hAnsi="Times New Roman"/>
          <w:i w:val="0"/>
          <w:color w:val="222222"/>
          <w:sz w:val="22"/>
        </w:rPr>
        <w:t>1. Histogram-based Binning (255 Bins): Mengelompokkan fitur kontinu ke dalam 255 keranjang diskrit. Mekanisme ini secara alami berfungsi sebagai noise filter (penyaring derau acak) pada fluktuasi harga emas intraday.</w:t>
      </w:r>
    </w:p>
    <w:p>
      <w:pPr>
        <w:spacing w:before="0" w:after="120" w:line="276" w:lineRule="auto"/>
        <w:jc w:val="both"/>
      </w:pPr>
      <w:r>
        <w:rPr>
          <w:rFonts w:ascii="Times New Roman" w:hAnsi="Times New Roman"/>
          <w:i w:val="0"/>
          <w:color w:val="222222"/>
          <w:sz w:val="22"/>
        </w:rPr>
        <w:t>2. Gradient-based One-Side Sampling (GOSS): Memfokuskan pembaharuan pohon pada data dengan gradien kesalahan besar (momen pembalikan tren pasar yang sulit dipelajari) dan mengambil sampel acak data bergradien kecil, meningkatkan akurasi titik balik pasar.</w:t>
      </w:r>
    </w:p>
    <w:p>
      <w:pPr>
        <w:spacing w:before="0" w:after="120" w:line="276" w:lineRule="auto"/>
        <w:jc w:val="both"/>
      </w:pPr>
      <w:r>
        <w:rPr>
          <w:rFonts w:ascii="Times New Roman" w:hAnsi="Times New Roman"/>
          <w:i w:val="0"/>
          <w:color w:val="222222"/>
          <w:sz w:val="22"/>
        </w:rPr>
        <w:t>3. Exclusive Feature Bundling (EFB): Membundel fitur-fitur biner SMC yang saling eksklusif (seperti BOS Bullish dan BOS Bearish) untuk mereduksi dimensi komputasi secara drastis tanpa kehilangan informasi esensial.</w:t>
      </w:r>
    </w:p>
    <w:p>
      <w:pPr>
        <w:spacing w:before="0" w:after="120" w:line="276" w:lineRule="auto"/>
        <w:jc w:val="both"/>
      </w:pPr>
      <w:r>
        <w:rPr>
          <w:rFonts w:ascii="Times New Roman" w:hAnsi="Times New Roman"/>
          <w:i w:val="0"/>
          <w:color w:val="222222"/>
          <w:sz w:val="22"/>
        </w:rPr>
        <w:t>4. Leaf-wise Tree Growth with Depth Limitation: Berbeda dengan XGBoost yang menumbuhkan cabang lapis demi lapis (level-wise), LightGBM memilih daun dengan penurunan kerugian (loss) terbesar, menghasilkan konvergensi loss yang jauh lebih dalam dengan kecepatan komputasi 10-15x lebih cepat.</w:t>
      </w:r>
    </w:p>
    <w:p>
      <w:pPr>
        <w:keepNext/>
        <w:spacing w:before="200" w:after="80"/>
      </w:pPr>
      <w:r>
        <w:rPr>
          <w:rFonts w:ascii="Times New Roman" w:hAnsi="Times New Roman"/>
          <w:b/>
          <w:color w:val="0F52BA"/>
          <w:sz w:val="25"/>
        </w:rPr>
        <w:t>2.3 Mengapa Bukan Deep Learning (LSTM / BiLSTM)?</w:t>
      </w:r>
    </w:p>
    <w:p>
      <w:pPr>
        <w:spacing w:before="0" w:after="120" w:line="276" w:lineRule="auto"/>
        <w:jc w:val="both"/>
      </w:pPr>
      <w:r>
        <w:rPr>
          <w:rFonts w:ascii="Times New Roman" w:hAnsi="Times New Roman"/>
          <w:i w:val="0"/>
          <w:color w:val="222222"/>
          <w:sz w:val="22"/>
        </w:rPr>
        <w:t>• Masalah Lagging Bias: Pada data finansial berfrekuensi tinggi, model recurrent (LSTM) cenderung hanya menghasilkan prediksi yang membuntuti harga candle sebelumnya (y_hat ≈ y_{t-1}). Akurasi terlihat tinggi di atas kertas, tetapi gagal total mendeteksi pembalikan harga riil.</w:t>
      </w:r>
    </w:p>
    <w:p>
      <w:pPr>
        <w:spacing w:before="0" w:after="120" w:line="276" w:lineRule="auto"/>
        <w:jc w:val="both"/>
      </w:pPr>
      <w:r>
        <w:rPr>
          <w:rFonts w:ascii="Times New Roman" w:hAnsi="Times New Roman"/>
          <w:i w:val="0"/>
          <w:color w:val="222222"/>
          <w:sz w:val="22"/>
        </w:rPr>
        <w:t>• Overfitting pada Derau: LSTM memiliki parameter bobot matriks yang sangat besar, sehingga sangat mudah menghafal derau acak (overfitting) pada data time series bergejolak.</w:t>
      </w:r>
    </w:p>
    <w:p>
      <w:pPr>
        <w:spacing w:before="0" w:after="120" w:line="276" w:lineRule="auto"/>
        <w:jc w:val="both"/>
      </w:pPr>
      <w:r>
        <w:rPr>
          <w:rFonts w:ascii="Times New Roman" w:hAnsi="Times New Roman"/>
          <w:i w:val="0"/>
          <w:color w:val="222222"/>
          <w:sz w:val="22"/>
        </w:rPr>
        <w:t>• Inferensi Real-Time Zero-Delay: LightGBM hanya membutuhkan waktu 10–15 milidetik untuk inferensi, memungkinkan bot mengambil keputusan instan begitu candle M15 ditutup tanpa terkena slippage kuotasi harga broker.</w:t>
      </w:r>
    </w:p>
    <w:p>
      <w:pPr>
        <w:keepNext/>
        <w:spacing w:before="280" w:after="80"/>
      </w:pPr>
      <w:r>
        <w:rPr>
          <w:rFonts w:ascii="Times New Roman" w:hAnsi="Times New Roman"/>
          <w:b/>
          <w:color w:val="1B365D"/>
          <w:sz w:val="28"/>
        </w:rPr>
        <w:t>BAB 3: PRA-PEMROSESAN &amp; NORMALISASI DATA</w:t>
      </w:r>
    </w:p>
    <w:p>
      <w:pPr>
        <w:keepNext/>
        <w:spacing w:before="200" w:after="80"/>
      </w:pPr>
      <w:r>
        <w:rPr>
          <w:rFonts w:ascii="Times New Roman" w:hAnsi="Times New Roman"/>
          <w:b/>
          <w:color w:val="0F52BA"/>
          <w:sz w:val="25"/>
        </w:rPr>
        <w:t>3.1 Tahapan Pra-pemrosesan Data (Data Preprocessing Pipeline)</w:t>
      </w:r>
    </w:p>
    <w:p>
      <w:pPr>
        <w:spacing w:before="0" w:after="120" w:line="276" w:lineRule="auto"/>
        <w:jc w:val="both"/>
      </w:pPr>
      <w:r>
        <w:rPr>
          <w:rFonts w:ascii="Times New Roman" w:hAnsi="Times New Roman"/>
          <w:i w:val="0"/>
          <w:color w:val="222222"/>
          <w:sz w:val="22"/>
        </w:rPr>
        <w:t>1. Penyelarasan Indeks Datetime: Konversi timestamp detik MetaTrader 5 ke objek datetime terindeks kronologis.</w:t>
      </w:r>
    </w:p>
    <w:p>
      <w:pPr>
        <w:spacing w:before="0" w:after="120" w:line="276" w:lineRule="auto"/>
        <w:jc w:val="both"/>
      </w:pPr>
      <w:r>
        <w:rPr>
          <w:rFonts w:ascii="Times New Roman" w:hAnsi="Times New Roman"/>
          <w:i w:val="0"/>
          <w:color w:val="222222"/>
          <w:sz w:val="22"/>
        </w:rPr>
        <w:t>2. Sinkronisasi Multi-Sumber &amp; Multi-Timeframe: Penyelarasan feed candle M15 dengan candle H1, H4, dan feed Indeks DXY menggunakan forward-fill (ffill()) dari candle yang SUDAH TERTUTUP (closed candle) guna menjamin zero lookahead bias.</w:t>
      </w:r>
    </w:p>
    <w:p>
      <w:pPr>
        <w:spacing w:before="0" w:after="120" w:line="276" w:lineRule="auto"/>
        <w:jc w:val="both"/>
      </w:pPr>
      <w:r>
        <w:rPr>
          <w:rFonts w:ascii="Times New Roman" w:hAnsi="Times New Roman"/>
          <w:i w:val="0"/>
          <w:color w:val="222222"/>
          <w:sz w:val="22"/>
        </w:rPr>
        <w:t>3. Pembersihan Nilai Kosong (NaN Handling): Eliminasi baris awal dataset akibat jendela observasi panjang indikator (EMA 200, Fibo 100 candle) menggunakan dropna().</w:t>
      </w:r>
    </w:p>
    <w:p>
      <w:pPr>
        <w:spacing w:before="0" w:after="120" w:line="276" w:lineRule="auto"/>
        <w:jc w:val="both"/>
      </w:pPr>
      <w:r>
        <w:rPr>
          <w:rFonts w:ascii="Times New Roman" w:hAnsi="Times New Roman"/>
          <w:i w:val="0"/>
          <w:color w:val="222222"/>
          <w:sz w:val="22"/>
        </w:rPr>
        <w:t>4. Pelabelan Ground Truth: Pembentukan target biner 5 candle ke depan (75 menit), di mana label 1 menandakan kenaikan harga di atas penutupan saat ini, dan 0 untuk penurunan/stagnan.</w:t>
      </w:r>
    </w:p>
    <w:p>
      <w:pPr>
        <w:spacing w:before="0" w:after="120" w:line="276" w:lineRule="auto"/>
        <w:jc w:val="both"/>
      </w:pPr>
      <w:r>
        <w:rPr>
          <w:rFonts w:ascii="Times New Roman" w:hAnsi="Times New Roman"/>
          <w:i w:val="0"/>
          <w:color w:val="222222"/>
          <w:sz w:val="22"/>
        </w:rPr>
        <w:t>5. Pembagian Data Kronologis (Time-Series Split 80:20): Membagi 80% data awal untuk Training Set dan 20% data akhir untuk Testing Set urut waktu. Dilarang keras melakukan random shuffle karena melanggar kausalitas waktu.</w:t>
      </w:r>
    </w:p>
    <w:p>
      <w:pPr>
        <w:spacing w:before="0" w:after="120" w:line="276" w:lineRule="auto"/>
        <w:jc w:val="both"/>
      </w:pPr>
      <w:r>
        <w:rPr>
          <w:rFonts w:ascii="Times New Roman" w:hAnsi="Times New Roman"/>
          <w:i w:val="0"/>
          <w:color w:val="222222"/>
          <w:sz w:val="22"/>
        </w:rPr>
        <w:t>6. Class Balancing: Penggunaan parameter class_weight='balanced' untuk memberikan penalti proporsional pada kelas minoritas.</w:t>
      </w:r>
    </w:p>
    <w:p>
      <w:pPr>
        <w:keepNext/>
        <w:spacing w:before="200" w:after="80"/>
      </w:pPr>
      <w:r>
        <w:rPr>
          <w:rFonts w:ascii="Times New Roman" w:hAnsi="Times New Roman"/>
          <w:b/>
          <w:color w:val="0F52BA"/>
          <w:sz w:val="25"/>
        </w:rPr>
        <w:t>3.2 Fakta Ilmiah Normalisasi Data (Mengapa Tidak Pakai MinMaxScaler Global?)</w:t>
      </w:r>
    </w:p>
    <w:p>
      <w:pPr>
        <w:spacing w:before="0" w:after="120" w:line="276" w:lineRule="auto"/>
        <w:jc w:val="both"/>
      </w:pPr>
      <w:r>
        <w:rPr>
          <w:rFonts w:ascii="Times New Roman" w:hAnsi="Times New Roman"/>
          <w:i w:val="0"/>
          <w:color w:val="222222"/>
          <w:sz w:val="22"/>
        </w:rPr>
        <w:t>Jika penguji bertanya apakah data dinormalisasi dengan MinMaxScaler atau StandardScaler, jawaban ilmiah yang tepat adalah: 'Tidak menggunakan MinMaxScaler/StandardScaler global, melainkan menerapkan Domain-Specific Stationary Ratio Normalization langsung pada saat rekayasa fitur.' Alasan ilmiahnya adalah:</w:t>
      </w:r>
    </w:p>
    <w:p>
      <w:pPr>
        <w:spacing w:before="0" w:after="120" w:line="276" w:lineRule="auto"/>
        <w:jc w:val="both"/>
      </w:pPr>
      <w:r>
        <w:rPr>
          <w:rFonts w:ascii="Times New Roman" w:hAnsi="Times New Roman"/>
          <w:i w:val="0"/>
          <w:color w:val="222222"/>
          <w:sz w:val="22"/>
        </w:rPr>
        <w:t>1. Sifat Scale-Invariance Algoritma Pohon: Partisi pohon keputusan LightGBM hanya bergantung pada urutan peringkat nilai (rank-order), bukan skala absolut. Transformasi linear monotonik tidak mengubah struktur pohon.</w:t>
      </w:r>
    </w:p>
    <w:p>
      <w:pPr>
        <w:spacing w:before="0" w:after="120" w:line="276" w:lineRule="auto"/>
        <w:jc w:val="both"/>
      </w:pPr>
      <w:r>
        <w:rPr>
          <w:rFonts w:ascii="Times New Roman" w:hAnsi="Times New Roman"/>
          <w:i w:val="0"/>
          <w:color w:val="222222"/>
          <w:sz w:val="22"/>
        </w:rPr>
        <w:t>2. Bahaya Kebocoran Data (Data Leakage) &amp; Non-Stasioneritas: Harga emas bergerak dari $1.800 ke $2.600. MinMaxScaler yang di-fit pada seluruh data akan membocorkan harga puncak masa depan ke masa lalu. Jika harga menembus rekor baru di live market, nilainya menjadi &gt; 1.0 dan model akan error.</w:t>
      </w:r>
    </w:p>
    <w:p>
      <w:pPr>
        <w:spacing w:before="0" w:after="120" w:line="276" w:lineRule="auto"/>
        <w:jc w:val="both"/>
      </w:pPr>
      <w:r>
        <w:rPr>
          <w:rFonts w:ascii="Times New Roman" w:hAnsi="Times New Roman"/>
          <w:i w:val="0"/>
          <w:color w:val="222222"/>
          <w:sz w:val="22"/>
        </w:rPr>
        <w:t>3. Seluruh 44 Fitur SUDAH Berstatus Stasioner: Fitur dirancang terbebas dari nilai nominal Dolar ($): Body ratio dan Wick ratio dibagi range [0, 1]; Fibo dibagi rentang [0, 1]; Jarak EMA dan Support dihitung dalam persentase deviasi relatif; Returns dihitung via pct_change(); RSI dan ADX dibatasi secara matematis [0, 100].</w:t>
      </w:r>
    </w:p>
    <w:p>
      <w:pPr>
        <w:keepNext/>
        <w:spacing w:before="280" w:after="80"/>
      </w:pPr>
      <w:r>
        <w:rPr>
          <w:rFonts w:ascii="Times New Roman" w:hAnsi="Times New Roman"/>
          <w:b/>
          <w:color w:val="1B365D"/>
          <w:sz w:val="28"/>
        </w:rPr>
        <w:t>BAB 4: TAKSONOMI LENGKAP 44 FITUR MULTI-DOMAIN (VERSI 4.0)</w:t>
      </w:r>
    </w:p>
    <w:p>
      <w:pPr>
        <w:spacing w:before="0" w:after="120" w:line="276" w:lineRule="auto"/>
        <w:jc w:val="both"/>
      </w:pPr>
      <w:r>
        <w:rPr>
          <w:rFonts w:ascii="Times New Roman" w:hAnsi="Times New Roman"/>
          <w:i w:val="0"/>
          <w:color w:val="222222"/>
          <w:sz w:val="22"/>
        </w:rPr>
        <w:t>Tabel di bawah ini merangkum 44 variabel masukan terstandarisasi yang terbagi ke dalam 4 pilar domain utama:</w:t>
      </w:r>
    </w:p>
    <w:tbl>
      <w:tblPr>
        <w:tblW w:type="auto" w:w="0"/>
        <w:jc w:val="center"/>
        <w:tblLook w:firstColumn="1" w:firstRow="1" w:lastColumn="0" w:lastRow="0" w:noHBand="0" w:noVBand="1" w:val="04A0"/>
      </w:tblPr>
      <w:tblGrid>
        <w:gridCol w:w="2340"/>
        <w:gridCol w:w="2340"/>
        <w:gridCol w:w="2340"/>
        <w:gridCol w:w="2340"/>
      </w:tblGrid>
      <w:tr>
        <w:tc>
          <w:tcPr>
            <w:tcW w:type="dxa" w:w="2304"/>
            <w:shd w:fill="1B365D"/>
            <w:tcMar>
              <w:top w:w="80" w:type="dxa"/>
              <w:bottom w:w="80" w:type="dxa"/>
              <w:left w:w="100" w:type="dxa"/>
              <w:right w:w="100" w:type="dxa"/>
            </w:tcMar>
          </w:tcPr>
          <w:p>
            <w:pPr>
              <w:spacing w:before="40" w:after="40"/>
            </w:pPr>
            <w:r>
              <w:rPr>
                <w:rFonts w:ascii="Times New Roman" w:hAnsi="Times New Roman"/>
                <w:b/>
                <w:color w:val="FFFFFF"/>
                <w:sz w:val="19"/>
              </w:rPr>
              <w:t>No &amp; Nama Fitur</w:t>
            </w:r>
          </w:p>
        </w:tc>
        <w:tc>
          <w:tcPr>
            <w:tcW w:type="dxa" w:w="2304"/>
            <w:shd w:fill="1B365D"/>
            <w:tcMar>
              <w:top w:w="80" w:type="dxa"/>
              <w:bottom w:w="80" w:type="dxa"/>
              <w:left w:w="100" w:type="dxa"/>
              <w:right w:w="100" w:type="dxa"/>
            </w:tcMar>
          </w:tcPr>
          <w:p>
            <w:pPr>
              <w:spacing w:before="40" w:after="40"/>
            </w:pPr>
            <w:r>
              <w:rPr>
                <w:rFonts w:ascii="Times New Roman" w:hAnsi="Times New Roman"/>
                <w:b/>
                <w:color w:val="FFFFFF"/>
                <w:sz w:val="19"/>
              </w:rPr>
              <w:t>Pilar Domain</w:t>
            </w:r>
          </w:p>
        </w:tc>
        <w:tc>
          <w:tcPr>
            <w:tcW w:type="dxa" w:w="2304"/>
            <w:shd w:fill="1B365D"/>
            <w:tcMar>
              <w:top w:w="80" w:type="dxa"/>
              <w:bottom w:w="80" w:type="dxa"/>
              <w:left w:w="100" w:type="dxa"/>
              <w:right w:w="100" w:type="dxa"/>
            </w:tcMar>
          </w:tcPr>
          <w:p>
            <w:pPr>
              <w:spacing w:before="40" w:after="40"/>
            </w:pPr>
            <w:r>
              <w:rPr>
                <w:rFonts w:ascii="Times New Roman" w:hAnsi="Times New Roman"/>
                <w:b/>
                <w:color w:val="FFFFFF"/>
                <w:sz w:val="19"/>
              </w:rPr>
              <w:t>Skala / Tipe Data</w:t>
            </w:r>
          </w:p>
        </w:tc>
        <w:tc>
          <w:tcPr>
            <w:tcW w:type="dxa" w:w="2304"/>
            <w:shd w:fill="1B365D"/>
            <w:tcMar>
              <w:top w:w="80" w:type="dxa"/>
              <w:bottom w:w="80" w:type="dxa"/>
              <w:left w:w="100" w:type="dxa"/>
              <w:right w:w="100" w:type="dxa"/>
            </w:tcMar>
          </w:tcPr>
          <w:p>
            <w:pPr>
              <w:spacing w:before="40" w:after="40"/>
            </w:pPr>
            <w:r>
              <w:rPr>
                <w:rFonts w:ascii="Times New Roman" w:hAnsi="Times New Roman"/>
                <w:b/>
                <w:color w:val="FFFFFF"/>
                <w:sz w:val="19"/>
              </w:rPr>
              <w:t>Fungsi Prediktif dalam Model</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1. Body_Ratio</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Geometri M15</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Mengukur dominasi tekanan pembeli/penjual dibanding wick.</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2. Lower_Wick_Ratio</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Geometri M15</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Kontinu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Deteksi penolakan harga bawah (rejection pinbar bullish).</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3. Upper_Wick_Ratio</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Geometri M15</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Deteksi penolakan harga atas (rejection pinbar bearish).</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4. FVG_Bull</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Imbalance harga bullish yang cenderung di-retest institusi.</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5. FVG_Bear</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Imbalance harga bearish yang cenderung di-rebalance.</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6. Dist_Support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Jarak persentase harga saat ini ke level swing low 20 candle.</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7. Dist_Resistance</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Jarak persentase harga saat ini ke level swing high 20 candle.</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8. BOS_Bull</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Break of Structure bullish (penembusan struktur swing high).</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9. BOS_Bear</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Break of Structure bearish (penembusan struktur swing low).</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10. CHoCH_Bull</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Change of Character bullish (pergeseran tren dari turun ke naik).</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11. CHoCH_Bear</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Change of Character bearish (pergeseran tren dari naik ke turun).</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12. Liquidity_Sweep_High</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Sapuan likuiditas atas (false breakout di atas swing high).</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13. Liquidity_Sweep_Low</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Sapuan likuiditas bawah (false breakout di bawah swing low).</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14. Order_Block_Bull</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Candle bearish terakhir sebelum ekspansi naik agresif institusi.</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15. Order_Block_Bear</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SMC / ICT</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Candle bullish terakhir sebelum ekspansi turun agresif institusi.</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16. Fibo_Pos_100</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Fibonacci</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Kontinu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Posisi normalisasi harga dalam rentang 100 candle terakhir.</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17. Fibo_Dist_382</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Fibonacci</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Jarak relatif harga terhadap golden level Fibonacci 38.2%.</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18. Fibo_Dist_500</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Fibonacci</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Jarak relatif harga terhadap level ekuilibrium Fibonacci 50.0%.</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19. Fibo_Dist_618</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Fibonacci</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Jarak relatif harga terhadap golden level Fibonacci 61.8%.</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20. RSI_14</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Momentum</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Osilator [0, 100]</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Mengukur kondisi jenuh beli (&gt;70) dan jenuh jual (&lt;30).</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21. BB_Bandwidth</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Volatilitas</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(&gt;0)</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Lebar pita Bollinger Bands untuk mendeteksi kompresi/ekspansi.</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22. BB_Pos</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Volatilitas</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Kontinu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Posisi relatif harga di dalam kanal Bollinger Bands.</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23. XAU_Return_1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Returns</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Laju pengembalian (return) harga emas 1 candle M15.</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24. XAU_Return_3</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Returns</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Momentum return kumulatif 3 candle M15 (45 menit).</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25. XAU_Return_5</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Returns</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Momentum return kumulatif 5 candle M15 (75 menit).</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26. DXY_Return_1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Intermarket DXY</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Perubahan return 1 periode Indeks Dolar AS.</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27. DXY_Return_3</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Intermarket DXY</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Perubahan return 3 periode Indeks Dolar AS.</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28. DXY_Trend</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Intermarket DXY</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Status tren DXY terhadap SMA 20 (1 = Menguat, 0 = Melemah).</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29. XAU_DXY_Ratio_Return</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Intermarket DXY</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Laju perubahan rasio XAU/DXY (proksi transmisi suku bunga riil).</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30. Is_NFP_Week</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Makro Kalender</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Penanda siklus volatilitas ekstrem minggu rilis data Non-Farm Payrolls.</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31. Is_CPI_Day</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Makro Kalender</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Penanda hari rilis inflasi Consumer Price Index AS.</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32. Is_FOMC_Week</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Makro Kalender</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Penanda minggu rapat suku bunga Federal Open Market Committee.</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33. Trend_H1_Bull</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Tren H1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Konfirmasi arah harga H1 di atas EMA 50 H1.</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34. Trend_H1_Strong</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Tren H1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Konfirmasi golden cross H1 (EMA 50 &gt; EMA 200).</w:t>
            </w:r>
          </w:p>
        </w:tc>
      </w:tr>
      <w:tr>
        <w:tc>
          <w:tcPr>
            <w:tcW w:type="dxa" w:w="2340"/>
            <w:shd w:fill="FFFFFF"/>
            <w:tcMar>
              <w:top w:w="40" w:type="dxa"/>
              <w:bottom w:w="40" w:type="dxa"/>
              <w:left w:w="80" w:type="dxa"/>
              <w:right w:w="80" w:type="dxa"/>
            </w:tcMar>
          </w:tcPr>
          <w:p>
            <w:pPr>
              <w:spacing w:before="20" w:after="20"/>
            </w:pPr>
            <w:r>
              <w:rPr>
                <w:rFonts w:ascii="Times New Roman" w:hAnsi="Times New Roman"/>
                <w:sz w:val="17"/>
              </w:rPr>
              <w:t>35. Trend_H4_Bull</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Tren H4</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Konfirmasi arah harga H4 di atas EMA 50 H4.</w:t>
            </w:r>
          </w:p>
        </w:tc>
      </w:tr>
      <w:tr>
        <w:tc>
          <w:tcPr>
            <w:tcW w:type="dxa" w:w="2340"/>
            <w:shd w:fill="F8F9FA"/>
            <w:tcMar>
              <w:top w:w="40" w:type="dxa"/>
              <w:bottom w:w="40" w:type="dxa"/>
              <w:left w:w="80" w:type="dxa"/>
              <w:right w:w="80" w:type="dxa"/>
            </w:tcMar>
          </w:tcPr>
          <w:p>
            <w:pPr>
              <w:spacing w:before="20" w:after="20"/>
            </w:pPr>
            <w:r>
              <w:rPr>
                <w:rFonts w:ascii="Times New Roman" w:hAnsi="Times New Roman"/>
                <w:sz w:val="17"/>
              </w:rPr>
              <w:t>36. Trend_H4_Strong</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Tren H4</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Biner {0, 1}</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Konfirmasi golden cross H4 (EMA 50 &gt; EMA 200).</w:t>
            </w:r>
          </w:p>
        </w:tc>
      </w:tr>
      <w:tr>
        <w:tc>
          <w:tcPr>
            <w:tcW w:type="dxa" w:w="2340"/>
            <w:shd w:fill="FFFFFF"/>
            <w:tcMar>
              <w:top w:w="40" w:type="dxa"/>
              <w:bottom w:w="40" w:type="dxa"/>
              <w:left w:w="80" w:type="dxa"/>
              <w:right w:w="80" w:type="dxa"/>
            </w:tcMar>
          </w:tcPr>
          <w:p>
            <w:pPr>
              <w:spacing w:before="20" w:after="20"/>
            </w:pPr>
            <w:r>
              <w:rPr>
                <w:rFonts w:ascii="Times New Roman" w:hAnsi="Times New Roman"/>
                <w:b/>
                <w:color w:val="0F52BA"/>
                <w:sz w:val="17"/>
              </w:rPr>
              <w:t>37. H1_Dist_EMA50 (BARU)</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Tren Kontinu</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Kekuatan jarak relatif harga H1 terhadap garis EMA 50.</w:t>
            </w:r>
          </w:p>
        </w:tc>
      </w:tr>
      <w:tr>
        <w:tc>
          <w:tcPr>
            <w:tcW w:type="dxa" w:w="2340"/>
            <w:shd w:fill="F8F9FA"/>
            <w:tcMar>
              <w:top w:w="40" w:type="dxa"/>
              <w:bottom w:w="40" w:type="dxa"/>
              <w:left w:w="80" w:type="dxa"/>
              <w:right w:w="80" w:type="dxa"/>
            </w:tcMar>
          </w:tcPr>
          <w:p>
            <w:pPr>
              <w:spacing w:before="20" w:after="20"/>
            </w:pPr>
            <w:r>
              <w:rPr>
                <w:rFonts w:ascii="Times New Roman" w:hAnsi="Times New Roman"/>
                <w:b/>
                <w:color w:val="0F52BA"/>
                <w:sz w:val="17"/>
              </w:rPr>
              <w:t>38. H4_Dist_EMA50 (BARU)</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Tren Kontinu</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Kontinu (%)</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Kekuatan jarak relatif harga H4 terhadap garis EMA 50.</w:t>
            </w:r>
          </w:p>
        </w:tc>
      </w:tr>
      <w:tr>
        <w:tc>
          <w:tcPr>
            <w:tcW w:type="dxa" w:w="2340"/>
            <w:shd w:fill="FFFFFF"/>
            <w:tcMar>
              <w:top w:w="40" w:type="dxa"/>
              <w:bottom w:w="40" w:type="dxa"/>
              <w:left w:w="80" w:type="dxa"/>
              <w:right w:w="80" w:type="dxa"/>
            </w:tcMar>
          </w:tcPr>
          <w:p>
            <w:pPr>
              <w:spacing w:before="20" w:after="20"/>
            </w:pPr>
            <w:r>
              <w:rPr>
                <w:rFonts w:ascii="Times New Roman" w:hAnsi="Times New Roman"/>
                <w:b/>
                <w:color w:val="0F52BA"/>
                <w:sz w:val="17"/>
              </w:rPr>
              <w:t>39. Consecutive_Bull (BARU)</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Momentum Streak</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Diskrit Integer</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Jumlah candle bullish berturut-turut (exhaustion counter).</w:t>
            </w:r>
          </w:p>
        </w:tc>
      </w:tr>
      <w:tr>
        <w:tc>
          <w:tcPr>
            <w:tcW w:type="dxa" w:w="2340"/>
            <w:shd w:fill="F8F9FA"/>
            <w:tcMar>
              <w:top w:w="40" w:type="dxa"/>
              <w:bottom w:w="40" w:type="dxa"/>
              <w:left w:w="80" w:type="dxa"/>
              <w:right w:w="80" w:type="dxa"/>
            </w:tcMar>
          </w:tcPr>
          <w:p>
            <w:pPr>
              <w:spacing w:before="20" w:after="20"/>
            </w:pPr>
            <w:r>
              <w:rPr>
                <w:rFonts w:ascii="Times New Roman" w:hAnsi="Times New Roman"/>
                <w:b/>
                <w:color w:val="0F52BA"/>
                <w:sz w:val="17"/>
              </w:rPr>
              <w:t>40. Consecutive_Bear (BARU)</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Momentum Streak</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Diskrit Integer</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Jumlah candle bearish berturut-turut (exhaustion counter).</w:t>
            </w:r>
          </w:p>
        </w:tc>
      </w:tr>
      <w:tr>
        <w:tc>
          <w:tcPr>
            <w:tcW w:type="dxa" w:w="2340"/>
            <w:shd w:fill="FFFFFF"/>
            <w:tcMar>
              <w:top w:w="40" w:type="dxa"/>
              <w:bottom w:w="40" w:type="dxa"/>
              <w:left w:w="80" w:type="dxa"/>
              <w:right w:w="80" w:type="dxa"/>
            </w:tcMar>
          </w:tcPr>
          <w:p>
            <w:pPr>
              <w:spacing w:before="20" w:after="20"/>
            </w:pPr>
            <w:r>
              <w:rPr>
                <w:rFonts w:ascii="Times New Roman" w:hAnsi="Times New Roman"/>
                <w:b/>
                <w:color w:val="0F52BA"/>
                <w:sz w:val="17"/>
              </w:rPr>
              <w:t>41. ADX_14 (BARU)</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Kekuatan Tren</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Osilator [0, 100]</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Average Directional Index untuk mengukur ada/tidaknya tren kuat (&gt;25).</w:t>
            </w:r>
          </w:p>
        </w:tc>
      </w:tr>
      <w:tr>
        <w:tc>
          <w:tcPr>
            <w:tcW w:type="dxa" w:w="2340"/>
            <w:shd w:fill="F8F9FA"/>
            <w:tcMar>
              <w:top w:w="40" w:type="dxa"/>
              <w:bottom w:w="40" w:type="dxa"/>
              <w:left w:w="80" w:type="dxa"/>
              <w:right w:w="80" w:type="dxa"/>
            </w:tcMar>
          </w:tcPr>
          <w:p>
            <w:pPr>
              <w:spacing w:before="20" w:after="20"/>
            </w:pPr>
            <w:r>
              <w:rPr>
                <w:rFonts w:ascii="Times New Roman" w:hAnsi="Times New Roman"/>
                <w:b/>
                <w:color w:val="0F52BA"/>
                <w:sz w:val="17"/>
              </w:rPr>
              <w:t>42. Volume_Ratio (BARU)</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Volume Pasar</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Rasio Pengali</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Rasio volume tick terhadap SMA 20 volume (validasi volume nyata).</w:t>
            </w:r>
          </w:p>
        </w:tc>
      </w:tr>
      <w:tr>
        <w:tc>
          <w:tcPr>
            <w:tcW w:type="dxa" w:w="2340"/>
            <w:shd w:fill="FFFFFF"/>
            <w:tcMar>
              <w:top w:w="40" w:type="dxa"/>
              <w:bottom w:w="40" w:type="dxa"/>
              <w:left w:w="80" w:type="dxa"/>
              <w:right w:w="80" w:type="dxa"/>
            </w:tcMar>
          </w:tcPr>
          <w:p>
            <w:pPr>
              <w:spacing w:before="20" w:after="20"/>
            </w:pPr>
            <w:r>
              <w:rPr>
                <w:rFonts w:ascii="Times New Roman" w:hAnsi="Times New Roman"/>
                <w:b/>
                <w:color w:val="0F52BA"/>
                <w:sz w:val="17"/>
              </w:rPr>
              <w:t>43. XAU_Return_10 (BARU)</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Returns Horizon</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FFFFF"/>
            <w:tcMar>
              <w:top w:w="40" w:type="dxa"/>
              <w:bottom w:w="40" w:type="dxa"/>
              <w:left w:w="80" w:type="dxa"/>
              <w:right w:w="80" w:type="dxa"/>
            </w:tcMar>
          </w:tcPr>
          <w:p>
            <w:pPr>
              <w:spacing w:before="20" w:after="20"/>
            </w:pPr>
            <w:r>
              <w:rPr>
                <w:rFonts w:ascii="Times New Roman" w:hAnsi="Times New Roman"/>
                <w:sz w:val="17"/>
              </w:rPr>
              <w:t>Laju perubahan harga emas 10 candle M15 (2.5 jam).</w:t>
            </w:r>
          </w:p>
        </w:tc>
      </w:tr>
      <w:tr>
        <w:tc>
          <w:tcPr>
            <w:tcW w:type="dxa" w:w="2340"/>
            <w:shd w:fill="F8F9FA"/>
            <w:tcMar>
              <w:top w:w="40" w:type="dxa"/>
              <w:bottom w:w="40" w:type="dxa"/>
              <w:left w:w="80" w:type="dxa"/>
              <w:right w:w="80" w:type="dxa"/>
            </w:tcMar>
          </w:tcPr>
          <w:p>
            <w:pPr>
              <w:spacing w:before="20" w:after="20"/>
            </w:pPr>
            <w:r>
              <w:rPr>
                <w:rFonts w:ascii="Times New Roman" w:hAnsi="Times New Roman"/>
                <w:b/>
                <w:color w:val="0F52BA"/>
                <w:sz w:val="17"/>
              </w:rPr>
              <w:t>44. XAU_Return_20 (BARU)</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Returns Horizon</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Persentase (%)</w:t>
            </w:r>
          </w:p>
        </w:tc>
        <w:tc>
          <w:tcPr>
            <w:tcW w:type="dxa" w:w="2340"/>
            <w:shd w:fill="F8F9FA"/>
            <w:tcMar>
              <w:top w:w="40" w:type="dxa"/>
              <w:bottom w:w="40" w:type="dxa"/>
              <w:left w:w="80" w:type="dxa"/>
              <w:right w:w="80" w:type="dxa"/>
            </w:tcMar>
          </w:tcPr>
          <w:p>
            <w:pPr>
              <w:spacing w:before="20" w:after="20"/>
            </w:pPr>
            <w:r>
              <w:rPr>
                <w:rFonts w:ascii="Times New Roman" w:hAnsi="Times New Roman"/>
                <w:sz w:val="17"/>
              </w:rPr>
              <w:t>Laju perubahan harga emas 20 candle M15 (5 jam).</w:t>
            </w:r>
          </w:p>
        </w:tc>
      </w:tr>
    </w:tbl>
    <w:p>
      <w:pPr>
        <w:spacing w:after="160"/>
      </w:pPr>
    </w:p>
    <w:p>
      <w:pPr>
        <w:keepNext/>
        <w:spacing w:before="280" w:after="80"/>
      </w:pPr>
      <w:r>
        <w:rPr>
          <w:rFonts w:ascii="Times New Roman" w:hAnsi="Times New Roman"/>
          <w:b/>
          <w:color w:val="1B365D"/>
          <w:sz w:val="28"/>
        </w:rPr>
        <w:t>BAB 5: BANK TANYA JAWAB KRITIS SIDANG SKRIPSI &amp; SEMPRO</w:t>
      </w:r>
    </w:p>
    <w:p>
      <w:pPr>
        <w:spacing w:before="0" w:after="120" w:line="276" w:lineRule="auto"/>
        <w:jc w:val="both"/>
      </w:pPr>
      <w:r>
        <w:rPr>
          <w:rFonts w:ascii="Times New Roman" w:hAnsi="Times New Roman"/>
          <w:i w:val="0"/>
          <w:color w:val="222222"/>
          <w:sz w:val="22"/>
        </w:rPr>
        <w:t>Bagian ini adalah 'senjata utama' Anda menghadapi pertanyaan penguji yang tajam. Hafalkan dan pahami inti jawaban di bawah ini:</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1: Apakah penelitian ini Supervised Learning atau Unsupervised Learning?</w:t>
              <w:br/>
            </w:r>
            <w:r>
              <w:rPr>
                <w:rFonts w:ascii="Times New Roman" w:hAnsi="Times New Roman"/>
                <w:i w:val="0"/>
                <w:color w:val="2C3E50"/>
                <w:sz w:val="21"/>
              </w:rPr>
              <w:t>JAWABAN: Penelitian ini 100% SUPERVISED LEARNING (Pembelajaran Terawasi).</w:t>
              <w:br/>
              <w:br/>
              <w:t>Penjelasan: Setiap baris data candle masa lalu telah dipasangkan dengan target luaran (Ground Truth Label) yaitu Target_Dir (1 untuk kenaikan harga dan 0 untuk penurunan/stagnan) yang dihitung berdasarkan harga penutupan 5 candle di masa depan (T+5 = 75 menit). Model LightGBM dilatih dengan meminimalkan fungsi kerugian logaritma (binary log-loss) antara prediksi model dengan label target riil tersebut.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2: Siapa pakar yang memvalidasi data / siapa yang melabeli? Mengapa tidak butuh pakar dokter/tenaga ahli?</w:t>
              <w:br/>
            </w:r>
            <w:r>
              <w:rPr>
                <w:rFonts w:ascii="Times New Roman" w:hAnsi="Times New Roman"/>
                <w:i w:val="0"/>
                <w:color w:val="2C3E50"/>
                <w:sz w:val="21"/>
              </w:rPr>
              <w:t>JAWABAN: Label data divalidasi langsung oleh GROUND TRUTH BURSA RIIL (Market Consensus), bukan oleh manusia atau API LLM.</w:t>
              <w:br/>
              <w:br/>
              <w:t>Penjelasan: Berbeda dengan penelitian Computer Vision medis (seperti deteksi penyakit paru-paru atau bahasa isyarat SIBI yang mewajibkan dokter/pakar bahasa memvalidasi label gambar), pasar keuangan memiliki konsensus harga objektif terdesentralisasi (Financial Exchange Ground Truth). Harga pasar kuotasi MetaTrader 5 adalah fakta historis absolut yang disepakati oleh seluruh bank sentral dan institusi dunia. Pelabelan dilakukan secara matematis-deterministik: jika Close(t+5) &gt; Close(t) maka pasti bernilai 1. Ini menjamin data 100% bebas dari bias subjektivitas pakar manusia maupun halusinasi model AI.</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3: Apakah LightGBM ini arsitektur Deep Learning (seperti CNN atau RNN)?</w:t>
              <w:br/>
            </w:r>
            <w:r>
              <w:rPr>
                <w:rFonts w:ascii="Times New Roman" w:hAnsi="Times New Roman"/>
                <w:i w:val="0"/>
                <w:color w:val="2C3E50"/>
                <w:sz w:val="21"/>
              </w:rPr>
              <w:t>JAWABAN: BUKAN. LightGBM adalah Gradient Boosted Decision Tree (GBDT) berbasis Machine Learning Klasik yang teroptimasi mutakhir, BUKAN Deep Learning (CNN/RNN).</w:t>
              <w:br/>
              <w:br/>
              <w:t>Penjelasan: CNN bekerja melalui operasi konvolusi pada data spasial (gambar), sedangkan RNN/LSTM bekerja melalui memori sekuensial rekuren. LightGBM bekerja dengan membangun kumpulan pohon keputusan (ensemble of decision trees) secara sekuensial di mana setiap pohon baru mengoreksi residual error dari pohon sebelumnya menggunakan representasi histogram diskrit. Untuk data tabular finansial ber-noise tinggi, LightGBM terbukti lebih akurat dan jauh lebih cepat dibanding CNN/RNN.</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4: Apakah data makroekonomi cuma jadi 'perisai' filter atau ikut diinput ke dalam model AI?</w:t>
              <w:br/>
            </w:r>
            <w:r>
              <w:rPr>
                <w:rFonts w:ascii="Times New Roman" w:hAnsi="Times New Roman"/>
                <w:i w:val="0"/>
                <w:color w:val="2C3E50"/>
                <w:sz w:val="21"/>
              </w:rPr>
              <w:t>JAWABAN: DUA-DUANYA BERFUNGSI (Dual-Stage Macro Protection).</w:t>
              <w:br/>
              <w:br/>
              <w:t>Penjelasan:</w:t>
              <w:br/>
              <w:t>1. Tahap 1 (Bahan Prediksi AI): Fitur makroekonomi (korelasi DXY return, rasio XAU/DXY, siklus NFP/CPI/FOMC, hitung mundur minutes_to_high_news, dan skor bias ekspektasi ekonom forecast vs previous) dimasukkan langsung sebagai variabel independen ke dalam 44 fitur LightGBM. Ini melatih model memahami kapan probabilitas teknikal emas valid di tengah sentimen Dolar AS.</w:t>
              <w:br/>
              <w:t>2. Tahap 2 (Perisai Eksekusi / Pre-News Caution Guard): Pada sistem bot eksekusi live, jika waktu rilis berita High-Impact tinggal &lt;= 35 menit, bot secara otomatis memblokir order spekulatif guna melindungi modal dari manipulasi pelebaran spread broker dan lonjakan likuiditas acak.</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5: Mengapa Threshold Keyakinan M15 ditetapkan &gt;= 65%, bukan 70% atau 50%?</w:t>
              <w:br/>
            </w:r>
            <w:r>
              <w:rPr>
                <w:rFonts w:ascii="Times New Roman" w:hAnsi="Times New Roman"/>
                <w:i w:val="0"/>
                <w:color w:val="2C3E50"/>
                <w:sz w:val="21"/>
              </w:rPr>
              <w:t>JAWABAN: Penetapan threshold &gt;= 65% adalah TITIK EKUILIBRIUM OPTIMAL (Sweet Spot Trade-Off) antara Akurasi Sinyal (Win Rate) dan Frekuensi Keterjadian Transaksi (Market Opportunity).</w:t>
              <w:br/>
              <w:br/>
              <w:t>Penjelasan:</w:t>
              <w:br/>
              <w:t>• Jika threshold 50%: Model mengeksekusi semua candle, akurasi jatuh ke ~52% (terjebak noise sideways).</w:t>
              <w:br/>
              <w:t>• Jika threshold 70%: Akurasi sangat tinggi (&gt;78%), tetapi frekuensi sinyal menjadi terlalu langka (hanya 1-2 trade per minggu), sehingga target 100 transaksi forward testing sulit tercapai.</w:t>
              <w:br/>
              <w:t>• Pada threshold 65%: Model berhasil menyaring 70% noise pasar, mendongkrak win rate hingga 74.77%, dan tetap menghasilkan frekuensi perdagangan yang cukup (2-4 sinyal berkualitas tinggi per hari).</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6: Apa fungsi evaluasi ROC-AUC dan apa bedanya dengan Akurasi biasa?</w:t>
              <w:br/>
            </w:r>
            <w:r>
              <w:rPr>
                <w:rFonts w:ascii="Times New Roman" w:hAnsi="Times New Roman"/>
                <w:i w:val="0"/>
                <w:color w:val="2C3E50"/>
                <w:sz w:val="21"/>
              </w:rPr>
              <w:t>JAWABAN: ROC-AUC mengukur kemampuan diskriminasi model membedakan sinyal naik vs turun lintas SELURUH spektrum ambang batas probabilitas, independen terhadap cut-off point tertentu.</w:t>
              <w:br/>
              <w:br/>
              <w:t>Penjelasan: Metrik akurasi biasa sangat mudah tertipu oleh ketidakseimbangan kelas (misal pasar sedang tren naik panjang, model selalu menebak naik akan mendapat akurasi tinggi semu). ROC-AUC mengevaluasi True Positive Rate (Recall) terhadap False Positive Rate pada semua kemungkinan threshold (0.0 s/d 1.0). Nilai ROC-AUC 0.60–0.62 pada data pasar keuangan intraday M15 ber-noise ekstrem membuktikan bahwa model memiliki keunggulan statistik nyata (alpha edge) di atas tebakan acak (0.50).</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Times New Roman" w:hAnsi="Times New Roman"/>
                <w:b/>
                <w:color w:val="1B365D"/>
                <w:sz w:val="22"/>
              </w:rPr>
              <w:t>💡 Pertanyaan 7: Mengapa total transaksi forward testing sempat tercatat 40 lalu dibersihkan menjadi 14?</w:t>
              <w:br/>
            </w:r>
            <w:r>
              <w:rPr>
                <w:rFonts w:ascii="Times New Roman" w:hAnsi="Times New Roman"/>
                <w:i w:val="0"/>
                <w:color w:val="2C3E50"/>
                <w:sz w:val="21"/>
              </w:rPr>
              <w:t>JAWABAN: Terjadi pemisahan data antara fase eksperimen awal (debugging) dengan fase forward testing resmi pasca-reset modal $500.</w:t>
              <w:br/>
              <w:br/>
              <w:t>Penjelasan: Sebanyak 26 transaksi awal (15–18 September) merupakan fase uji coba teknis di mana bot belum dipasangi filter anti counter-trend H4 dan guard berita makroekonomi, sehingga menghasilkan performa buruk. Pada 18 September 2026 pukul 21:55 WIB, dilakukan reset resmi modal awal $500.00 terstandarisasi untuk skripsi. Data 26 trade lama telah dicadangkan aman ke file arsip, dan 14 transaksi bersih pasca-reset dijadikan dasar audit portofolio resmi agar penilaian performa model v4.0 objektif dan valid.</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
              <w:rPr>
                <w:rFonts w:ascii="Times New Roman" w:hAnsi="Times New Roman"/>
                <w:b/>
              </w:rPr>
              <w:t>💡 Pertanyaan 8: Bagaimana korelasi antara Horizon Prediksi Model Machine Learning (T+5 = 75 menit) dengan Target Exit Dinamis SMC (Take-Profit &amp; Stop-Loss)? Mengapa model tidak langsung memprediksi nominal harga TP/SL?</w:t>
              <w:br/>
            </w:r>
            <w:r>
              <w:rPr>
                <w:rFonts w:ascii="Times New Roman" w:hAnsi="Times New Roman"/>
              </w:rPr>
              <w:t>JAWABAN: Sistem menerapkan arsitektur dua tingkat (Two-Tier Architecture), di mana Machine Learning murni difokuskan pada tugas klasifikasi probabilitas momentum arah pergerakan harga, sedangkan penentuan nominal harga Take-Profit dan Stop-Loss ditangani secara independen oleh Mesin Struktural Smart Money Concepts (SMC) berbasis likuiditas pasar nyata.</w:t>
              <w:br/>
              <w:br/>
              <w:t>Penjelasan Ilmiah &amp; Teknis:</w:t>
              <w:br/>
              <w:t>1. Horizon Prediksi Model (T+5 = 75 Menit): LightGBM dilatih untuk memprediksi probabilitas arah biner 5 candle ke depan (apakah harga naik di atas threshold volatilitas ATR atau turun). Formulasi klasifikasi probabilitas terbukti secara empiris dan teoretis jauh lebih tahan derau (noise-resistant) dibandingkan regresi numerik harga nominal yang sangat rentan overfitting dan terjebak lag pada aset dengan volatilitas tinggi seperti Emas (XAUUSD).</w:t>
              <w:br/>
              <w:t>2. Mesin Struktural SMC &amp; Dynamic RRR: Begitu arah dikonfirmasi oleh model AI (probabilitas ≥ 65% – 70%), Tier-2 membaca peta struktur pasar multi-horizon (termasuk jangkar institusional D1 30-hari). Target Take-Profit diletakkan tepat pada batas likuiditas supply/demand terdekat (bukan nominal uang statis). Stop-Loss kemudian diukur secara proporsional agar Risk-to-Reward Ratio (RRR) terjamin minimal 1 : 1.8 hingga 1 : 2.5.</w:t>
              <w:br/>
              <w:t>3. Bad RRR Filter: Jika jarak menuju target supply/demand kunci terlalu sempit (&lt; 1.8x base SL), sistem secara otomatis menolak transaksi tersebut (BAD_RRR_FILTER). Dengan demikian, sistem tidak pernah memaksakan trade berisiko tinggi dengan ruang laba yang sempit.</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
              <w:rPr>
                <w:rFonts w:ascii="Times New Roman" w:hAnsi="Times New Roman"/>
                <w:b/>
              </w:rPr>
              <w:t>💡 Pertanyaan 9: Mengapa bot sering mengalami status Break-Even Point (BEP / +.20 USD) dan tidak dilonggarkan atau dihilangkan saja agar meraih TP penuh? Apa bukti empirisnya?</w:t>
              <w:br/>
            </w:r>
            <w:r>
              <w:rPr>
                <w:rFonts w:ascii="Times New Roman" w:hAnsi="Times New Roman"/>
              </w:rPr>
              <w:t>JAWABAN: Mekanisme Auto Break-Even Point (BEP) adalah pilar fundamental mitigasi risiko modal (Capital Preservation Guard) yang secara empiris terbukti menyelamatkan akun dari akumulasi kerugian besar saat pasar mengalami pembalikan arah tajam.</w:t>
              <w:br/>
              <w:br/>
              <w:t>Bukti Empiris &amp; Analisis Data:</w:t>
              <w:br/>
              <w:t>1. Telah dilakukan pengujian empiris mendalam (backtest audit) terhadap seluruh 11 kasus transaksi BEP riil pada forward testing akun MetaTrader 5 dengan data tick 1-menit aktual.</w:t>
              <w:br/>
              <w:t>2. Hasil temuan audit empiris membuktikan bahwa apabila proteksi BEP dihilangkan atau dilonggarkan:</w:t>
              <w:br/>
              <w:t xml:space="preserve">   • Sebanyak 8 dari 11 transaksi (72.7%) berbalik arah drastis (dump/reversal) dan berakhir menghantam Full Stop-Loss (-.00 per transaksi).</w:t>
              <w:br/>
              <w:t xml:space="preserve">   • Hanya 2 transaksi yang berhasil mencapai Take-Profit (+.50), sementara 1 transaksi floating berkepanjangan.</w:t>
              <w:br/>
              <w:t xml:space="preserve">   • Tanpa fitur BEP, total performa bersih akun menderita kerugian drastis sebesar -.00 USD. Sebaliknya, dengan fitur BEP aktif, akun berhasil mempertahankan modal dan membukukan laba bersih +.20 USD.</w:t>
              <w:br/>
              <w:t>3. Kesimpulan Ilmiah: Dalam rezim pasar yang berada dalam tren makro kuat (seperti downtrend tajam 22–24 September), pantulan harga awal di time frame M15 sering kali hanyalah koreksi minor atau jebakan likuiditas (liquidity sweep). Fitur Auto BEP (+0.20 USD saat floating profit mencapai +.00) terbukti secara saintifik dan matematis merupakan pelindung modal terpenting yang mencegah kehancuran portofolio.</w:t>
            </w:r>
          </w:p>
        </w:tc>
      </w:tr>
    </w:tbl>
    <w:p>
      <w:pPr>
        <w:spacing w:after="120"/>
      </w:pPr>
    </w:p>
    <w:p>
      <w:pPr>
        <w:keepNext/>
        <w:spacing w:before="280" w:after="80"/>
      </w:pPr>
      <w:r>
        <w:rPr>
          <w:rFonts w:ascii="Times New Roman" w:hAnsi="Times New Roman"/>
          <w:b/>
          <w:color w:val="1B365D"/>
          <w:sz w:val="28"/>
        </w:rPr>
        <w:t>BAB 6: PETA ARSITEKTUR FILE REPOSITORI SKRIPSI</w:t>
      </w:r>
    </w:p>
    <w:p>
      <w:pPr>
        <w:spacing w:before="0" w:after="120" w:line="276" w:lineRule="auto"/>
        <w:jc w:val="both"/>
      </w:pPr>
      <w:r>
        <w:rPr>
          <w:rFonts w:ascii="Times New Roman" w:hAnsi="Times New Roman"/>
          <w:i w:val="0"/>
          <w:color w:val="222222"/>
          <w:sz w:val="22"/>
        </w:rPr>
        <w:t>Seluruh kode dalam repositori d:\SKRIPSI INFORMATIKA terintegrasi secara harmonis:</w:t>
      </w:r>
    </w:p>
    <w:tbl>
      <w:tblPr>
        <w:tblW w:type="auto" w:w="0"/>
        <w:jc w:val="center"/>
        <w:tblLook w:firstColumn="1" w:firstRow="1" w:lastColumn="0" w:lastRow="0" w:noHBand="0" w:noVBand="1" w:val="04A0"/>
      </w:tblPr>
      <w:tblGrid>
        <w:gridCol w:w="3120"/>
        <w:gridCol w:w="3120"/>
        <w:gridCol w:w="3120"/>
      </w:tblGrid>
      <w:tr>
        <w:tc>
          <w:tcPr>
            <w:tcW w:type="dxa" w:w="3024"/>
            <w:shd w:fill="1B365D"/>
            <w:tcMar>
              <w:top w:w="60" w:type="dxa"/>
              <w:bottom w:w="60" w:type="dxa"/>
              <w:left w:w="100" w:type="dxa"/>
              <w:right w:w="100" w:type="dxa"/>
            </w:tcMar>
          </w:tcPr>
          <w:p>
            <w:r>
              <w:rPr>
                <w:rFonts w:ascii="Times New Roman" w:hAnsi="Times New Roman"/>
                <w:b/>
                <w:color w:val="FFFFFF"/>
                <w:sz w:val="19"/>
              </w:rPr>
              <w:t>Nama File / Artefak</w:t>
            </w:r>
          </w:p>
        </w:tc>
        <w:tc>
          <w:tcPr>
            <w:tcW w:type="dxa" w:w="3024"/>
            <w:shd w:fill="1B365D"/>
            <w:tcMar>
              <w:top w:w="60" w:type="dxa"/>
              <w:bottom w:w="60" w:type="dxa"/>
              <w:left w:w="100" w:type="dxa"/>
              <w:right w:w="100" w:type="dxa"/>
            </w:tcMar>
          </w:tcPr>
          <w:p>
            <w:r>
              <w:rPr>
                <w:rFonts w:ascii="Times New Roman" w:hAnsi="Times New Roman"/>
                <w:b/>
                <w:color w:val="FFFFFF"/>
                <w:sz w:val="19"/>
              </w:rPr>
              <w:t>Peran &amp; Fungsi dalam Penelitian</w:t>
            </w:r>
          </w:p>
        </w:tc>
        <w:tc>
          <w:tcPr>
            <w:tcW w:type="dxa" w:w="3024"/>
            <w:shd w:fill="1B365D"/>
            <w:tcMar>
              <w:top w:w="60" w:type="dxa"/>
              <w:bottom w:w="60" w:type="dxa"/>
              <w:left w:w="100" w:type="dxa"/>
              <w:right w:w="100" w:type="dxa"/>
            </w:tcMar>
          </w:tcPr>
          <w:p>
            <w:r>
              <w:rPr>
                <w:rFonts w:ascii="Times New Roman" w:hAnsi="Times New Roman"/>
                <w:b/>
                <w:color w:val="FFFFFF"/>
                <w:sz w:val="19"/>
              </w:rPr>
              <w:t>Status Terkini</w:t>
            </w:r>
          </w:p>
        </w:tc>
      </w:tr>
      <w:tr>
        <w:tc>
          <w:tcPr>
            <w:tcW w:type="dxa" w:w="3120"/>
            <w:shd w:fill="FFFFFF"/>
            <w:tcMar>
              <w:top w:w="40" w:type="dxa"/>
              <w:bottom w:w="40" w:type="dxa"/>
              <w:left w:w="80" w:type="dxa"/>
              <w:right w:w="80" w:type="dxa"/>
            </w:tcMar>
          </w:tcPr>
          <w:p>
            <w:pPr>
              <w:spacing w:before="20" w:after="20"/>
            </w:pPr>
            <w:r>
              <w:rPr>
                <w:rFonts w:ascii="Times New Roman" w:hAnsi="Times New Roman"/>
                <w:b/>
                <w:color w:val="1B365D"/>
                <w:sz w:val="17"/>
              </w:rPr>
              <w:t>DRAF_BAB_1_SKRIPSI_NOUVAL.docx</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Naskah draf Bab 1 Skripsi resmi UPN Veteran Yogyakarta.</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Tersinkronisasi 44 Fitur, Rumusan Masalah Deklaratif, M15 Sweet Spot.</w:t>
            </w:r>
          </w:p>
        </w:tc>
      </w:tr>
      <w:tr>
        <w:tc>
          <w:tcPr>
            <w:tcW w:type="dxa" w:w="3120"/>
            <w:shd w:fill="F8F9FA"/>
            <w:tcMar>
              <w:top w:w="40" w:type="dxa"/>
              <w:bottom w:w="40" w:type="dxa"/>
              <w:left w:w="80" w:type="dxa"/>
              <w:right w:w="80" w:type="dxa"/>
            </w:tcMar>
          </w:tcPr>
          <w:p>
            <w:pPr>
              <w:spacing w:before="20" w:after="20"/>
            </w:pPr>
            <w:r>
              <w:rPr>
                <w:rFonts w:ascii="Times New Roman" w:hAnsi="Times New Roman"/>
                <w:b/>
                <w:color w:val="1B365D"/>
                <w:sz w:val="17"/>
              </w:rPr>
              <w:t>Uji_Coba_LightGBM_XAUUSD.ipynb</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Jupyter Notebook dokumentasi sains data, rekayasa fitur, &amp; benchmark.</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Tersinkronisasi Versi 4.0, Benchmark XGBoost &amp; RF, Threshold Test.</w:t>
            </w:r>
          </w:p>
        </w:tc>
      </w:tr>
      <w:tr>
        <w:tc>
          <w:tcPr>
            <w:tcW w:type="dxa" w:w="3120"/>
            <w:shd w:fill="FFFFFF"/>
            <w:tcMar>
              <w:top w:w="40" w:type="dxa"/>
              <w:bottom w:w="40" w:type="dxa"/>
              <w:left w:w="80" w:type="dxa"/>
              <w:right w:w="80" w:type="dxa"/>
            </w:tcMar>
          </w:tcPr>
          <w:p>
            <w:pPr>
              <w:spacing w:before="20" w:after="20"/>
            </w:pPr>
            <w:r>
              <w:rPr>
                <w:rFonts w:ascii="Times New Roman" w:hAnsi="Times New Roman"/>
                <w:b/>
                <w:color w:val="1B365D"/>
                <w:sz w:val="17"/>
              </w:rPr>
              <w:t>train_model_lightgbm_m15.py</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Script Python pelatihan model LightGBM M15 v4.0.</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Menghasilkan file model bobot teroptimasi model_lightgbm_xauusd.pkl.</w:t>
            </w:r>
          </w:p>
        </w:tc>
      </w:tr>
      <w:tr>
        <w:tc>
          <w:tcPr>
            <w:tcW w:type="dxa" w:w="3120"/>
            <w:shd w:fill="F8F9FA"/>
            <w:tcMar>
              <w:top w:w="40" w:type="dxa"/>
              <w:bottom w:w="40" w:type="dxa"/>
              <w:left w:w="80" w:type="dxa"/>
              <w:right w:w="80" w:type="dxa"/>
            </w:tcMar>
          </w:tcPr>
          <w:p>
            <w:pPr>
              <w:spacing w:before="20" w:after="20"/>
            </w:pPr>
            <w:r>
              <w:rPr>
                <w:rFonts w:ascii="Times New Roman" w:hAnsi="Times New Roman"/>
                <w:b/>
                <w:color w:val="1B365D"/>
                <w:sz w:val="17"/>
              </w:rPr>
              <w:t>model_lightgbm_xauusd.pkl</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Artefak bobot model biner LightGBM 44 fitur M15.</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Model aktif live yang dimuat oleh bot eksekusi dan dashboard.</w:t>
            </w:r>
          </w:p>
        </w:tc>
      </w:tr>
      <w:tr>
        <w:tc>
          <w:tcPr>
            <w:tcW w:type="dxa" w:w="3120"/>
            <w:shd w:fill="FFFFFF"/>
            <w:tcMar>
              <w:top w:w="40" w:type="dxa"/>
              <w:bottom w:w="40" w:type="dxa"/>
              <w:left w:w="80" w:type="dxa"/>
              <w:right w:w="80" w:type="dxa"/>
            </w:tcMar>
          </w:tcPr>
          <w:p>
            <w:pPr>
              <w:spacing w:before="20" w:after="20"/>
            </w:pPr>
            <w:r>
              <w:rPr>
                <w:rFonts w:ascii="Times New Roman" w:hAnsi="Times New Roman"/>
                <w:b/>
                <w:color w:val="1B365D"/>
                <w:sz w:val="17"/>
              </w:rPr>
              <w:t>Macro_Economic_News_Engine.py</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Mesin penarik berita kalender ForexFactory &amp; kalkulator bias makro.</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Menghitung minutes_to_high_news dan macro_expectation_bias.</w:t>
            </w:r>
          </w:p>
        </w:tc>
      </w:tr>
      <w:tr>
        <w:tc>
          <w:tcPr>
            <w:tcW w:type="dxa" w:w="3120"/>
            <w:shd w:fill="F8F9FA"/>
            <w:tcMar>
              <w:top w:w="40" w:type="dxa"/>
              <w:bottom w:w="40" w:type="dxa"/>
              <w:left w:w="80" w:type="dxa"/>
              <w:right w:w="80" w:type="dxa"/>
            </w:tcMar>
          </w:tcPr>
          <w:p>
            <w:pPr>
              <w:spacing w:before="20" w:after="20"/>
            </w:pPr>
            <w:r>
              <w:rPr>
                <w:rFonts w:ascii="Times New Roman" w:hAnsi="Times New Roman"/>
                <w:b/>
                <w:color w:val="1B365D"/>
                <w:sz w:val="17"/>
              </w:rPr>
              <w:t>Eksekusi_Otomatis_Trading_Bot.py</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Mesin eksekusi trading otomatis M15 terhubung ke MT5 Exness.</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Dilengkapi Anti Counter-Trend Guard H4 dan Pre-News Caution Guard.</w:t>
            </w:r>
          </w:p>
        </w:tc>
      </w:tr>
      <w:tr>
        <w:tc>
          <w:tcPr>
            <w:tcW w:type="dxa" w:w="3120"/>
            <w:shd w:fill="FFFFFF"/>
            <w:tcMar>
              <w:top w:w="40" w:type="dxa"/>
              <w:bottom w:w="40" w:type="dxa"/>
              <w:left w:w="80" w:type="dxa"/>
              <w:right w:w="80" w:type="dxa"/>
            </w:tcMar>
          </w:tcPr>
          <w:p>
            <w:pPr>
              <w:spacing w:before="20" w:after="20"/>
            </w:pPr>
            <w:r>
              <w:rPr>
                <w:rFonts w:ascii="Times New Roman" w:hAnsi="Times New Roman"/>
                <w:b/>
                <w:color w:val="1B365D"/>
                <w:sz w:val="17"/>
              </w:rPr>
              <w:t>Trading_Bot_Dashboard.exe</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Aplikasi Desktop GUI mandiri (Obsidian Terminal v4.0).</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Native standalone Windows EXE bebas console hitam (73.7 MB).</w:t>
            </w:r>
          </w:p>
        </w:tc>
      </w:tr>
      <w:tr>
        <w:tc>
          <w:tcPr>
            <w:tcW w:type="dxa" w:w="3120"/>
            <w:shd w:fill="F8F9FA"/>
            <w:tcMar>
              <w:top w:w="40" w:type="dxa"/>
              <w:bottom w:w="40" w:type="dxa"/>
              <w:left w:w="80" w:type="dxa"/>
              <w:right w:w="80" w:type="dxa"/>
            </w:tcMar>
          </w:tcPr>
          <w:p>
            <w:pPr>
              <w:spacing w:before="20" w:after="20"/>
            </w:pPr>
            <w:r>
              <w:rPr>
                <w:rFonts w:ascii="Times New Roman" w:hAnsi="Times New Roman"/>
                <w:b/>
                <w:color w:val="1B365D"/>
                <w:sz w:val="17"/>
              </w:rPr>
              <w:t>Laporan_Forward_Testing_Model_Terbaru_SMC.xlsx</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Buku besar transaksi forward testing real-time MT5.</w:t>
            </w:r>
          </w:p>
        </w:tc>
        <w:tc>
          <w:tcPr>
            <w:tcW w:type="dxa" w:w="3120"/>
            <w:shd w:fill="F8F9FA"/>
            <w:tcMar>
              <w:top w:w="40" w:type="dxa"/>
              <w:bottom w:w="40" w:type="dxa"/>
              <w:left w:w="80" w:type="dxa"/>
              <w:right w:w="80" w:type="dxa"/>
            </w:tcMar>
          </w:tcPr>
          <w:p>
            <w:pPr>
              <w:spacing w:before="20" w:after="20"/>
            </w:pPr>
            <w:r>
              <w:rPr>
                <w:rFonts w:ascii="Times New Roman" w:hAnsi="Times New Roman"/>
                <w:sz w:val="17"/>
              </w:rPr>
              <w:t>Mencatat 13 trade M15 pasca-reset saldo awal $500.00.</w:t>
            </w:r>
          </w:p>
        </w:tc>
      </w:tr>
      <w:tr>
        <w:tc>
          <w:tcPr>
            <w:tcW w:type="dxa" w:w="3120"/>
            <w:shd w:fill="FFFFFF"/>
            <w:tcMar>
              <w:top w:w="40" w:type="dxa"/>
              <w:bottom w:w="40" w:type="dxa"/>
              <w:left w:w="80" w:type="dxa"/>
              <w:right w:w="80" w:type="dxa"/>
            </w:tcMar>
          </w:tcPr>
          <w:p>
            <w:pPr>
              <w:spacing w:before="20" w:after="20"/>
            </w:pPr>
            <w:r>
              <w:rPr>
                <w:rFonts w:ascii="Times New Roman" w:hAnsi="Times New Roman"/>
                <w:b/>
                <w:color w:val="1B365D"/>
                <w:sz w:val="17"/>
              </w:rPr>
              <w:t>evaluasi_skenario_trade.csv</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Database audit autopsi faktor menang/kalah skenario transaksi.</w:t>
            </w:r>
          </w:p>
        </w:tc>
        <w:tc>
          <w:tcPr>
            <w:tcW w:type="dxa" w:w="3120"/>
            <w:shd w:fill="FFFFFF"/>
            <w:tcMar>
              <w:top w:w="40" w:type="dxa"/>
              <w:bottom w:w="40" w:type="dxa"/>
              <w:left w:w="80" w:type="dxa"/>
              <w:right w:w="80" w:type="dxa"/>
            </w:tcMar>
          </w:tcPr>
          <w:p>
            <w:pPr>
              <w:spacing w:before="20" w:after="20"/>
            </w:pPr>
            <w:r>
              <w:rPr>
                <w:rFonts w:ascii="Times New Roman" w:hAnsi="Times New Roman"/>
                <w:sz w:val="17"/>
              </w:rPr>
              <w:t>Tepat 14 baris bersih pasca-reset 18 September 21:55 WIB.</w:t>
            </w:r>
          </w:p>
        </w:tc>
      </w:tr>
    </w:tbl>
    <w:p>
      <w:pPr>
        <w:spacing w:after="280"/>
      </w:pPr>
    </w:p>
    <w:p>
      <w:pPr>
        <w:spacing w:before="0" w:after="120" w:line="276" w:lineRule="auto"/>
        <w:jc w:val="both"/>
      </w:pPr>
      <w:r>
        <w:rPr>
          <w:rFonts w:ascii="Times New Roman" w:hAnsi="Times New Roman"/>
          <w:b/>
          <w:color w:val="1B365D"/>
          <w:sz w:val="22"/>
        </w:rPr>
        <w:t xml:space="preserve">Catatan Penutup: </w:t>
      </w:r>
      <w:r>
        <w:rPr>
          <w:rFonts w:ascii="Times New Roman" w:hAnsi="Times New Roman"/>
          <w:i/>
          <w:color w:val="222222"/>
          <w:sz w:val="22"/>
        </w:rPr>
        <w:t>Buku panduan ini merupakan ringkasan pengetahuan utuh (Single Source of Truth) dari penelitian tugas akhir Anda. Simpan dan pelajari dokumen ini sebagai bekal presentasi seminar proposal, bimbingan dosen, serta ujian pendadaran/sidang skripsi.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