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TABEL MATRIKS PENELITIAN TERDAHULU (STATE OF THE ART) UNTUK BAB II</w:t>
      </w:r>
    </w:p>
    <w:p>
      <w:pPr>
        <w:jc w:val="both"/>
      </w:pPr>
      <w:r>
        <w:rPr>
          <w:rFonts w:ascii="Times New Roman" w:hAnsi="Times New Roman"/>
          <w:sz w:val="22"/>
        </w:rPr>
        <w:t>Tabel ini memetakan 13 penelitian terdahulu yang relevan dalam domain peramalan finansial, machine learning berbasis gradient boosting, deret waktu emas (XAUUSD), analisis intermarket DXY, dan Smart Money Concepts, serta penegasan posisi kebaruan (novelty) penelitian Tugas Akhir Nouval Ditya Maheswara (123230165).</w:t>
      </w:r>
    </w:p>
    <w:tbl>
      <w:tblPr>
        <w:tblStyle w:val="TableGrid"/>
        <w:tblW w:type="auto" w:w="0"/>
        <w:jc w:val="center"/>
        <w:tblLook w:firstColumn="1" w:firstRow="1" w:lastColumn="0" w:lastRow="0" w:noHBand="0" w:noVBand="1" w:val="04A0"/>
      </w:tblPr>
      <w:tblGrid>
        <w:gridCol w:w="1993"/>
        <w:gridCol w:w="1993"/>
        <w:gridCol w:w="1993"/>
        <w:gridCol w:w="1993"/>
        <w:gridCol w:w="1993"/>
        <w:gridCol w:w="1993"/>
        <w:gridCol w:w="1993"/>
      </w:tblGrid>
      <w:tr>
        <w:tc>
          <w:tcPr>
            <w:tcW w:type="dxa" w:w="1993"/>
          </w:tcPr>
          <w:p>
            <w:pPr>
              <w:spacing w:line="276" w:lineRule="auto" w:before="40" w:after="40"/>
              <w:jc w:val="center"/>
            </w:pPr>
            <w:r>
              <w:rPr>
                <w:rFonts w:ascii="Times New Roman" w:hAnsi="Times New Roman"/>
                <w:b/>
                <w:sz w:val="18"/>
              </w:rPr>
              <w:t>Peneliti &amp; Tahun</w:t>
            </w:r>
          </w:p>
        </w:tc>
        <w:tc>
          <w:tcPr>
            <w:tcW w:type="dxa" w:w="1993"/>
          </w:tcPr>
          <w:p>
            <w:pPr>
              <w:spacing w:line="276" w:lineRule="auto" w:before="40" w:after="40"/>
              <w:jc w:val="center"/>
            </w:pPr>
            <w:r>
              <w:rPr>
                <w:rFonts w:ascii="Times New Roman" w:hAnsi="Times New Roman"/>
                <w:b/>
                <w:sz w:val="18"/>
              </w:rPr>
              <w:t>Publikasi / Jurnal</w:t>
            </w:r>
          </w:p>
        </w:tc>
        <w:tc>
          <w:tcPr>
            <w:tcW w:type="dxa" w:w="1993"/>
          </w:tcPr>
          <w:p>
            <w:pPr>
              <w:spacing w:line="276" w:lineRule="auto" w:before="40" w:after="40"/>
              <w:jc w:val="center"/>
            </w:pPr>
            <w:r>
              <w:rPr>
                <w:rFonts w:ascii="Times New Roman" w:hAnsi="Times New Roman"/>
                <w:b/>
                <w:sz w:val="18"/>
              </w:rPr>
              <w:t>Objek Penelitian</w:t>
            </w:r>
          </w:p>
        </w:tc>
        <w:tc>
          <w:tcPr>
            <w:tcW w:type="dxa" w:w="1993"/>
          </w:tcPr>
          <w:p>
            <w:pPr>
              <w:spacing w:line="276" w:lineRule="auto" w:before="40" w:after="40"/>
              <w:jc w:val="center"/>
            </w:pPr>
            <w:r>
              <w:rPr>
                <w:rFonts w:ascii="Times New Roman" w:hAnsi="Times New Roman"/>
                <w:b/>
                <w:sz w:val="18"/>
              </w:rPr>
              <w:t>Metode / Algoritma</w:t>
            </w:r>
          </w:p>
        </w:tc>
        <w:tc>
          <w:tcPr>
            <w:tcW w:type="dxa" w:w="1993"/>
          </w:tcPr>
          <w:p>
            <w:pPr>
              <w:spacing w:line="276" w:lineRule="auto" w:before="40" w:after="40"/>
              <w:jc w:val="center"/>
            </w:pPr>
            <w:r>
              <w:rPr>
                <w:rFonts w:ascii="Times New Roman" w:hAnsi="Times New Roman"/>
                <w:b/>
                <w:sz w:val="18"/>
              </w:rPr>
              <w:t>Variabel Masukan</w:t>
            </w:r>
          </w:p>
        </w:tc>
        <w:tc>
          <w:tcPr>
            <w:tcW w:type="dxa" w:w="1993"/>
          </w:tcPr>
          <w:p>
            <w:pPr>
              <w:spacing w:line="276" w:lineRule="auto" w:before="40" w:after="40"/>
              <w:jc w:val="center"/>
            </w:pPr>
            <w:r>
              <w:rPr>
                <w:rFonts w:ascii="Times New Roman" w:hAnsi="Times New Roman"/>
                <w:b/>
                <w:sz w:val="18"/>
              </w:rPr>
              <w:t>Hasil &amp; Metrik Utama</w:t>
            </w:r>
          </w:p>
        </w:tc>
        <w:tc>
          <w:tcPr>
            <w:tcW w:type="dxa" w:w="1993"/>
          </w:tcPr>
          <w:p>
            <w:pPr>
              <w:spacing w:line="276" w:lineRule="auto" w:before="40" w:after="40"/>
              <w:jc w:val="center"/>
            </w:pPr>
            <w:r>
              <w:rPr>
                <w:rFonts w:ascii="Times New Roman" w:hAnsi="Times New Roman"/>
                <w:b/>
                <w:sz w:val="18"/>
              </w:rPr>
              <w:t>Kelemahan / Research Gap yang Ditinggalkan</w:t>
            </w:r>
          </w:p>
        </w:tc>
      </w:tr>
      <w:tr>
        <w:tc>
          <w:tcPr>
            <w:tcW w:type="dxa" w:w="1993"/>
          </w:tcPr>
          <w:p>
            <w:pPr>
              <w:spacing w:line="276" w:lineRule="auto" w:before="40" w:after="40"/>
              <w:jc w:val="both"/>
            </w:pPr>
            <w:r>
              <w:rPr>
                <w:rFonts w:ascii="Times New Roman" w:hAnsi="Times New Roman"/>
                <w:sz w:val="17"/>
              </w:rPr>
              <w:t>Al-Thaqeb et al. (2026)</w:t>
            </w:r>
          </w:p>
        </w:tc>
        <w:tc>
          <w:tcPr>
            <w:tcW w:type="dxa" w:w="1993"/>
          </w:tcPr>
          <w:p>
            <w:pPr>
              <w:spacing w:line="276" w:lineRule="auto" w:before="40" w:after="40"/>
              <w:jc w:val="both"/>
            </w:pPr>
            <w:r>
              <w:rPr>
                <w:rFonts w:ascii="Times New Roman" w:hAnsi="Times New Roman"/>
                <w:sz w:val="17"/>
              </w:rPr>
              <w:t>J. of Risk and Financial Management (Scopus Q2)</w:t>
            </w:r>
          </w:p>
        </w:tc>
        <w:tc>
          <w:tcPr>
            <w:tcW w:type="dxa" w:w="1993"/>
          </w:tcPr>
          <w:p>
            <w:pPr>
              <w:spacing w:line="276" w:lineRule="auto" w:before="40" w:after="40"/>
              <w:jc w:val="both"/>
            </w:pPr>
            <w:r>
              <w:rPr>
                <w:rFonts w:ascii="Times New Roman" w:hAnsi="Times New Roman"/>
                <w:sz w:val="17"/>
              </w:rPr>
              <w:t>XAUUSD (Harian / D1)</w:t>
            </w:r>
          </w:p>
        </w:tc>
        <w:tc>
          <w:tcPr>
            <w:tcW w:type="dxa" w:w="1993"/>
          </w:tcPr>
          <w:p>
            <w:pPr>
              <w:spacing w:line="276" w:lineRule="auto" w:before="40" w:after="40"/>
              <w:jc w:val="both"/>
            </w:pPr>
            <w:r>
              <w:rPr>
                <w:rFonts w:ascii="Times New Roman" w:hAnsi="Times New Roman"/>
                <w:sz w:val="17"/>
              </w:rPr>
              <w:t>Random Forest, SVM, Artificial Neural Network (ANN)</w:t>
            </w:r>
          </w:p>
        </w:tc>
        <w:tc>
          <w:tcPr>
            <w:tcW w:type="dxa" w:w="1993"/>
          </w:tcPr>
          <w:p>
            <w:pPr>
              <w:spacing w:line="276" w:lineRule="auto" w:before="40" w:after="40"/>
              <w:jc w:val="both"/>
            </w:pPr>
            <w:r>
              <w:rPr>
                <w:rFonts w:ascii="Times New Roman" w:hAnsi="Times New Roman"/>
                <w:sz w:val="17"/>
              </w:rPr>
              <w:t>Harga OHLCV historis dan indikator makroekonomi (suku bunga, minyak, kurs valuta).</w:t>
            </w:r>
          </w:p>
        </w:tc>
        <w:tc>
          <w:tcPr>
            <w:tcW w:type="dxa" w:w="1993"/>
          </w:tcPr>
          <w:p>
            <w:pPr>
              <w:spacing w:line="276" w:lineRule="auto" w:before="40" w:after="40"/>
              <w:jc w:val="both"/>
            </w:pPr>
            <w:r>
              <w:rPr>
                <w:rFonts w:ascii="Times New Roman" w:hAnsi="Times New Roman"/>
                <w:sz w:val="17"/>
              </w:rPr>
              <w:t>Random Forest meraih akurasi arah tertinggi (~68.2%) mengungguli SVM dan ANN.</w:t>
            </w:r>
          </w:p>
        </w:tc>
        <w:tc>
          <w:tcPr>
            <w:tcW w:type="dxa" w:w="1993"/>
          </w:tcPr>
          <w:p>
            <w:pPr>
              <w:spacing w:line="276" w:lineRule="auto" w:before="40" w:after="40"/>
              <w:jc w:val="both"/>
            </w:pPr>
            <w:r>
              <w:rPr>
                <w:rFonts w:ascii="Times New Roman" w:hAnsi="Times New Roman"/>
                <w:sz w:val="17"/>
              </w:rPr>
              <w:t>Hanya menggunakan data harian (D1), tidak memodelkan geometri SMC (Order Block/FVG), tidak ada live forward testing intraday, dan ketiadaan manajemen risiko dinamis ATR.</w:t>
            </w:r>
          </w:p>
        </w:tc>
      </w:tr>
      <w:tr>
        <w:tc>
          <w:tcPr>
            <w:tcW w:type="dxa" w:w="1993"/>
          </w:tcPr>
          <w:p>
            <w:pPr>
              <w:spacing w:line="276" w:lineRule="auto" w:before="40" w:after="40"/>
              <w:jc w:val="both"/>
            </w:pPr>
            <w:r>
              <w:rPr>
                <w:rFonts w:ascii="Times New Roman" w:hAnsi="Times New Roman"/>
                <w:sz w:val="17"/>
              </w:rPr>
              <w:t>Ben Jabeur et al. (2024)</w:t>
            </w:r>
          </w:p>
        </w:tc>
        <w:tc>
          <w:tcPr>
            <w:tcW w:type="dxa" w:w="1993"/>
          </w:tcPr>
          <w:p>
            <w:pPr>
              <w:spacing w:line="276" w:lineRule="auto" w:before="40" w:after="40"/>
              <w:jc w:val="both"/>
            </w:pPr>
            <w:r>
              <w:rPr>
                <w:rFonts w:ascii="Times New Roman" w:hAnsi="Times New Roman"/>
                <w:sz w:val="17"/>
              </w:rPr>
              <w:t>Annals of Operations Research (Springer, Scopus Q1)</w:t>
            </w:r>
          </w:p>
        </w:tc>
        <w:tc>
          <w:tcPr>
            <w:tcW w:type="dxa" w:w="1993"/>
          </w:tcPr>
          <w:p>
            <w:pPr>
              <w:spacing w:line="276" w:lineRule="auto" w:before="40" w:after="40"/>
              <w:jc w:val="both"/>
            </w:pPr>
            <w:r>
              <w:rPr>
                <w:rFonts w:ascii="Times New Roman" w:hAnsi="Times New Roman"/>
                <w:sz w:val="17"/>
              </w:rPr>
              <w:t>Emas Spot Global (Harian)</w:t>
            </w:r>
          </w:p>
        </w:tc>
        <w:tc>
          <w:tcPr>
            <w:tcW w:type="dxa" w:w="1993"/>
          </w:tcPr>
          <w:p>
            <w:pPr>
              <w:spacing w:line="276" w:lineRule="auto" w:before="40" w:after="40"/>
              <w:jc w:val="both"/>
            </w:pPr>
            <w:r>
              <w:rPr>
                <w:rFonts w:ascii="Times New Roman" w:hAnsi="Times New Roman"/>
                <w:sz w:val="17"/>
              </w:rPr>
              <w:t>Extreme Gradient Boosting (XGBoost) + SHAP</w:t>
            </w:r>
          </w:p>
        </w:tc>
        <w:tc>
          <w:tcPr>
            <w:tcW w:type="dxa" w:w="1993"/>
          </w:tcPr>
          <w:p>
            <w:pPr>
              <w:spacing w:line="276" w:lineRule="auto" w:before="40" w:after="40"/>
              <w:jc w:val="both"/>
            </w:pPr>
            <w:r>
              <w:rPr>
                <w:rFonts w:ascii="Times New Roman" w:hAnsi="Times New Roman"/>
                <w:sz w:val="17"/>
              </w:rPr>
              <w:t>Indeks risiko geopolitik (GPR), volatilitas (VIX), dan harga komoditas global.</w:t>
            </w:r>
          </w:p>
        </w:tc>
        <w:tc>
          <w:tcPr>
            <w:tcW w:type="dxa" w:w="1993"/>
          </w:tcPr>
          <w:p>
            <w:pPr>
              <w:spacing w:line="276" w:lineRule="auto" w:before="40" w:after="40"/>
              <w:jc w:val="both"/>
            </w:pPr>
            <w:r>
              <w:rPr>
                <w:rFonts w:ascii="Times New Roman" w:hAnsi="Times New Roman"/>
                <w:sz w:val="17"/>
              </w:rPr>
              <w:t>XGBoost mengungguli model linear dan ANN dalam regresi harga nominal; SHAP membedah pengaruh fitur.</w:t>
            </w:r>
          </w:p>
        </w:tc>
        <w:tc>
          <w:tcPr>
            <w:tcW w:type="dxa" w:w="1993"/>
          </w:tcPr>
          <w:p>
            <w:pPr>
              <w:spacing w:line="276" w:lineRule="auto" w:before="40" w:after="40"/>
              <w:jc w:val="both"/>
            </w:pPr>
            <w:r>
              <w:rPr>
                <w:rFonts w:ascii="Times New Roman" w:hAnsi="Times New Roman"/>
                <w:sz w:val="17"/>
              </w:rPr>
              <w:t>Berorientasi pada regresi nominal jangka panjang, tidak menghasilkan probabilitas klasifikasi untuk trigger order trading, tidak memanfaatkan struktur SMC intraday, dan komputasi XGBoost relatif lambat.</w:t>
            </w:r>
          </w:p>
        </w:tc>
      </w:tr>
      <w:tr>
        <w:tc>
          <w:tcPr>
            <w:tcW w:type="dxa" w:w="1993"/>
          </w:tcPr>
          <w:p>
            <w:pPr>
              <w:spacing w:line="276" w:lineRule="auto" w:before="40" w:after="40"/>
              <w:jc w:val="both"/>
            </w:pPr>
            <w:r>
              <w:rPr>
                <w:rFonts w:ascii="Times New Roman" w:hAnsi="Times New Roman"/>
                <w:sz w:val="17"/>
              </w:rPr>
              <w:t>Nasrul Fadhila Akbar (2026)</w:t>
            </w:r>
          </w:p>
        </w:tc>
        <w:tc>
          <w:tcPr>
            <w:tcW w:type="dxa" w:w="1993"/>
          </w:tcPr>
          <w:p>
            <w:pPr>
              <w:spacing w:line="276" w:lineRule="auto" w:before="40" w:after="40"/>
              <w:jc w:val="both"/>
            </w:pPr>
            <w:r>
              <w:rPr>
                <w:rFonts w:ascii="Times New Roman" w:hAnsi="Times New Roman"/>
                <w:sz w:val="17"/>
              </w:rPr>
              <w:t>Prosiding Seminar Nasional Informatika UII</w:t>
            </w:r>
          </w:p>
        </w:tc>
        <w:tc>
          <w:tcPr>
            <w:tcW w:type="dxa" w:w="1993"/>
          </w:tcPr>
          <w:p>
            <w:pPr>
              <w:spacing w:line="276" w:lineRule="auto" w:before="40" w:after="40"/>
              <w:jc w:val="both"/>
            </w:pPr>
            <w:r>
              <w:rPr>
                <w:rFonts w:ascii="Times New Roman" w:hAnsi="Times New Roman"/>
                <w:sz w:val="17"/>
              </w:rPr>
              <w:t>Harga Emas Logam Mulia Indonesia (Harian)</w:t>
            </w:r>
          </w:p>
        </w:tc>
        <w:tc>
          <w:tcPr>
            <w:tcW w:type="dxa" w:w="1993"/>
          </w:tcPr>
          <w:p>
            <w:pPr>
              <w:spacing w:line="276" w:lineRule="auto" w:before="40" w:after="40"/>
              <w:jc w:val="both"/>
            </w:pPr>
            <w:r>
              <w:rPr>
                <w:rFonts w:ascii="Times New Roman" w:hAnsi="Times New Roman"/>
                <w:sz w:val="17"/>
              </w:rPr>
              <w:t>Perbandingan XGBoost vs. Random Forest Regression</w:t>
            </w:r>
          </w:p>
        </w:tc>
        <w:tc>
          <w:tcPr>
            <w:tcW w:type="dxa" w:w="1993"/>
          </w:tcPr>
          <w:p>
            <w:pPr>
              <w:spacing w:line="276" w:lineRule="auto" w:before="40" w:after="40"/>
              <w:jc w:val="both"/>
            </w:pPr>
            <w:r>
              <w:rPr>
                <w:rFonts w:ascii="Times New Roman" w:hAnsi="Times New Roman"/>
                <w:sz w:val="17"/>
              </w:rPr>
              <w:t>Data historis harga emas domestik harian dan lag price.</w:t>
            </w:r>
          </w:p>
        </w:tc>
        <w:tc>
          <w:tcPr>
            <w:tcW w:type="dxa" w:w="1993"/>
          </w:tcPr>
          <w:p>
            <w:pPr>
              <w:spacing w:line="276" w:lineRule="auto" w:before="40" w:after="40"/>
              <w:jc w:val="both"/>
            </w:pPr>
            <w:r>
              <w:rPr>
                <w:rFonts w:ascii="Times New Roman" w:hAnsi="Times New Roman"/>
                <w:sz w:val="17"/>
              </w:rPr>
              <w:t>XGBoost meraih nilai error terendah (MAE 1.24%) mengungguli Random Forest.</w:t>
            </w:r>
          </w:p>
        </w:tc>
        <w:tc>
          <w:tcPr>
            <w:tcW w:type="dxa" w:w="1993"/>
          </w:tcPr>
          <w:p>
            <w:pPr>
              <w:spacing w:line="276" w:lineRule="auto" w:before="40" w:after="40"/>
              <w:jc w:val="both"/>
            </w:pPr>
            <w:r>
              <w:rPr>
                <w:rFonts w:ascii="Times New Roman" w:hAnsi="Times New Roman"/>
                <w:sz w:val="17"/>
              </w:rPr>
              <w:t>Hanya meneliti komoditas emas fisik domestik harian, fitur terbatas pada lag harga nominal tanpa variabel makroekonomi eksternal, dan tidak menguji algoritma LightGBM.</w:t>
            </w:r>
          </w:p>
        </w:tc>
      </w:tr>
      <w:tr>
        <w:tc>
          <w:tcPr>
            <w:tcW w:type="dxa" w:w="1993"/>
          </w:tcPr>
          <w:p>
            <w:pPr>
              <w:spacing w:line="276" w:lineRule="auto" w:before="40" w:after="40"/>
              <w:jc w:val="both"/>
            </w:pPr>
            <w:r>
              <w:rPr>
                <w:rFonts w:ascii="Times New Roman" w:hAnsi="Times New Roman"/>
                <w:sz w:val="17"/>
              </w:rPr>
              <w:t>Kazemdehbashi (2026)</w:t>
            </w:r>
          </w:p>
        </w:tc>
        <w:tc>
          <w:tcPr>
            <w:tcW w:type="dxa" w:w="1993"/>
          </w:tcPr>
          <w:p>
            <w:pPr>
              <w:spacing w:line="276" w:lineRule="auto" w:before="40" w:after="40"/>
              <w:jc w:val="both"/>
            </w:pPr>
            <w:r>
              <w:rPr>
                <w:rFonts w:ascii="Times New Roman" w:hAnsi="Times New Roman"/>
                <w:sz w:val="17"/>
              </w:rPr>
              <w:t>arXiv:2601.12706 (Pre-print FinTech)</w:t>
            </w:r>
          </w:p>
        </w:tc>
        <w:tc>
          <w:tcPr>
            <w:tcW w:type="dxa" w:w="1993"/>
          </w:tcPr>
          <w:p>
            <w:pPr>
              <w:spacing w:line="276" w:lineRule="auto" w:before="40" w:after="40"/>
              <w:jc w:val="both"/>
            </w:pPr>
            <w:r>
              <w:rPr>
                <w:rFonts w:ascii="Times New Roman" w:hAnsi="Times New Roman"/>
                <w:sz w:val="17"/>
              </w:rPr>
              <w:t>Data Deret Waktu Emas Harian</w:t>
            </w:r>
          </w:p>
        </w:tc>
        <w:tc>
          <w:tcPr>
            <w:tcW w:type="dxa" w:w="1993"/>
          </w:tcPr>
          <w:p>
            <w:pPr>
              <w:spacing w:line="276" w:lineRule="auto" w:before="40" w:after="40"/>
              <w:jc w:val="both"/>
            </w:pPr>
            <w:r>
              <w:rPr>
                <w:rFonts w:ascii="Times New Roman" w:hAnsi="Times New Roman"/>
                <w:sz w:val="17"/>
              </w:rPr>
              <w:t>Trend-Adjusted Time Series (TATS) Hibrida Klasifikasi Arah + LSTM</w:t>
            </w:r>
          </w:p>
        </w:tc>
        <w:tc>
          <w:tcPr>
            <w:tcW w:type="dxa" w:w="1993"/>
          </w:tcPr>
          <w:p>
            <w:pPr>
              <w:spacing w:line="276" w:lineRule="auto" w:before="40" w:after="40"/>
              <w:jc w:val="both"/>
            </w:pPr>
            <w:r>
              <w:rPr>
                <w:rFonts w:ascii="Times New Roman" w:hAnsi="Times New Roman"/>
                <w:sz w:val="17"/>
              </w:rPr>
              <w:t>Data sekuensial deret waktu harga emas harian.</w:t>
            </w:r>
          </w:p>
        </w:tc>
        <w:tc>
          <w:tcPr>
            <w:tcW w:type="dxa" w:w="1993"/>
          </w:tcPr>
          <w:p>
            <w:pPr>
              <w:spacing w:line="276" w:lineRule="auto" w:before="40" w:after="40"/>
              <w:jc w:val="both"/>
            </w:pPr>
            <w:r>
              <w:rPr>
                <w:rFonts w:ascii="Times New Roman" w:hAnsi="Times New Roman"/>
                <w:sz w:val="17"/>
              </w:rPr>
              <w:t>Pemisahan prediksi arah diskrit terbukti menurunkan galat peramalan finansial dibanding model murni.</w:t>
            </w:r>
          </w:p>
        </w:tc>
        <w:tc>
          <w:tcPr>
            <w:tcW w:type="dxa" w:w="1993"/>
          </w:tcPr>
          <w:p>
            <w:pPr>
              <w:spacing w:line="276" w:lineRule="auto" w:before="40" w:after="40"/>
              <w:jc w:val="both"/>
            </w:pPr>
            <w:r>
              <w:rPr>
                <w:rFonts w:ascii="Times New Roman" w:hAnsi="Times New Roman"/>
                <w:sz w:val="17"/>
              </w:rPr>
              <w:t>Mengandalkan arsitektur Deep Learning (LSTM) yang lambat untuk inferensi real-time, tidak menguji timeframe intraday (M15/M5), tidak memasukkan intermarket DXY, dan belum diuji pada eksekusi forward testing pasar nyata.</w:t>
            </w:r>
          </w:p>
        </w:tc>
      </w:tr>
      <w:tr>
        <w:tc>
          <w:tcPr>
            <w:tcW w:type="dxa" w:w="1993"/>
          </w:tcPr>
          <w:p>
            <w:pPr>
              <w:spacing w:line="276" w:lineRule="auto" w:before="40" w:after="40"/>
              <w:jc w:val="both"/>
            </w:pPr>
            <w:r>
              <w:rPr>
                <w:rFonts w:ascii="Times New Roman" w:hAnsi="Times New Roman"/>
                <w:sz w:val="17"/>
              </w:rPr>
              <w:t>Gono et al. (2023)</w:t>
            </w:r>
          </w:p>
        </w:tc>
        <w:tc>
          <w:tcPr>
            <w:tcW w:type="dxa" w:w="1993"/>
          </w:tcPr>
          <w:p>
            <w:pPr>
              <w:spacing w:line="276" w:lineRule="auto" w:before="40" w:after="40"/>
              <w:jc w:val="both"/>
            </w:pPr>
            <w:r>
              <w:rPr>
                <w:rFonts w:ascii="Times New Roman" w:hAnsi="Times New Roman"/>
                <w:sz w:val="17"/>
              </w:rPr>
              <w:t>Mathematics (MDPI, Scopus Q1)</w:t>
            </w:r>
          </w:p>
        </w:tc>
        <w:tc>
          <w:tcPr>
            <w:tcW w:type="dxa" w:w="1993"/>
          </w:tcPr>
          <w:p>
            <w:pPr>
              <w:spacing w:line="276" w:lineRule="auto" w:before="40" w:after="40"/>
              <w:jc w:val="both"/>
            </w:pPr>
            <w:r>
              <w:rPr>
                <w:rFonts w:ascii="Times New Roman" w:hAnsi="Times New Roman"/>
                <w:sz w:val="17"/>
              </w:rPr>
              <w:t>Pasar Valuta Asing dan Emas Spot</w:t>
            </w:r>
          </w:p>
        </w:tc>
        <w:tc>
          <w:tcPr>
            <w:tcW w:type="dxa" w:w="1993"/>
          </w:tcPr>
          <w:p>
            <w:pPr>
              <w:spacing w:line="276" w:lineRule="auto" w:before="40" w:after="40"/>
              <w:jc w:val="both"/>
            </w:pPr>
            <w:r>
              <w:rPr>
                <w:rFonts w:ascii="Times New Roman" w:hAnsi="Times New Roman"/>
                <w:sz w:val="17"/>
              </w:rPr>
              <w:t>Extreme Gradient Boosting (XGBoost)</w:t>
            </w:r>
          </w:p>
        </w:tc>
        <w:tc>
          <w:tcPr>
            <w:tcW w:type="dxa" w:w="1993"/>
          </w:tcPr>
          <w:p>
            <w:pPr>
              <w:spacing w:line="276" w:lineRule="auto" w:before="40" w:after="40"/>
              <w:jc w:val="both"/>
            </w:pPr>
            <w:r>
              <w:rPr>
                <w:rFonts w:ascii="Times New Roman" w:hAnsi="Times New Roman"/>
                <w:sz w:val="17"/>
              </w:rPr>
              <w:t>Data tick rate dan teknikal momentum lag.</w:t>
            </w:r>
          </w:p>
        </w:tc>
        <w:tc>
          <w:tcPr>
            <w:tcW w:type="dxa" w:w="1993"/>
          </w:tcPr>
          <w:p>
            <w:pPr>
              <w:spacing w:line="276" w:lineRule="auto" w:before="40" w:after="40"/>
              <w:jc w:val="both"/>
            </w:pPr>
            <w:r>
              <w:rPr>
                <w:rFonts w:ascii="Times New Roman" w:hAnsi="Times New Roman"/>
                <w:sz w:val="17"/>
              </w:rPr>
              <w:t>XGBoost mampu menangani non-linearitas deret waktu finansial lebih baik dari model linear.</w:t>
            </w:r>
          </w:p>
        </w:tc>
        <w:tc>
          <w:tcPr>
            <w:tcW w:type="dxa" w:w="1993"/>
          </w:tcPr>
          <w:p>
            <w:pPr>
              <w:spacing w:line="276" w:lineRule="auto" w:before="40" w:after="40"/>
              <w:jc w:val="both"/>
            </w:pPr>
            <w:r>
              <w:rPr>
                <w:rFonts w:ascii="Times New Roman" w:hAnsi="Times New Roman"/>
                <w:sz w:val="17"/>
              </w:rPr>
              <w:t>Pendekatan regresi nominal menghasilkan efek lagging bias (prediksi hanya membuntuti harga sebelumnya), tanpa filter ambang keyakinan tinggi, dan tanpa integrasi eksekusi pasar nyata.</w:t>
            </w:r>
          </w:p>
        </w:tc>
      </w:tr>
      <w:tr>
        <w:tc>
          <w:tcPr>
            <w:tcW w:type="dxa" w:w="1993"/>
          </w:tcPr>
          <w:p>
            <w:pPr>
              <w:spacing w:line="276" w:lineRule="auto" w:before="40" w:after="40"/>
              <w:jc w:val="both"/>
            </w:pPr>
            <w:r>
              <w:rPr>
                <w:rFonts w:ascii="Times New Roman" w:hAnsi="Times New Roman"/>
                <w:sz w:val="17"/>
              </w:rPr>
              <w:t>Subeesh et al. (2025)</w:t>
            </w:r>
          </w:p>
        </w:tc>
        <w:tc>
          <w:tcPr>
            <w:tcW w:type="dxa" w:w="1993"/>
          </w:tcPr>
          <w:p>
            <w:pPr>
              <w:spacing w:line="276" w:lineRule="auto" w:before="40" w:after="40"/>
              <w:jc w:val="both"/>
            </w:pPr>
            <w:r>
              <w:rPr>
                <w:rFonts w:ascii="Times New Roman" w:hAnsi="Times New Roman"/>
                <w:sz w:val="17"/>
              </w:rPr>
              <w:t>Int. J. of Financial Studies (MDPI, Scopus Q2)</w:t>
            </w:r>
          </w:p>
        </w:tc>
        <w:tc>
          <w:tcPr>
            <w:tcW w:type="dxa" w:w="1993"/>
          </w:tcPr>
          <w:p>
            <w:pPr>
              <w:spacing w:line="276" w:lineRule="auto" w:before="40" w:after="40"/>
              <w:jc w:val="both"/>
            </w:pPr>
            <w:r>
              <w:rPr>
                <w:rFonts w:ascii="Times New Roman" w:hAnsi="Times New Roman"/>
                <w:sz w:val="17"/>
              </w:rPr>
              <w:t>Harga Emas Harian</w:t>
            </w:r>
          </w:p>
        </w:tc>
        <w:tc>
          <w:tcPr>
            <w:tcW w:type="dxa" w:w="1993"/>
          </w:tcPr>
          <w:p>
            <w:pPr>
              <w:spacing w:line="276" w:lineRule="auto" w:before="40" w:after="40"/>
              <w:jc w:val="both"/>
            </w:pPr>
            <w:r>
              <w:rPr>
                <w:rFonts w:ascii="Times New Roman" w:hAnsi="Times New Roman"/>
                <w:sz w:val="17"/>
              </w:rPr>
              <w:t>Hibrida ARIMA + Random Forest Regression</w:t>
            </w:r>
          </w:p>
        </w:tc>
        <w:tc>
          <w:tcPr>
            <w:tcW w:type="dxa" w:w="1993"/>
          </w:tcPr>
          <w:p>
            <w:pPr>
              <w:spacing w:line="276" w:lineRule="auto" w:before="40" w:after="40"/>
              <w:jc w:val="both"/>
            </w:pPr>
            <w:r>
              <w:rPr>
                <w:rFonts w:ascii="Times New Roman" w:hAnsi="Times New Roman"/>
                <w:sz w:val="17"/>
              </w:rPr>
              <w:t>Komponen linier historis (ARIMA) dan residu non-linear (Random Forest).</w:t>
            </w:r>
          </w:p>
        </w:tc>
        <w:tc>
          <w:tcPr>
            <w:tcW w:type="dxa" w:w="1993"/>
          </w:tcPr>
          <w:p>
            <w:pPr>
              <w:spacing w:line="276" w:lineRule="auto" w:before="40" w:after="40"/>
              <w:jc w:val="both"/>
            </w:pPr>
            <w:r>
              <w:rPr>
                <w:rFonts w:ascii="Times New Roman" w:hAnsi="Times New Roman"/>
                <w:sz w:val="17"/>
              </w:rPr>
              <w:t>Model hibrida meningkatkan akurasi regresi nominal dibanding model tunggal.</w:t>
            </w:r>
          </w:p>
        </w:tc>
        <w:tc>
          <w:tcPr>
            <w:tcW w:type="dxa" w:w="1993"/>
          </w:tcPr>
          <w:p>
            <w:pPr>
              <w:spacing w:line="276" w:lineRule="auto" w:before="40" w:after="40"/>
              <w:jc w:val="both"/>
            </w:pPr>
            <w:r>
              <w:rPr>
                <w:rFonts w:ascii="Times New Roman" w:hAnsi="Times New Roman"/>
                <w:sz w:val="17"/>
              </w:rPr>
              <w:t>Skala waktu harian tanpa arsitektur multi-timeframe intraday, tidak memasukkan korelasi Indeks DXY dan siklus berita ekonomi, serta tidak ada mekanisme eksekusi trading otomatis.</w:t>
            </w:r>
          </w:p>
        </w:tc>
      </w:tr>
      <w:tr>
        <w:tc>
          <w:tcPr>
            <w:tcW w:type="dxa" w:w="1993"/>
          </w:tcPr>
          <w:p>
            <w:pPr>
              <w:spacing w:line="276" w:lineRule="auto" w:before="40" w:after="40"/>
              <w:jc w:val="both"/>
            </w:pPr>
            <w:r>
              <w:rPr>
                <w:rFonts w:ascii="Times New Roman" w:hAnsi="Times New Roman"/>
                <w:sz w:val="17"/>
              </w:rPr>
              <w:t>Zhou et al. (2025)</w:t>
            </w:r>
          </w:p>
        </w:tc>
        <w:tc>
          <w:tcPr>
            <w:tcW w:type="dxa" w:w="1993"/>
          </w:tcPr>
          <w:p>
            <w:pPr>
              <w:spacing w:line="276" w:lineRule="auto" w:before="40" w:after="40"/>
              <w:jc w:val="both"/>
            </w:pPr>
            <w:r>
              <w:rPr>
                <w:rFonts w:ascii="Times New Roman" w:hAnsi="Times New Roman"/>
                <w:sz w:val="17"/>
              </w:rPr>
              <w:t>Systems (MDPI, Scopus Q2)</w:t>
            </w:r>
          </w:p>
        </w:tc>
        <w:tc>
          <w:tcPr>
            <w:tcW w:type="dxa" w:w="1993"/>
          </w:tcPr>
          <w:p>
            <w:pPr>
              <w:spacing w:line="276" w:lineRule="auto" w:before="40" w:after="40"/>
              <w:jc w:val="both"/>
            </w:pPr>
            <w:r>
              <w:rPr>
                <w:rFonts w:ascii="Times New Roman" w:hAnsi="Times New Roman"/>
                <w:sz w:val="17"/>
              </w:rPr>
              <w:t>Pasar Saham Global</w:t>
            </w:r>
          </w:p>
        </w:tc>
        <w:tc>
          <w:tcPr>
            <w:tcW w:type="dxa" w:w="1993"/>
          </w:tcPr>
          <w:p>
            <w:pPr>
              <w:spacing w:line="276" w:lineRule="auto" w:before="40" w:after="40"/>
              <w:jc w:val="both"/>
            </w:pPr>
            <w:r>
              <w:rPr>
                <w:rFonts w:ascii="Times New Roman" w:hAnsi="Times New Roman"/>
                <w:sz w:val="17"/>
              </w:rPr>
              <w:t>Hibrida ARIMA, Recurrent Neural Network, dan LightGBM</w:t>
            </w:r>
          </w:p>
        </w:tc>
        <w:tc>
          <w:tcPr>
            <w:tcW w:type="dxa" w:w="1993"/>
          </w:tcPr>
          <w:p>
            <w:pPr>
              <w:spacing w:line="276" w:lineRule="auto" w:before="40" w:after="40"/>
              <w:jc w:val="both"/>
            </w:pPr>
            <w:r>
              <w:rPr>
                <w:rFonts w:ascii="Times New Roman" w:hAnsi="Times New Roman"/>
                <w:sz w:val="17"/>
              </w:rPr>
              <w:t>Multi-lag returns, volume perdagangan, dan indikator volatilitas.</w:t>
            </w:r>
          </w:p>
        </w:tc>
        <w:tc>
          <w:tcPr>
            <w:tcW w:type="dxa" w:w="1993"/>
          </w:tcPr>
          <w:p>
            <w:pPr>
              <w:spacing w:line="276" w:lineRule="auto" w:before="40" w:after="40"/>
              <w:jc w:val="both"/>
            </w:pPr>
            <w:r>
              <w:rPr>
                <w:rFonts w:ascii="Times New Roman" w:hAnsi="Times New Roman"/>
                <w:sz w:val="17"/>
              </w:rPr>
              <w:t>LightGBM terbukti unggul telak dalam efisiensi komputasi (15x lebih cepat dari RNN/XGBoost) dan meraih F1-Score tertinggi.</w:t>
            </w:r>
          </w:p>
        </w:tc>
        <w:tc>
          <w:tcPr>
            <w:tcW w:type="dxa" w:w="1993"/>
          </w:tcPr>
          <w:p>
            <w:pPr>
              <w:spacing w:line="276" w:lineRule="auto" w:before="40" w:after="40"/>
              <w:jc w:val="both"/>
            </w:pPr>
            <w:r>
              <w:rPr>
                <w:rFonts w:ascii="Times New Roman" w:hAnsi="Times New Roman"/>
                <w:sz w:val="17"/>
              </w:rPr>
              <w:t>Objek berupa saham konvensional (bukan komoditas emas ber-leverage tinggi yang sensitif DXY), tidak memodelkan likuiditas Smart Money Concepts (SMC), dan tidak ada integrasi eksekusi pasar riil MetaTrader.</w:t>
            </w:r>
          </w:p>
        </w:tc>
      </w:tr>
      <w:tr>
        <w:tc>
          <w:tcPr>
            <w:tcW w:type="dxa" w:w="1993"/>
          </w:tcPr>
          <w:p>
            <w:pPr>
              <w:spacing w:line="276" w:lineRule="auto" w:before="40" w:after="40"/>
              <w:jc w:val="both"/>
            </w:pPr>
            <w:r>
              <w:rPr>
                <w:rFonts w:ascii="Times New Roman" w:hAnsi="Times New Roman"/>
                <w:sz w:val="17"/>
              </w:rPr>
              <w:t>Sayegh &amp; Accary (2026)</w:t>
            </w:r>
          </w:p>
        </w:tc>
        <w:tc>
          <w:tcPr>
            <w:tcW w:type="dxa" w:w="1993"/>
          </w:tcPr>
          <w:p>
            <w:pPr>
              <w:spacing w:line="276" w:lineRule="auto" w:before="40" w:after="40"/>
              <w:jc w:val="both"/>
            </w:pPr>
            <w:r>
              <w:rPr>
                <w:rFonts w:ascii="Times New Roman" w:hAnsi="Times New Roman"/>
                <w:sz w:val="17"/>
              </w:rPr>
              <w:t>Economies (MDPI, Scopus Q2)</w:t>
            </w:r>
          </w:p>
        </w:tc>
        <w:tc>
          <w:tcPr>
            <w:tcW w:type="dxa" w:w="1993"/>
          </w:tcPr>
          <w:p>
            <w:pPr>
              <w:spacing w:line="276" w:lineRule="auto" w:before="40" w:after="40"/>
              <w:jc w:val="both"/>
            </w:pPr>
            <w:r>
              <w:rPr>
                <w:rFonts w:ascii="Times New Roman" w:hAnsi="Times New Roman"/>
                <w:sz w:val="17"/>
              </w:rPr>
              <w:t>Emas Spot dan Indeks Dolar AS (DXY)</w:t>
            </w:r>
          </w:p>
        </w:tc>
        <w:tc>
          <w:tcPr>
            <w:tcW w:type="dxa" w:w="1993"/>
          </w:tcPr>
          <w:p>
            <w:pPr>
              <w:spacing w:line="276" w:lineRule="auto" w:before="40" w:after="40"/>
              <w:jc w:val="both"/>
            </w:pPr>
            <w:r>
              <w:rPr>
                <w:rFonts w:ascii="Times New Roman" w:hAnsi="Times New Roman"/>
                <w:sz w:val="17"/>
              </w:rPr>
              <w:t>Analisis Ekonometrika Deret Waktu (2000–2025)</w:t>
            </w:r>
          </w:p>
        </w:tc>
        <w:tc>
          <w:tcPr>
            <w:tcW w:type="dxa" w:w="1993"/>
          </w:tcPr>
          <w:p>
            <w:pPr>
              <w:spacing w:line="276" w:lineRule="auto" w:before="40" w:after="40"/>
              <w:jc w:val="both"/>
            </w:pPr>
            <w:r>
              <w:rPr>
                <w:rFonts w:ascii="Times New Roman" w:hAnsi="Times New Roman"/>
                <w:sz w:val="17"/>
              </w:rPr>
              <w:t>Data return harian XAUUSD dan Indeks Dolar AS (DXY).</w:t>
            </w:r>
          </w:p>
        </w:tc>
        <w:tc>
          <w:tcPr>
            <w:tcW w:type="dxa" w:w="1993"/>
          </w:tcPr>
          <w:p>
            <w:pPr>
              <w:spacing w:line="276" w:lineRule="auto" w:before="40" w:after="40"/>
              <w:jc w:val="both"/>
            </w:pPr>
            <w:r>
              <w:rPr>
                <w:rFonts w:ascii="Times New Roman" w:hAnsi="Times New Roman"/>
                <w:sz w:val="17"/>
              </w:rPr>
              <w:t>Membuktikan secara empiris bahwa Indeks DXY merupakan determinan paling dominan terhadap imbal hasil emas secara konsisten.</w:t>
            </w:r>
          </w:p>
        </w:tc>
        <w:tc>
          <w:tcPr>
            <w:tcW w:type="dxa" w:w="1993"/>
          </w:tcPr>
          <w:p>
            <w:pPr>
              <w:spacing w:line="276" w:lineRule="auto" w:before="40" w:after="40"/>
              <w:jc w:val="both"/>
            </w:pPr>
            <w:r>
              <w:rPr>
                <w:rFonts w:ascii="Times New Roman" w:hAnsi="Times New Roman"/>
                <w:sz w:val="17"/>
              </w:rPr>
              <w:t>Analisis bersifat retrospektif statistik tanpa membangun model machine learning prediktif otomatis, tidak memanfaatkan timeframe intraday untuk divergensi jangka pendek, dan tidak ada sistem trading.</w:t>
            </w:r>
          </w:p>
        </w:tc>
      </w:tr>
      <w:tr>
        <w:tc>
          <w:tcPr>
            <w:tcW w:type="dxa" w:w="1993"/>
          </w:tcPr>
          <w:p>
            <w:pPr>
              <w:spacing w:line="276" w:lineRule="auto" w:before="40" w:after="40"/>
              <w:jc w:val="both"/>
            </w:pPr>
            <w:r>
              <w:rPr>
                <w:rFonts w:ascii="Times New Roman" w:hAnsi="Times New Roman"/>
                <w:sz w:val="17"/>
              </w:rPr>
              <w:t>Ardiyansyah &amp; Handhika (2024)</w:t>
            </w:r>
          </w:p>
        </w:tc>
        <w:tc>
          <w:tcPr>
            <w:tcW w:type="dxa" w:w="1993"/>
          </w:tcPr>
          <w:p>
            <w:pPr>
              <w:spacing w:line="276" w:lineRule="auto" w:before="40" w:after="40"/>
              <w:jc w:val="both"/>
            </w:pPr>
            <w:r>
              <w:rPr>
                <w:rFonts w:ascii="Times New Roman" w:hAnsi="Times New Roman"/>
                <w:sz w:val="17"/>
              </w:rPr>
              <w:t>Jurnal RESTI (SINTA 2)</w:t>
            </w:r>
          </w:p>
        </w:tc>
        <w:tc>
          <w:tcPr>
            <w:tcW w:type="dxa" w:w="1993"/>
          </w:tcPr>
          <w:p>
            <w:pPr>
              <w:spacing w:line="276" w:lineRule="auto" w:before="40" w:after="40"/>
              <w:jc w:val="both"/>
            </w:pPr>
            <w:r>
              <w:rPr>
                <w:rFonts w:ascii="Times New Roman" w:hAnsi="Times New Roman"/>
                <w:sz w:val="17"/>
              </w:rPr>
              <w:t>Data Harga Emas Dunia (XAUUSD) Harian</w:t>
            </w:r>
          </w:p>
        </w:tc>
        <w:tc>
          <w:tcPr>
            <w:tcW w:type="dxa" w:w="1993"/>
          </w:tcPr>
          <w:p>
            <w:pPr>
              <w:spacing w:line="276" w:lineRule="auto" w:before="40" w:after="40"/>
              <w:jc w:val="both"/>
            </w:pPr>
            <w:r>
              <w:rPr>
                <w:rFonts w:ascii="Times New Roman" w:hAnsi="Times New Roman"/>
                <w:sz w:val="17"/>
              </w:rPr>
              <w:t>Extreme Gradient Boosting (XGBoost) dengan Hyperparameter Tuning</w:t>
            </w:r>
          </w:p>
        </w:tc>
        <w:tc>
          <w:tcPr>
            <w:tcW w:type="dxa" w:w="1993"/>
          </w:tcPr>
          <w:p>
            <w:pPr>
              <w:spacing w:line="276" w:lineRule="auto" w:before="40" w:after="40"/>
              <w:jc w:val="both"/>
            </w:pPr>
            <w:r>
              <w:rPr>
                <w:rFonts w:ascii="Times New Roman" w:hAnsi="Times New Roman"/>
                <w:sz w:val="17"/>
              </w:rPr>
              <w:t>Data historis harga emas harian dan indikator teknikal lag (Moving Average).</w:t>
            </w:r>
          </w:p>
        </w:tc>
        <w:tc>
          <w:tcPr>
            <w:tcW w:type="dxa" w:w="1993"/>
          </w:tcPr>
          <w:p>
            <w:pPr>
              <w:spacing w:line="276" w:lineRule="auto" w:before="40" w:after="40"/>
              <w:jc w:val="both"/>
            </w:pPr>
            <w:r>
              <w:rPr>
                <w:rFonts w:ascii="Times New Roman" w:hAnsi="Times New Roman"/>
                <w:sz w:val="17"/>
              </w:rPr>
              <w:t>Optimasi hyperparameter berhasil meningkatkan performa XGBoost dengan meraih MAPE sebesar 0.84% pada horizon harian.</w:t>
            </w:r>
          </w:p>
        </w:tc>
        <w:tc>
          <w:tcPr>
            <w:tcW w:type="dxa" w:w="1993"/>
          </w:tcPr>
          <w:p>
            <w:pPr>
              <w:spacing w:line="276" w:lineRule="auto" w:before="40" w:after="40"/>
              <w:jc w:val="both"/>
            </w:pPr>
            <w:r>
              <w:rPr>
                <w:rFonts w:ascii="Times New Roman" w:hAnsi="Times New Roman"/>
                <w:sz w:val="17"/>
              </w:rPr>
              <w:t>Hanya menggunakan data harian nominal satu dimensi tanpa variabel eksternal makroekonomi (DXY dan jadwal rilis berita), serta belum menguji model LightGBM pada skala intraday.</w:t>
            </w:r>
          </w:p>
        </w:tc>
      </w:tr>
      <w:tr>
        <w:tc>
          <w:tcPr>
            <w:tcW w:type="dxa" w:w="1993"/>
          </w:tcPr>
          <w:p>
            <w:pPr>
              <w:spacing w:line="276" w:lineRule="auto" w:before="40" w:after="40"/>
              <w:jc w:val="both"/>
            </w:pPr>
            <w:r>
              <w:rPr>
                <w:rFonts w:ascii="Times New Roman" w:hAnsi="Times New Roman"/>
                <w:sz w:val="17"/>
              </w:rPr>
              <w:t>Prastyo, Sibyan, &amp; Hasanah (2025)</w:t>
            </w:r>
          </w:p>
        </w:tc>
        <w:tc>
          <w:tcPr>
            <w:tcW w:type="dxa" w:w="1993"/>
          </w:tcPr>
          <w:p>
            <w:pPr>
              <w:spacing w:line="276" w:lineRule="auto" w:before="40" w:after="40"/>
              <w:jc w:val="both"/>
            </w:pPr>
            <w:r>
              <w:rPr>
                <w:rFonts w:ascii="Times New Roman" w:hAnsi="Times New Roman"/>
                <w:sz w:val="17"/>
              </w:rPr>
              <w:t>Clean Energy and Smart Technology (CEST, Oktober 2025)</w:t>
            </w:r>
          </w:p>
        </w:tc>
        <w:tc>
          <w:tcPr>
            <w:tcW w:type="dxa" w:w="1993"/>
          </w:tcPr>
          <w:p>
            <w:pPr>
              <w:spacing w:line="276" w:lineRule="auto" w:before="40" w:after="40"/>
              <w:jc w:val="both"/>
            </w:pPr>
            <w:r>
              <w:rPr>
                <w:rFonts w:ascii="Times New Roman" w:hAnsi="Times New Roman"/>
                <w:sz w:val="17"/>
              </w:rPr>
              <w:t>Emas Harian Dunia (2014–2024)</w:t>
            </w:r>
          </w:p>
        </w:tc>
        <w:tc>
          <w:tcPr>
            <w:tcW w:type="dxa" w:w="1993"/>
          </w:tcPr>
          <w:p>
            <w:pPr>
              <w:spacing w:line="276" w:lineRule="auto" w:before="40" w:after="40"/>
              <w:jc w:val="both"/>
            </w:pPr>
            <w:r>
              <w:rPr>
                <w:rFonts w:ascii="Times New Roman" w:hAnsi="Times New Roman"/>
                <w:sz w:val="17"/>
              </w:rPr>
              <w:t>Random Forest Regression (Website Deployment)</w:t>
            </w:r>
          </w:p>
        </w:tc>
        <w:tc>
          <w:tcPr>
            <w:tcW w:type="dxa" w:w="1993"/>
          </w:tcPr>
          <w:p>
            <w:pPr>
              <w:spacing w:line="276" w:lineRule="auto" w:before="40" w:after="40"/>
              <w:jc w:val="both"/>
            </w:pPr>
            <w:r>
              <w:rPr>
                <w:rFonts w:ascii="Times New Roman" w:hAnsi="Times New Roman"/>
                <w:sz w:val="17"/>
              </w:rPr>
              <w:t>Harga OHLCV emas harian, lag-1, lag-7, dan moving average.</w:t>
            </w:r>
          </w:p>
        </w:tc>
        <w:tc>
          <w:tcPr>
            <w:tcW w:type="dxa" w:w="1993"/>
          </w:tcPr>
          <w:p>
            <w:pPr>
              <w:spacing w:line="276" w:lineRule="auto" w:before="40" w:after="40"/>
              <w:jc w:val="both"/>
            </w:pPr>
            <w:r>
              <w:rPr>
                <w:rFonts w:ascii="Times New Roman" w:hAnsi="Times New Roman"/>
                <w:sz w:val="17"/>
              </w:rPr>
              <w:t>Pelatihan in-sample menghasilkan R2 = 0.999, namun saat diuji out-of-sample (2020-2024) performanya anjlok drastis (R2 = -1.97, RMSE 385.49 USD) saat harga emas menembus rekor all-time high.</w:t>
            </w:r>
          </w:p>
        </w:tc>
        <w:tc>
          <w:tcPr>
            <w:tcW w:type="dxa" w:w="1993"/>
          </w:tcPr>
          <w:p>
            <w:pPr>
              <w:spacing w:line="276" w:lineRule="auto" w:before="40" w:after="40"/>
              <w:jc w:val="both"/>
            </w:pPr>
            <w:r>
              <w:rPr>
                <w:rFonts w:ascii="Times New Roman" w:hAnsi="Times New Roman"/>
                <w:sz w:val="17"/>
              </w:rPr>
              <w:t>Model pohon ensemble bagging (Random Forest) tidak mampu mengekstrapolasi tren baru saat terjadi all-time high. Peneliti menyimpulkan perlunya beralih ke model gradient boosting (LightGBM/XGBoost) dan rekayasa fitur komprehensif.</w:t>
            </w:r>
          </w:p>
        </w:tc>
      </w:tr>
      <w:tr>
        <w:tc>
          <w:tcPr>
            <w:tcW w:type="dxa" w:w="1993"/>
          </w:tcPr>
          <w:p>
            <w:pPr>
              <w:spacing w:line="276" w:lineRule="auto" w:before="40" w:after="40"/>
              <w:jc w:val="both"/>
            </w:pPr>
            <w:r>
              <w:rPr>
                <w:rFonts w:ascii="Times New Roman" w:hAnsi="Times New Roman"/>
                <w:sz w:val="17"/>
              </w:rPr>
              <w:t>Ziyang Yuan (2023)</w:t>
            </w:r>
          </w:p>
        </w:tc>
        <w:tc>
          <w:tcPr>
            <w:tcW w:type="dxa" w:w="1993"/>
          </w:tcPr>
          <w:p>
            <w:pPr>
              <w:spacing w:line="276" w:lineRule="auto" w:before="40" w:after="40"/>
              <w:jc w:val="both"/>
            </w:pPr>
            <w:r>
              <w:rPr>
                <w:rFonts w:ascii="Times New Roman" w:hAnsi="Times New Roman"/>
                <w:sz w:val="17"/>
              </w:rPr>
              <w:t>Computational Methods in Language, Art and Industry (CMLAI 2023)</w:t>
            </w:r>
          </w:p>
        </w:tc>
        <w:tc>
          <w:tcPr>
            <w:tcW w:type="dxa" w:w="1993"/>
          </w:tcPr>
          <w:p>
            <w:pPr>
              <w:spacing w:line="276" w:lineRule="auto" w:before="40" w:after="40"/>
              <w:jc w:val="both"/>
            </w:pPr>
            <w:r>
              <w:rPr>
                <w:rFonts w:ascii="Times New Roman" w:hAnsi="Times New Roman"/>
                <w:sz w:val="17"/>
              </w:rPr>
              <w:t>Harga Emas Spot (XAU)</w:t>
            </w:r>
          </w:p>
        </w:tc>
        <w:tc>
          <w:tcPr>
            <w:tcW w:type="dxa" w:w="1993"/>
          </w:tcPr>
          <w:p>
            <w:pPr>
              <w:spacing w:line="276" w:lineRule="auto" w:before="40" w:after="40"/>
              <w:jc w:val="both"/>
            </w:pPr>
            <w:r>
              <w:rPr>
                <w:rFonts w:ascii="Times New Roman" w:hAnsi="Times New Roman"/>
                <w:sz w:val="17"/>
              </w:rPr>
              <w:t>Komparasi KNN Regression, XGBoost, dan LightGBM</w:t>
            </w:r>
          </w:p>
        </w:tc>
        <w:tc>
          <w:tcPr>
            <w:tcW w:type="dxa" w:w="1993"/>
          </w:tcPr>
          <w:p>
            <w:pPr>
              <w:spacing w:line="276" w:lineRule="auto" w:before="40" w:after="40"/>
              <w:jc w:val="both"/>
            </w:pPr>
            <w:r>
              <w:rPr>
                <w:rFonts w:ascii="Times New Roman" w:hAnsi="Times New Roman"/>
                <w:sz w:val="17"/>
              </w:rPr>
              <w:t>Data historis harga emas harian.</w:t>
            </w:r>
          </w:p>
        </w:tc>
        <w:tc>
          <w:tcPr>
            <w:tcW w:type="dxa" w:w="1993"/>
          </w:tcPr>
          <w:p>
            <w:pPr>
              <w:spacing w:line="276" w:lineRule="auto" w:before="40" w:after="40"/>
              <w:jc w:val="both"/>
            </w:pPr>
            <w:r>
              <w:rPr>
                <w:rFonts w:ascii="Times New Roman" w:hAnsi="Times New Roman"/>
                <w:sz w:val="17"/>
              </w:rPr>
              <w:t>LightGBM mengungguli XGBoost dan KNN di seluruh metrik evaluasi dengan RMSE terendah 3.323, MAE 2.014, MAPE 0.119%, dan R2 tertinggi 0.997.</w:t>
            </w:r>
          </w:p>
        </w:tc>
        <w:tc>
          <w:tcPr>
            <w:tcW w:type="dxa" w:w="1993"/>
          </w:tcPr>
          <w:p>
            <w:pPr>
              <w:spacing w:line="276" w:lineRule="auto" w:before="40" w:after="40"/>
              <w:jc w:val="both"/>
            </w:pPr>
            <w:r>
              <w:rPr>
                <w:rFonts w:ascii="Times New Roman" w:hAnsi="Times New Roman"/>
                <w:sz w:val="17"/>
              </w:rPr>
              <w:t>Hanya menguji data harian nominal satu dimensi tanpa indikator teknikal, tanpa struktur likuiditas SMC intraday, dan tanpa integrasi pasar nyata.</w:t>
            </w:r>
          </w:p>
        </w:tc>
      </w:tr>
      <w:tr>
        <w:tc>
          <w:tcPr>
            <w:tcW w:type="dxa" w:w="1993"/>
          </w:tcPr>
          <w:p>
            <w:pPr>
              <w:spacing w:line="276" w:lineRule="auto" w:before="40" w:after="40"/>
              <w:jc w:val="both"/>
            </w:pPr>
            <w:r>
              <w:rPr>
                <w:rFonts w:ascii="Times New Roman" w:hAnsi="Times New Roman"/>
                <w:sz w:val="17"/>
              </w:rPr>
              <w:t>Kaur, Sidhu, &amp; Bhathal (2026)</w:t>
            </w:r>
          </w:p>
        </w:tc>
        <w:tc>
          <w:tcPr>
            <w:tcW w:type="dxa" w:w="1993"/>
          </w:tcPr>
          <w:p>
            <w:pPr>
              <w:spacing w:line="276" w:lineRule="auto" w:before="40" w:after="40"/>
              <w:jc w:val="both"/>
            </w:pPr>
            <w:r>
              <w:rPr>
                <w:rFonts w:ascii="Times New Roman" w:hAnsi="Times New Roman"/>
                <w:sz w:val="17"/>
              </w:rPr>
              <w:t>Wiley Expert Systems (Scopus Q2)</w:t>
            </w:r>
          </w:p>
        </w:tc>
        <w:tc>
          <w:tcPr>
            <w:tcW w:type="dxa" w:w="1993"/>
          </w:tcPr>
          <w:p>
            <w:pPr>
              <w:spacing w:line="276" w:lineRule="auto" w:before="40" w:after="40"/>
              <w:jc w:val="both"/>
            </w:pPr>
            <w:r>
              <w:rPr>
                <w:rFonts w:ascii="Times New Roman" w:hAnsi="Times New Roman"/>
                <w:sz w:val="17"/>
              </w:rPr>
              <w:t>Harga Kontrak Berjangka Emas Global</w:t>
            </w:r>
          </w:p>
        </w:tc>
        <w:tc>
          <w:tcPr>
            <w:tcW w:type="dxa" w:w="1993"/>
          </w:tcPr>
          <w:p>
            <w:pPr>
              <w:spacing w:line="276" w:lineRule="auto" w:before="40" w:after="40"/>
              <w:jc w:val="both"/>
            </w:pPr>
            <w:r>
              <w:rPr>
                <w:rFonts w:ascii="Times New Roman" w:hAnsi="Times New Roman"/>
                <w:sz w:val="17"/>
              </w:rPr>
              <w:t>Hibrida Random Forest Regression + Deep Reinforcement Learning (DRL)</w:t>
            </w:r>
          </w:p>
        </w:tc>
        <w:tc>
          <w:tcPr>
            <w:tcW w:type="dxa" w:w="1993"/>
          </w:tcPr>
          <w:p>
            <w:pPr>
              <w:spacing w:line="276" w:lineRule="auto" w:before="40" w:after="40"/>
              <w:jc w:val="both"/>
            </w:pPr>
            <w:r>
              <w:rPr>
                <w:rFonts w:ascii="Times New Roman" w:hAnsi="Times New Roman"/>
                <w:sz w:val="17"/>
              </w:rPr>
              <w:t>OHLCV historis emas dan indikator teknikal komputasi.</w:t>
            </w:r>
          </w:p>
        </w:tc>
        <w:tc>
          <w:tcPr>
            <w:tcW w:type="dxa" w:w="1993"/>
          </w:tcPr>
          <w:p>
            <w:pPr>
              <w:spacing w:line="276" w:lineRule="auto" w:before="40" w:after="40"/>
              <w:jc w:val="both"/>
            </w:pPr>
            <w:r>
              <w:rPr>
                <w:rFonts w:ascii="Times New Roman" w:hAnsi="Times New Roman"/>
                <w:sz w:val="17"/>
              </w:rPr>
              <w:t>Sistem DRL mampu mengoptimasi keputusan aksi trading buy/sell berbasis estimasi Random Forest.</w:t>
            </w:r>
          </w:p>
        </w:tc>
        <w:tc>
          <w:tcPr>
            <w:tcW w:type="dxa" w:w="1993"/>
          </w:tcPr>
          <w:p>
            <w:pPr>
              <w:spacing w:line="276" w:lineRule="auto" w:before="40" w:after="40"/>
              <w:jc w:val="both"/>
            </w:pPr>
            <w:r>
              <w:rPr>
                <w:rFonts w:ascii="Times New Roman" w:hAnsi="Times New Roman"/>
                <w:sz w:val="17"/>
              </w:rPr>
              <w:t>Arsitektur DRL sangat lambat dan membutuhkan daya komputasi GPU tinggi, tidak cocok untuk inferensi latensi rendah intraday M15/M5, serta tidak memasukkan fitur intermarket DXY dan berita makroekonomi.</w:t>
            </w:r>
          </w:p>
        </w:tc>
      </w:tr>
      <w:tr>
        <w:tc>
          <w:tcPr>
            <w:tcW w:type="dxa" w:w="1993"/>
          </w:tcPr>
          <w:p>
            <w:pPr>
              <w:spacing w:line="276" w:lineRule="auto" w:before="40" w:after="40"/>
              <w:jc w:val="both"/>
            </w:pPr>
            <w:r>
              <w:rPr>
                <w:rFonts w:ascii="Times New Roman" w:hAnsi="Times New Roman"/>
                <w:b/>
                <w:sz w:val="17"/>
              </w:rPr>
              <w:t>Penelitian Ini (Nouval Ditya Maheswara, 2026)</w:t>
            </w:r>
          </w:p>
        </w:tc>
        <w:tc>
          <w:tcPr>
            <w:tcW w:type="dxa" w:w="1993"/>
          </w:tcPr>
          <w:p>
            <w:pPr>
              <w:spacing w:line="276" w:lineRule="auto" w:before="40" w:after="40"/>
              <w:jc w:val="both"/>
            </w:pPr>
            <w:r>
              <w:rPr>
                <w:rFonts w:ascii="Times New Roman" w:hAnsi="Times New Roman"/>
                <w:b/>
                <w:sz w:val="17"/>
              </w:rPr>
              <w:t>Tugas Akhir Teknik Informatika UPN "Veteran" Yogyakarta</w:t>
            </w:r>
          </w:p>
        </w:tc>
        <w:tc>
          <w:tcPr>
            <w:tcW w:type="dxa" w:w="1993"/>
          </w:tcPr>
          <w:p>
            <w:pPr>
              <w:spacing w:line="276" w:lineRule="auto" w:before="40" w:after="40"/>
              <w:jc w:val="both"/>
            </w:pPr>
            <w:r>
              <w:rPr>
                <w:rFonts w:ascii="Times New Roman" w:hAnsi="Times New Roman"/>
                <w:b/>
                <w:sz w:val="17"/>
              </w:rPr>
              <w:t>Pasar Spot Gold CFD (XAUUSD) Riil pada Broker MetaTrader 5 (Multi-Timeframe M15 &amp; M5 dengan konfirmasi H4)</w:t>
            </w:r>
          </w:p>
        </w:tc>
        <w:tc>
          <w:tcPr>
            <w:tcW w:type="dxa" w:w="1993"/>
          </w:tcPr>
          <w:p>
            <w:pPr>
              <w:spacing w:line="276" w:lineRule="auto" w:before="40" w:after="40"/>
              <w:jc w:val="both"/>
            </w:pPr>
            <w:r>
              <w:rPr>
                <w:rFonts w:ascii="Times New Roman" w:hAnsi="Times New Roman"/>
                <w:b/>
                <w:sz w:val="17"/>
              </w:rPr>
              <w:t>LightGBM Classifier Teroptimasi dengan Balanced Class Weights &amp; Confidence Guard (&gt;= 65%)</w:t>
            </w:r>
          </w:p>
        </w:tc>
        <w:tc>
          <w:tcPr>
            <w:tcW w:type="dxa" w:w="1993"/>
          </w:tcPr>
          <w:p>
            <w:pPr>
              <w:spacing w:line="276" w:lineRule="auto" w:before="40" w:after="40"/>
              <w:jc w:val="both"/>
            </w:pPr>
            <w:r>
              <w:rPr>
                <w:rFonts w:ascii="Times New Roman" w:hAnsi="Times New Roman"/>
                <w:b/>
                <w:sz w:val="17"/>
              </w:rPr>
              <w:t>36 Variabel Multi-Source Feature Fusion: Geometri M15/M5, SMC (Order Block Bull &amp; Bear, FVG Bull &amp; Bear, BOS, CHoCH, Sweep), Fibo 100 candle, Tren H4 (EMA 50/200), Kanal DXY, dan Kalender Berita Makro (NFP, CPI, FOMC).</w:t>
            </w:r>
          </w:p>
        </w:tc>
        <w:tc>
          <w:tcPr>
            <w:tcW w:type="dxa" w:w="1993"/>
          </w:tcPr>
          <w:p>
            <w:pPr>
              <w:spacing w:line="276" w:lineRule="auto" w:before="40" w:after="40"/>
              <w:jc w:val="both"/>
            </w:pPr>
            <w:r>
              <w:rPr>
                <w:rFonts w:ascii="Times New Roman" w:hAnsi="Times New Roman"/>
                <w:b/>
                <w:sz w:val="17"/>
              </w:rPr>
              <w:t>Akurasi Sinyal High-Conviction (&gt;= 65%) mencapai 74.77% pada M15 (ROC-AUC 0.595) dan 79.26% pada M5 (ROC-AUC 0.618). Live forward testing otomatis menghasilkan profit konsisten dengan RRR minimal 1 : 1.8 s.d. 1 : 2.5.</w:t>
            </w:r>
          </w:p>
        </w:tc>
        <w:tc>
          <w:tcPr>
            <w:tcW w:type="dxa" w:w="1993"/>
          </w:tcPr>
          <w:p>
            <w:pPr>
              <w:spacing w:line="276" w:lineRule="auto" w:before="40" w:after="40"/>
              <w:jc w:val="both"/>
            </w:pPr>
            <w:r>
              <w:rPr>
                <w:rFonts w:ascii="Times New Roman" w:hAnsi="Times New Roman"/>
                <w:b/>
                <w:sz w:val="17"/>
              </w:rPr>
              <w:t>Mengintegrasikan 36 variabel multi-source (geometri M15/M5, SMC, tren H4, intermarket DXY, dan siklus rilis berita NFP/CPI/FOMC) ke dalam model klasifikasi probabilitas arah LightGBM, menerapkan filter keyakinan tinggi (confidence threshold &gt;= 65.0%), serta menguji keandalan sistem melalui forward testing terintegrasi MetaTrader 5 API dengan manajemen risiko dinamis ATR dan modul evaluasi skenario pasca-transaksi.</w:t>
            </w:r>
          </w:p>
        </w:tc>
      </w:tr>
    </w:tbl>
    <w:sectPr w:rsidR="00FC693F" w:rsidRPr="0006063C" w:rsidSect="00034616">
      <w:pgSz w:w="16834" w:h="1190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